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 Americana</w:t>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947762" cy="26193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47762"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Carrera:</w:t>
      </w:r>
      <w:r w:rsidDel="00000000" w:rsidR="00000000" w:rsidRPr="00000000">
        <w:rPr>
          <w:rFonts w:ascii="Times New Roman" w:cs="Times New Roman" w:eastAsia="Times New Roman" w:hAnsi="Times New Roman"/>
          <w:rtl w:val="0"/>
        </w:rPr>
        <w:t xml:space="preserve"> Negocios Internacionales</w:t>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Asignatura:</w:t>
      </w:r>
      <w:r w:rsidDel="00000000" w:rsidR="00000000" w:rsidRPr="00000000">
        <w:rPr>
          <w:rFonts w:ascii="Times New Roman" w:cs="Times New Roman" w:eastAsia="Times New Roman" w:hAnsi="Times New Roman"/>
          <w:rtl w:val="0"/>
        </w:rPr>
        <w:t xml:space="preserve"> Tecnologías de Gestión de Información</w:t>
      </w:r>
      <w:r w:rsidDel="00000000" w:rsidR="00000000" w:rsidRPr="00000000">
        <w:rPr>
          <w:rtl w:val="0"/>
        </w:rPr>
      </w:r>
    </w:p>
    <w:p w:rsidR="00000000" w:rsidDel="00000000" w:rsidP="00000000" w:rsidRDefault="00000000" w:rsidRPr="00000000" w14:paraId="00000005">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Estudiante: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José González </w:t>
      </w:r>
    </w:p>
    <w:p w:rsidR="00000000" w:rsidDel="00000000" w:rsidP="00000000" w:rsidRDefault="00000000" w:rsidRPr="00000000" w14:paraId="0000000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Nazlly González </w:t>
      </w: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Docente: </w:t>
      </w:r>
      <w:r w:rsidDel="00000000" w:rsidR="00000000" w:rsidRPr="00000000">
        <w:rPr>
          <w:rFonts w:ascii="Times New Roman" w:cs="Times New Roman" w:eastAsia="Times New Roman" w:hAnsi="Times New Roman"/>
          <w:rtl w:val="0"/>
        </w:rPr>
        <w:t xml:space="preserve">José A. Durán G.</w:t>
      </w:r>
    </w:p>
    <w:p w:rsidR="00000000" w:rsidDel="00000000" w:rsidP="00000000" w:rsidRDefault="00000000" w:rsidRPr="00000000" w14:paraId="0000000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b w:val="1"/>
          <w:bCs w:val="1"/>
          <w:rtl w:val="0"/>
        </w:rPr>
        <w:t xml:space="preserve">Fecha:</w:t>
      </w:r>
      <w:r w:rsidDel="00000000" w:rsidR="00000000" w:rsidRPr="00000000">
        <w:rPr>
          <w:rFonts w:ascii="Times New Roman" w:cs="Times New Roman" w:eastAsia="Times New Roman" w:hAnsi="Times New Roman"/>
          <w:rtl w:val="0"/>
        </w:rPr>
        <w:t xml:space="preserve"> 21 de septiembre de 2026</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Descripción de la operación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NicaTrade International es una empresa nicaragüense dedicada a la importación y exportación de productos alimenticios y de consumo hacia diferentes mercados de Centroamérica. En este microproyecto se analiza una operación de importación desde México hacia Nicaragua, utilizando información de productos, cantidades, precios unitarios y país de origen. El propósito es procesar y organizar los datos para facilitar la toma de decisiones comerciales y demostrar la importancia de una adecuada gestión digital de la información.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Productos importados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datos contiene 50 productos pertenecientes a las categorías de alimentos, bebidas, limpieza, hogar, oficina, tecnología y accesorios. La mayor parte de los productos tiene a México como país de origen; además, se registran algunos productos provenientes de Guatemala, Costa Rica y El Salvador. Entre los artículos analizados se encuentran galletas, café soluble, atún enlatado, aceite vegetal, bebidas, artículos de limpieza, productos para el hogar, útiles de oficina, accesorios tecnológicos y artículos de uso personal.</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Resultados del análisis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Importe total de la operación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US$40,359.00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unitario promedio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US$7.74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productos registrados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Importe de productos originarios de México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US$36,919.50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 con mayor importe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Mochilas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Importe de Mochilas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US$1,912.50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Productos con “Importe Alto”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Productos con “Importe Normal”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r>
    </w:tbl>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la clasificación aplicada mediante la función SI, se consideran de “Importe Alto” los registros cuyo importe supera US$1,000. En la operación analizada, 11 productos cumplen este criterio y 39 se clasifican como “Importe Normal”.</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Análisis de los resultados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permite identificar que la operación representa un importe total de US$40,359.00. Del total, US$36,919.50 corresponden a productos cuyo país de origen registrado es México. El producto con mayor importe individual es Mochilas, con US$1,912.50, resultado de 85 unidades a un precio unitario de US$22.50. Estos datos permiten reconocer dónde se concentra una parte importante del valor de la operación y facilitan la revisión de la información antes de ejecutar la compra internacional.</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Conclusión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Organizar y analizar correctamente la información es fundamental para gestionar una operación internacional de manera ordenada. Los resultados obtenidos permiten conocer el valor de la operación, comparar los precios de los productos, identificar los artículos con mayor importe y distinguir el origen de las mercancías. Esta información sirve como base para planificar la operación y revisar los datos antes de tomar decisiones comerciales. Además, la integración de Excel con Word, PowerPoint, Google Drive y GitHub demuestra cómo diferentes herramientas digitales pueden formar parte de un mismo proceso de gestión de información empresarial, facilitando su procesamiento, comunicación, organización, colaboración y recuperación.</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