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Civic Integrity &amp; Political Content Standard</w:t>
      </w:r>
    </w:p>
    <w:p>
      <w:pPr>
        <w:jc w:val="center"/>
      </w:pPr>
      <w:r>
        <w:rPr>
          <w:color w:val="5D677A"/>
          <w:sz w:val="28"/>
        </w:rPr>
        <w:t>Siyasi İçerik, Seçim Dönemi ve P0-P4 Bütünlük Rejimi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KEFE-CIV-001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Civic / Trust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KEFE-TIM v1.1.0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 ve sınır</w:t>
      </w:r>
    </w:p>
    <w:p>
      <w:r>
        <w:t>KEFE Civic ayrı uygulama değildir. Bu standart Civic &amp; Politics domain’i ve politik risk taşıyan diğer Case’lerde tarafsızlık, kaynak, soru, sonuç, manipülasyon ve yayın davranışını tanımlar.</w:t>
      </w:r>
    </w:p>
    <w:p>
      <w:pPr>
        <w:pStyle w:val="Heading1"/>
      </w:pPr>
      <w:r>
        <w:t>2. Ana ilke</w:t>
      </w:r>
    </w:p>
    <w:p>
      <w:pPr>
        <w:pStyle w:val="KEFEQuote"/>
      </w:pPr>
      <w:r>
        <w:t>KEFE siyasi aktörleri ve kararları tartışmanın konusu yapabilir; tartışmanın siyasi tarafı olamaz.</w:t>
      </w:r>
    </w:p>
    <w:p>
      <w:pPr>
        <w:pStyle w:val="Heading1"/>
      </w:pPr>
      <w:r>
        <w:t>3. Political Risk sınıfları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Minimum rejim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Genel kamu politikası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Standart Civic UX + kaynak bağlamı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Parti/temsil rekabeti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Artırılmış manipülasyon gözlemi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Aktif siyasetçi + hukuki süreç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Civic Integrity, insan editör, çoklu kaynak, nötr gamification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P3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Aktif seçim/seçim bütünlüğü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Yüksek integrity, sonuç/metodoloji kısıtları, release-time hukuk/politika kontrolü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P4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Şiddet/darbe/terör/çatışma bağlantılı siyaset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yüksek risk; sensitive mode + dağıtım ve paylaşım kısıtları</w:t>
            </w:r>
          </w:p>
        </w:tc>
      </w:tr>
    </w:tbl>
    <w:p/>
    <w:p>
      <w:pPr>
        <w:pStyle w:val="Heading1"/>
      </w:pPr>
      <w:r>
        <w:t>4. Yasaklanan siyasi ürün davranışları</w:t>
      </w:r>
    </w:p>
    <w:p>
      <w:pPr>
        <w:pStyle w:val="ListBullet"/>
      </w:pPr>
      <w:r>
        <w:t>Core consumer üründe parti oy oranı, aday desteği, seçim tahmini veya “bugün seçim olsa” üretmek.</w:t>
      </w:r>
    </w:p>
    <w:p>
      <w:pPr>
        <w:pStyle w:val="ListBullet"/>
      </w:pPr>
      <w:r>
        <w:t>Aktif kişi için “suçlu mu/haklı mı/yalancı mı?” referandumu.</w:t>
      </w:r>
    </w:p>
    <w:p>
      <w:pPr>
        <w:pStyle w:val="ListBullet"/>
      </w:pPr>
      <w:r>
        <w:t>Siyasi mikro hedefleme veya hassas karar geçmişine göre kampanya/advertising segmenti.</w:t>
      </w:r>
    </w:p>
    <w:p>
      <w:pPr>
        <w:pStyle w:val="ListBullet"/>
      </w:pPr>
      <w:r>
        <w:t>Yanlış bilgiyi “iki taraf da söylüyor” gerekçesiyle doğrulanmış bilgiyle eşitlemek.</w:t>
      </w:r>
    </w:p>
    <w:p>
      <w:pPr>
        <w:pStyle w:val="ListBullet"/>
      </w:pPr>
      <w:r>
        <w:t>P2+ içerikte streak/leaderboard/alev/partizan rekabet yaratmak.</w:t>
      </w:r>
    </w:p>
    <w:p>
      <w:pPr>
        <w:pStyle w:val="Heading1"/>
      </w:pPr>
      <w:r>
        <w:t>5. Uygun soru boyutları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Boyut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 kullanım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Legal-Basis Confidence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Political-Influence Perception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Proportionality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Democratic Legitimacy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Representation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Institutional Trust Effect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Public Interest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Fundamental Rights Impact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Bağımsız eksen; diğerinin matematiksel zıddı değildir.</w:t>
            </w:r>
          </w:p>
        </w:tc>
      </w:tr>
    </w:tbl>
    <w:p/>
    <w:p>
      <w:pPr>
        <w:pStyle w:val="Heading1"/>
      </w:pPr>
      <w:r>
        <w:t>6. Kaynak ve claim standardı</w:t>
      </w:r>
    </w:p>
    <w:p>
      <w:pPr>
        <w:pStyle w:val="ListBullet"/>
      </w:pPr>
      <w:r>
        <w:t>VERIFIED/CLAIMED/DISPUTED/UNKNOWN statüleri görünür ve ayrı sunulur.</w:t>
      </w:r>
    </w:p>
    <w:p>
      <w:pPr>
        <w:pStyle w:val="ListBullet"/>
      </w:pPr>
      <w:r>
        <w:t>P2+ içerikte kaynak çeşitliliği ve origin/official/legal context mümkün olduğunda açıkça gösterilir.</w:t>
      </w:r>
    </w:p>
    <w:p>
      <w:pPr>
        <w:pStyle w:val="ListBullet"/>
      </w:pPr>
      <w:r>
        <w:t>AI source değildir; özetler kaynaklara ve insan review state’e bağlıdır.</w:t>
      </w:r>
    </w:p>
    <w:p>
      <w:pPr>
        <w:pStyle w:val="Heading1"/>
      </w:pPr>
      <w:r>
        <w:t>7. Aktif hukuki süreç</w:t>
      </w:r>
    </w:p>
    <w:p>
      <w:pPr>
        <w:pStyle w:val="ListBullet"/>
      </w:pPr>
      <w:r>
        <w:t>Masumiyet karinesi başlık, soru, bildirim ve paylaşım kartına kadar uygulanır.</w:t>
      </w:r>
    </w:p>
    <w:p>
      <w:pPr>
        <w:pStyle w:val="ListBullet"/>
      </w:pPr>
      <w:r>
        <w:t>Soru suçun olup olmadığını değil süreç, tedbir, orantılılık, hukuk temel güveni, kurum etkisi gibi alanları ölçer.</w:t>
      </w:r>
    </w:p>
    <w:p>
      <w:pPr>
        <w:pStyle w:val="ListBullet"/>
      </w:pPr>
      <w:r>
        <w:t>P2+ için hukuk danışmanı onay eşiği risk matrisinde versioned policy olarak tanımlanır.</w:t>
      </w:r>
    </w:p>
    <w:p>
      <w:pPr>
        <w:pStyle w:val="Heading1"/>
      </w:pPr>
      <w:r>
        <w:t>8. Seçim dönemi</w:t>
      </w:r>
    </w:p>
    <w:p>
      <w:r>
        <w:t>P3 içerikler için ülkeye özgü seçim hukuku, platform politikaları, manipülasyon riski ve sonuç yayın zamanlaması release/publish anında kontrol edilir. Core ürün seçim araştırması değildir; ayrı araştırma ürünü ancak KEFE-RM altında yürütülebilir.</w:t>
      </w:r>
    </w:p>
    <w:p>
      <w:pPr>
        <w:pStyle w:val="Heading1"/>
      </w:pPr>
      <w:r>
        <w:t>9. Sonuç sunumu</w:t>
      </w:r>
    </w:p>
    <w:p>
      <w:pPr>
        <w:pStyle w:val="ListBullet"/>
      </w:pPr>
      <w:r>
        <w:t>Trusted Sample varsayılan analiz katmanıdır; P2+ için metodoloji linki görünürlüğü artırılır.</w:t>
      </w:r>
    </w:p>
    <w:p>
      <w:pPr>
        <w:pStyle w:val="ListBullet"/>
      </w:pPr>
      <w:r>
        <w:t>Viral/koordine saldırıda sonuç batch/delayed olabilir.</w:t>
      </w:r>
    </w:p>
    <w:p>
      <w:pPr>
        <w:pStyle w:val="ListBullet"/>
      </w:pPr>
      <w:r>
        <w:t>Ülke sonucu nüfus görüşü gibi sunulmaz.</w:t>
      </w:r>
    </w:p>
    <w:p>
      <w:pPr>
        <w:pStyle w:val="ListBullet"/>
      </w:pPr>
      <w:r>
        <w:t>Cohort kırılımları privacy threshold altında bastırılır.</w:t>
      </w:r>
    </w:p>
    <w:p>
      <w:pPr>
        <w:pStyle w:val="Heading1"/>
      </w:pPr>
      <w:r>
        <w:t>10. Distribution ve marketing ayrımı</w:t>
      </w:r>
    </w:p>
    <w:p>
      <w:pPr>
        <w:pStyle w:val="ListBullet"/>
      </w:pPr>
      <w:r>
        <w:t>Civic Case organic content olabilir; sponsor/paid distribution açık etiketlenir ve siyasi kampanya hedeflemesi yapılmaz.</w:t>
      </w:r>
    </w:p>
    <w:p>
      <w:pPr>
        <w:pStyle w:val="ListBullet"/>
      </w:pPr>
      <w:r>
        <w:t>Referral/notification dili kutuplaştırıcı veya “çoğunluğa yetiş” baskısı yaratmaz.</w:t>
      </w:r>
    </w:p>
    <w:p>
      <w:pPr>
        <w:pStyle w:val="ListBullet"/>
      </w:pPr>
      <w:r>
        <w:t>P3/P4 içerikler mağaza/platform/ülke politikaları açısından yayın anında ayrıca doğrulanır.</w:t>
      </w:r>
    </w:p>
    <w:p>
      <w:pPr>
        <w:pStyle w:val="Heading1"/>
      </w:pPr>
      <w:r>
        <w:t>11. Civic LAB</w:t>
      </w:r>
    </w:p>
    <w:p>
      <w:r>
        <w:t>Kimlik/framing/social influence deneyleri yalnız açık research bağlamında, KEFE-RM consent ve ethics metadata’sıyla yapılır. Consumer Commit First kuralının araştırma istisnaları normal feed davranışına taşınmaz.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P2+ Case insan editör onayı olmadan yayımlanamaz.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§23, §41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Core consumer ürün seçim desteği/tahmini üretmez.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§23.5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Masumiyet karinesi tüm UI copy yüzeylerine uygulanır.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§15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Political Risk ve Content Risk ayrı alanlardır.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§23.4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P3/P4 dağıtımı güncel hukuk/platform compliance kapısından geçer.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§23, §55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P3 result delay</w:t>
      </w:r>
    </w:p>
    <w:p>
      <w:pPr/>
      <w:r>
        <w:t>P3 içerikte real-time result yoktur. Minimum 60 dakikalık batch + integrity review uygulanır; seçim dönemi veya yerel hukuk/politika daha uzun gecikme gerektiriyorsa o kural üstün gelir. Kill switch zorunludur.</w:t>
      </w:r>
    </w:p>
    <w:p>
      <w:pPr>
        <w:pStyle w:val="Heading2"/>
      </w:pPr>
      <w:r>
        <w:t>Karar 2 — Legal review trigger</w:t>
      </w:r>
    </w:p>
    <w:p>
      <w:pPr/>
      <w:r>
        <w:t>P3 ve P4 her zaman legal/civic review ister. P2’de devam eden dava, tanımlanabilir gerçek kişi hakkında hukuki iddia, suç isnadı, tedbir/tutuklama/yargı süreci veya ciddi hak ihlali iddiası varsa hukuk onayı zorunludur.</w:t>
      </w:r>
    </w:p>
    <w:p>
      <w:pPr>
        <w:pStyle w:val="Heading2"/>
      </w:pPr>
      <w:r>
        <w:t>Karar 3 — Civic LAB consent</w:t>
      </w:r>
    </w:p>
    <w:p>
      <w:pPr/>
      <w:r>
        <w:t>Siyasi kimlik, social influence, framing veya randomized exposure araştırma amacı taşıyorsa ayrı study consent zorunludur; sıradan ürün A/B testi research sayılmaz.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P3 sonuç gecikmesi, legal review trigger ve Civic LAB consent kararları eklendi.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Civic Integrity &amp; Political Content Standard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 Integrity &amp; Political Content Standard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