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Commercial, Growth &amp; Distribution Standard</w:t>
      </w:r>
    </w:p>
    <w:p>
      <w:pPr>
        <w:jc w:val="center"/>
      </w:pPr>
      <w:r>
        <w:rPr>
          <w:color w:val="5D677A"/>
          <w:sz w:val="28"/>
        </w:rPr>
        <w:t>Freemium/Premium, Ödeme, Entitlement, Marketing ve Uygulama Mağazası Dağıtımı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KEFE-CGD-001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 / Growth / Engineering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KEFE-PB v1.4.0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Ticari anayasa</w:t>
      </w:r>
    </w:p>
    <w:p>
      <w:pPr>
        <w:pStyle w:val="ListBullet"/>
      </w:pPr>
      <w:r>
        <w:t>Temel karar katılımı ve temel kamusal perspektif paywall arkasına kilitlenmez.</w:t>
      </w:r>
    </w:p>
    <w:p>
      <w:pPr>
        <w:pStyle w:val="ListBullet"/>
      </w:pPr>
      <w:r>
        <w:t>Bireysel oy/karar geçmişi satılmaz.</w:t>
      </w:r>
    </w:p>
    <w:p>
      <w:pPr>
        <w:pStyle w:val="ListBullet"/>
      </w:pPr>
      <w:r>
        <w:t>Siyasi mikro hedefleme yapılmaz.</w:t>
      </w:r>
    </w:p>
    <w:p>
      <w:pPr>
        <w:pStyle w:val="ListBullet"/>
      </w:pPr>
      <w:r>
        <w:t>Premium “doğru cevabı” veya uzman gerçeğini satmaz; gelişmiş kişisel değer/analiz/konfor sunar.</w:t>
      </w:r>
    </w:p>
    <w:p>
      <w:pPr>
        <w:pStyle w:val="Heading1"/>
      </w:pPr>
      <w:r>
        <w:t>2. Freemium / KEFE+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Free Core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Premium adayları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Core Weigh + Commit First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Uzun dönem trend/Chronicle gelişmiş görünüm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Temel Reveal + community perspective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İleri My KEFE analizleri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Temel reason/perspective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Wrapped geçmişi / gelişmiş raporlar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Kaynak/metodoloji erişimi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Düşük riskli özel Lab paketleri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Privacy/export/delete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Ek kişiselleştirme/konfor; temel haklar değil</w:t>
            </w:r>
          </w:p>
        </w:tc>
      </w:tr>
    </w:tbl>
    <w:p/>
    <w:p>
      <w:pPr>
        <w:pStyle w:val="Heading1"/>
      </w:pPr>
      <w:r>
        <w:t>3. Entitlement mimarisi</w:t>
      </w:r>
    </w:p>
    <w:p>
      <w:pPr>
        <w:pStyle w:val="KEFEQuote"/>
      </w:pPr>
      <w:r>
        <w:t>Payment Provider → server-side verification/transaction state → Entitlement Service → feature access. Client veya provider receipt tek başına erişim otoritesi değildir.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Varlık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Amaç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ProductCatalog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canonical product/plan id, region availability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Offer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trial/intro/campaign metadata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PurchaseTransaction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provider reference, verified state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Subscription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renewal/status lifecycle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Entitlement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feature access truth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BillingAdapter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Apple/Google/web provider abstraction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CommercialConfig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price display/paywall copy/rollout metadata; provider source of truth kurallarına uygun</w:t>
            </w:r>
          </w:p>
        </w:tc>
      </w:tr>
    </w:tbl>
    <w:p/>
    <w:p>
      <w:pPr>
        <w:pStyle w:val="Heading1"/>
      </w:pPr>
      <w:r>
        <w:t>4. Subscription lifecycle</w:t>
      </w:r>
    </w:p>
    <w:p>
      <w:pPr>
        <w:pStyle w:val="ListBullet"/>
      </w:pPr>
      <w:r>
        <w:t>purchase pending/verified/failed</w:t>
      </w:r>
    </w:p>
    <w:p>
      <w:pPr>
        <w:pStyle w:val="ListBullet"/>
      </w:pPr>
      <w:r>
        <w:t>active/grace/past_due/expired/cancelled/revoked gibi provider-normalized states</w:t>
      </w:r>
    </w:p>
    <w:p>
      <w:pPr>
        <w:pStyle w:val="ListBullet"/>
      </w:pPr>
      <w:r>
        <w:t>restore purchase</w:t>
      </w:r>
    </w:p>
    <w:p>
      <w:pPr>
        <w:pStyle w:val="ListBullet"/>
      </w:pPr>
      <w:r>
        <w:t>refund/revoke</w:t>
      </w:r>
    </w:p>
    <w:p>
      <w:pPr>
        <w:pStyle w:val="ListBullet"/>
      </w:pPr>
      <w:r>
        <w:t>duplicate/idempotent webhook processing</w:t>
      </w:r>
    </w:p>
    <w:p>
      <w:pPr>
        <w:pStyle w:val="ListBullet"/>
      </w:pPr>
      <w:r>
        <w:t>entitlement recompute</w:t>
      </w:r>
    </w:p>
    <w:p>
      <w:pPr>
        <w:pStyle w:val="ListBullet"/>
      </w:pPr>
      <w:r>
        <w:t>support override yalnız audited ve süreli</w:t>
      </w:r>
    </w:p>
    <w:p>
      <w:pPr>
        <w:pStyle w:val="Heading1"/>
      </w:pPr>
      <w:r>
        <w:t>5. Fiyatlandırma ve katalog</w:t>
      </w:r>
    </w:p>
    <w:p>
      <w:pPr>
        <w:pStyle w:val="ListBullet"/>
      </w:pPr>
      <w:r>
        <w:t>Fiyat/para birimi hard-code edilmez.</w:t>
      </w:r>
    </w:p>
    <w:p>
      <w:pPr>
        <w:pStyle w:val="ListBullet"/>
      </w:pPr>
      <w:r>
        <w:t>Store/web price display provider/canonical catalog metadata’sından çözülür.</w:t>
      </w:r>
    </w:p>
    <w:p>
      <w:pPr>
        <w:pStyle w:val="ListBullet"/>
      </w:pPr>
      <w:r>
        <w:t>Region availability ve offer rollout config/feature flag ile; legal/tax/store constraints release-time doğrulanır.</w:t>
      </w:r>
    </w:p>
    <w:p>
      <w:pPr>
        <w:pStyle w:val="ListBullet"/>
      </w:pPr>
      <w:r>
        <w:t>Pricing experiment trust guardrail’ini ve deceptive dark pattern yasağını ihlal edemez.</w:t>
      </w:r>
    </w:p>
    <w:p>
      <w:pPr>
        <w:pStyle w:val="Heading1"/>
      </w:pPr>
      <w:r>
        <w:t>6. Store distribution</w:t>
      </w:r>
    </w:p>
    <w:p>
      <w:r>
        <w:t>Apple App Store ve Google Play politika detayları değişebildiği için bu belge sabit madde numaralarını canonical yapmaz. Her release, yayın tarihindeki resmî mağaza billing/privacy/age-rating/moderation/metadata/deep-link/account deletion ve ilgili gereksinimlere karşı tarihli compliance checklist’ten geçer.</w:t>
      </w:r>
    </w:p>
    <w:p>
      <w:pPr>
        <w:pStyle w:val="Heading1"/>
      </w:pPr>
      <w:r>
        <w:t>7. Marketing &amp; growth ilkeleri</w:t>
      </w:r>
    </w:p>
    <w:p>
      <w:pPr>
        <w:pStyle w:val="ListBullet"/>
      </w:pPr>
      <w:r>
        <w:t>Growth hedefi qualified user value ve perspective engagement; öfke/partizanlık değil.</w:t>
      </w:r>
    </w:p>
    <w:p>
      <w:pPr>
        <w:pStyle w:val="ListBullet"/>
      </w:pPr>
      <w:r>
        <w:t>Attribution/referral dataset’i sensitive decision history ile mikro hedefleme için birleşmez.</w:t>
      </w:r>
    </w:p>
    <w:p>
      <w:pPr>
        <w:pStyle w:val="ListBullet"/>
      </w:pPr>
      <w:r>
        <w:t>Lifecycle messaging consent/preferences’a uyar; clickbait/utandırma/streak baskısı yok.</w:t>
      </w:r>
    </w:p>
    <w:p>
      <w:pPr>
        <w:pStyle w:val="ListBullet"/>
      </w:pPr>
      <w:r>
        <w:t>Campaign creative hassas kişi/mağdur/veri ifşası yapmaz.</w:t>
      </w:r>
    </w:p>
    <w:p>
      <w:pPr>
        <w:pStyle w:val="Heading1"/>
      </w:pPr>
      <w:r>
        <w:t>8. Growth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Prensip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Referral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share/deep link; recipient result commit öncesi kilitli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Attribution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provider-independent adapter; minimum necessary campaign metadata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CRM/Lifecycle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semantic template keys + locale + consent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Experiments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assignment/version + guardrails; dark pattern yok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ASO/Store metadata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localized, truthful product claims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Partnership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sponsor disclosure; organic Case gibi gizlenmez</w:t>
            </w:r>
          </w:p>
        </w:tc>
      </w:tr>
    </w:tbl>
    <w:p/>
    <w:p>
      <w:pPr>
        <w:pStyle w:val="Heading1"/>
      </w:pPr>
      <w:r>
        <w:t>9. B2B ürünler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Ürün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Sınır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 Insights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Aggregated perception/decision trend; no user history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 Research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Study-scoped methodology/consent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 Pulse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n/date/sample warning/methodology taşıyan embed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API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Aggregate endpoints only; no individual decision API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Custom Studies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Açık sponsor/research etiketi</w:t>
            </w:r>
          </w:p>
        </w:tc>
      </w:tr>
    </w:tbl>
    <w:p/>
    <w:p>
      <w:pPr>
        <w:pStyle w:val="Heading1"/>
      </w:pPr>
      <w:r>
        <w:t>10. FinOps</w:t>
      </w:r>
    </w:p>
    <w:p>
      <w:pPr>
        <w:pStyle w:val="ListBullet"/>
      </w:pPr>
      <w:r>
        <w:t>AI/storage/CDN/DB/notification/payment fees capability bazında izlenir.</w:t>
      </w:r>
    </w:p>
    <w:p>
      <w:pPr>
        <w:pStyle w:val="ListBullet"/>
      </w:pPr>
      <w:r>
        <w:t>Cost per active user / meaningful weigh / case publish gibi birim maliyetler ölçülür.</w:t>
      </w:r>
    </w:p>
    <w:p>
      <w:pPr>
        <w:pStyle w:val="ListBullet"/>
      </w:pPr>
      <w:r>
        <w:t>Provider routing quality + latency + cost + availability ile optimize edilebilir.</w:t>
      </w:r>
    </w:p>
    <w:p>
      <w:pPr>
        <w:pStyle w:val="Heading1"/>
      </w:pPr>
      <w:r>
        <w:t>11. Commercial privacy</w:t>
      </w:r>
    </w:p>
    <w:p>
      <w:pPr>
        <w:pStyle w:val="ListBullet"/>
      </w:pPr>
      <w:r>
        <w:t>Payment card secret/raw credential KEFE domaininde tutulmaz; provider tokenization kullanılır.</w:t>
      </w:r>
    </w:p>
    <w:p>
      <w:pPr>
        <w:pStyle w:val="ListBullet"/>
      </w:pPr>
      <w:r>
        <w:t>Purchase/entitlement verisi karar içeriğiyle reklam profiline dönüştürülmez.</w:t>
      </w:r>
    </w:p>
    <w:p>
      <w:pPr>
        <w:pStyle w:val="ListBullet"/>
      </w:pPr>
      <w:r>
        <w:t>Marketing retention ayrı purpose/policy ile yönetilir.</w:t>
      </w:r>
    </w:p>
    <w:p>
      <w:pPr>
        <w:pStyle w:val="Heading1"/>
      </w:pPr>
      <w:r>
        <w:t>12.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Billing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Server verification, restore/refund/revoke, sandbox/prod separation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Entitlement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Provider-independent access truth + offline/degraded behavior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Privacy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Store disclosures + app policy consistency + deletion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Age/Content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Rating/content moderation metadata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Marketing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Attribution consent/SDK data 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Paywall/purchase flow accessible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Webhook retry/idempotency + kill switch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Compliance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Official current store/source review dated</w:t>
            </w:r>
          </w:p>
        </w:tc>
      </w:tr>
    </w:tbl>
    <w:p/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CGD-001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Premium erişim merkezi entitlement ile belirlenmelidir.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§47 + architecture principles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CGD-002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Bireysel karar geçmişi satılamaz veya siyasi mikro hedeflemede kullanılamaz.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§47, §55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CGD-003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Fiyat/katalog hard-code edilmemelidir.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configuration principles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CGD-004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Store compliance her release’te güncel resmî kaynaklarla doğrulanmalıdır.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§55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CGD-005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Marketing sensitive decision data’yı targeting’e açamaz.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§47, §55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KEFE+ launch gate</w:t>
      </w:r>
    </w:p>
    <w:p>
      <w:pPr/>
      <w:r>
        <w:t>İlk public beta ve PMF doğrulamasında paywall yoktur. En az 8 hafta beta, activated cohort 4-week retention ≥25%, Meaningful Weighs/WAU ≥3 ve trust/safety guardrail’lerinde gerileme olmaması ilk premium test için minimum gate’tir.</w:t>
      </w:r>
    </w:p>
    <w:p>
      <w:pPr>
        <w:pStyle w:val="Heading2"/>
      </w:pPr>
      <w:r>
        <w:t>Karar 2 — Payment channels</w:t>
      </w:r>
    </w:p>
    <w:p>
      <w:pPr/>
      <w:r>
        <w:t>İlk premium sürümde iOS/Android native billing + server-side transaction verification. Web checkout account linking, entitlement sync ve release-time store/legal policy gate sonrası ikinci aşamada açılır.</w:t>
      </w:r>
    </w:p>
    <w:p>
      <w:pPr>
        <w:pStyle w:val="Heading2"/>
      </w:pPr>
      <w:r>
        <w:t>Karar 3 — Trial / pricing ethics</w:t>
      </w:r>
    </w:p>
    <w:p>
      <w:pPr/>
      <w:r>
        <w:t>Trial, yenileme tarihi, süre ve fiyat satın alma öncesi açık görünür. Dark pattern, gizli fiyat artışı ve hassas karar profiline dayalı fiyat farklılaştırması yasaktır. İptal/restore akışı erişilebilir olmalıdır.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KEFE+ PMF gate, payment channels, entitlement ve trial/pricing ethics kararları eklendi.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Commercial, Growth &amp; Distribution Standard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Commercial, Growth &amp; Distribution Standard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