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Content &amp; Question Design Bible</w:t>
      </w:r>
    </w:p>
    <w:p>
      <w:pPr>
        <w:jc w:val="center"/>
      </w:pPr>
      <w:r>
        <w:rPr>
          <w:color w:val="5D677A"/>
          <w:sz w:val="28"/>
        </w:rPr>
        <w:t>İçerik Taksonomisi, Issue Tasarımı ve Soru Motoru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KEFE-CQB-001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Editorial / Product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KEFE-PB v1.4.0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Amaç ve kapsam</w:t>
      </w:r>
    </w:p>
    <w:p>
      <w:r>
        <w:t>Bu belge, KEFE içeriğinin Domain’den Weigh’e kadar nasıl modellenip üretileceğini ve yönlendirmesiz, karşılaştırılabilir, güvenli soruların nasıl tasarlanacağını tanımlar. İçeriğin editoryal üretim kuralı için KEFE-ETG, sonuç metodolojisi için KEFE-TIM uygulanır.</w:t>
      </w:r>
    </w:p>
    <w:p>
      <w:pPr>
        <w:pStyle w:val="Heading1"/>
      </w:pPr>
      <w:r>
        <w:t>2. Bağlayıcı içerik zinciri</w:t>
      </w:r>
    </w:p>
    <w:p>
      <w:pPr>
        <w:pStyle w:val="KEFEQuote"/>
      </w:pPr>
      <w:r>
        <w:t>DOMAIN → TOPIC → BASE FORMAT → EXPERIENCE MODIFIERS → EVENT/SCENARIO → ISSUE → QUESTION → WEIGH</w:t>
      </w:r>
    </w:p>
    <w:p>
      <w:pPr>
        <w:pStyle w:val="ListBullet"/>
      </w:pPr>
      <w:r>
        <w:t>Her Case bir primary domain taşır; secondary domain ve birden çok topic taşıyabilir.</w:t>
      </w:r>
    </w:p>
    <w:p>
      <w:pPr>
        <w:pStyle w:val="ListBullet"/>
      </w:pPr>
      <w:r>
        <w:t>Domain, Topic, Format ve Modifier data-driven registry kaydıdır; kullanıcı arayüzü taksonomiyi birebir göstermek zorunda değildir.</w:t>
      </w:r>
    </w:p>
    <w:p>
      <w:pPr>
        <w:pStyle w:val="ListBullet"/>
      </w:pPr>
      <w:r>
        <w:t>Event gerçek dünya olayı; Scenario kurgusal/deneysel bağlam; Issue karar çatışması; Question ölçüm birimidir.</w:t>
      </w:r>
    </w:p>
    <w:p>
      <w:pPr>
        <w:pStyle w:val="Heading1"/>
      </w:pPr>
      <w:r>
        <w:t>3. Taksonomi yönetişimi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Varlık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Zorunlu alanlar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Domain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code, canonical_name, label_key, active, sort_order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Koddan bağımsız registry; yeni kayıt mümkün olduğunda uygulama sürümü gerektirmez.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Topic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parent_id, domain_links, label_key, active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Hiyerarşik olabilir; aşırı etiketleme editoryal sınırla önlenir.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BaseFormat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code, schema_version, allowed_question_types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TODAY, DILEMMA, LAB, VS, CALL, DECIDE, RETRO resmî formatlardır.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Modifier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code, compatibility_rules, policy_effects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Modifier format değildir; uyumluluk motoru ile etkinleşir.</w:t>
            </w:r>
          </w:p>
        </w:tc>
      </w:tr>
    </w:tbl>
    <w:p/>
    <w:p>
      <w:pPr>
        <w:pStyle w:val="Heading1"/>
      </w:pPr>
      <w:r>
        <w:t>4. Base format sözleşmeleri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49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Girdi</w:t>
            </w:r>
          </w:p>
        </w:tc>
        <w:tc>
          <w:tcPr>
            <w:tcW w:type="dxa" w:w="249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Çekirdek davranış</w:t>
            </w:r>
          </w:p>
        </w:tc>
        <w:tc>
          <w:tcPr>
            <w:tcW w:type="dxa" w:w="249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DILEMMA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Scenario/evergreen context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Kısa bağlam → karar → reveal → reason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Çekirdek</w:t>
            </w:r>
          </w:p>
        </w:tc>
      </w:tr>
      <w:tr>
        <w:trPr>
          <w:cantSplit/>
        </w:trPr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CALL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Somut karar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Kullanıcı karar verici/yorumlayıcı rolünde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Sınırlı düşük risk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TODAY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Kaynaklı Event + claims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Versioned context + sources + issue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MVP sonrası trust fazı</w:t>
            </w:r>
          </w:p>
        </w:tc>
      </w:tr>
      <w:tr>
        <w:trPr>
          <w:cantSplit/>
        </w:trPr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LAB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Controlled variant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Randomization/progressive reveal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Intelligence fazı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VS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2+ bağımsız vaka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Önce ayrı commit, sonra consistency mirror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MVP sonrası</w:t>
            </w:r>
          </w:p>
        </w:tc>
      </w:tr>
      <w:tr>
        <w:trPr>
          <w:cantSplit/>
        </w:trPr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DECIDE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Kaynak/alternatif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Allocation/ranking/simulation</w:t>
            </w:r>
          </w:p>
        </w:tc>
        <w:tc>
          <w:tcPr>
            <w:tcW w:type="dxa" w:w="249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Roadmap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RETRO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Tarihsel bilgi seti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Outcome reveal gecikmeli</w:t>
            </w:r>
          </w:p>
        </w:tc>
        <w:tc>
          <w:tcPr>
            <w:tcW w:type="dxa" w:w="249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Roadmap</w:t>
            </w:r>
          </w:p>
        </w:tc>
      </w:tr>
    </w:tbl>
    <w:p/>
    <w:p>
      <w:pPr>
        <w:pStyle w:val="Heading1"/>
      </w:pPr>
      <w:r>
        <w:t>5. Modifier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Modifier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Uygunluk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Zorunlu güvenlik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BLIND_FIRST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LAB/CALL özel deney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Kimlik/bağlam gizleme metodolojik gerekçeli olmalı.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EVOLVE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TODAY/CALL/DECIDE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CaseVersion ve decision recall zorunlu.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CIVIC_INTEGRITY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 içerik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KEFE-CIV politikaları devreye girer.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SENSITIVE_MODE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L1-L3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Risk seviyesi UI/gamification/moderasyon politikasını değiştirir.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CROSS_COUNTRY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Karşılaştırılabilir question versions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jurisdiction + localization_method saklanır.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CONFIDENCE_CAPTURE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Uygun araştırma/karar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akışta zorunlu değildir.</w:t>
            </w:r>
          </w:p>
        </w:tc>
      </w:tr>
    </w:tbl>
    <w:p/>
    <w:p>
      <w:pPr>
        <w:pStyle w:val="Heading1"/>
      </w:pPr>
      <w:r>
        <w:t>6. Issue tasarımı</w:t>
      </w:r>
    </w:p>
    <w:p>
      <w:pPr>
        <w:pStyle w:val="ListBullet"/>
      </w:pPr>
      <w:r>
        <w:t>Issue tek bir kişiyi yargılamaz; davranış, süreç, politika, orantılılık veya değer çatışmasını tanımlar.</w:t>
      </w:r>
    </w:p>
    <w:p>
      <w:pPr>
        <w:pStyle w:val="ListBullet"/>
      </w:pPr>
      <w:r>
        <w:t>Bir Event birden fazla Issue üretebilir; her Issue ayrı yayımlanabilir ve farklı risk sınıfı taşıyabilir.</w:t>
      </w:r>
    </w:p>
    <w:p>
      <w:pPr>
        <w:pStyle w:val="ListBullet"/>
      </w:pPr>
      <w:r>
        <w:t>Issue başlığı hüküm değil gerilim veya karar problemini ifade eder.</w:t>
      </w:r>
    </w:p>
    <w:p>
      <w:pPr>
        <w:pStyle w:val="ListBullet"/>
      </w:pPr>
      <w:r>
        <w:t>Bilimsel, hukuki ve doğrulanabilir olgular opinion question’a çevrilmez.</w:t>
      </w:r>
    </w:p>
    <w:p>
      <w:pPr>
        <w:pStyle w:val="Heading1"/>
      </w:pPr>
      <w:r>
        <w:t>7. Universal Decision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Boyut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Ölçtüğü şey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Not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Rules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Kural/norm uyumu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Legal validity ile aynı değildir.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Fairness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Adalet algısı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Rules ile zıt kabul edilmez.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Empathy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Koşulları anlama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Onaylama anlamına gelmez.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Consequence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Yaptırım gerekliliği/şiddeti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Proportionality ile birlikte kullanılabilir.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Responsibility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Sorumluluk payı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Gerçek kişi suçluluğu için kullanılmaz.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Proportionality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Tedbir/yaptırım oranı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Özellikle hukuk/civic.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Kullanıcı tercihi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Formatın ana karar çıktısı olabilir.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Confidence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Karar güveni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Opsiyonel.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Expected Outcome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Ne olacağı beklentisi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Desired outcome’dan ayrıdır.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Institutional Trust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Kuruma güven etkisi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Civic/kurumsal bağlam.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Privacy/Freedom/Security/Public Benefit/Autonomy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Değer eksenleri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Issue gerektirirse seçilir.</w:t>
            </w:r>
          </w:p>
        </w:tc>
      </w:tr>
    </w:tbl>
    <w:p/>
    <w:p>
      <w:pPr>
        <w:pStyle w:val="Heading1"/>
      </w:pPr>
      <w:r>
        <w:t>8. Soru tipi sözleşmeleri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Validasyon</w:t>
            </w:r>
          </w:p>
        </w:tc>
        <w:tc>
          <w:tcPr>
            <w:tcW w:type="dxa" w:w="3331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Kullanım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SCALE_10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1-10 integer; semantic endpoints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Boyut ölçümü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BINARY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 seçenek + gerekirse abstain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Net karar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SINGLE_CHOICE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 option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Karar/tercih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MULTIPLE_CHOICE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min/max select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Birden çok uygun seçenek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RANKING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tam/kısmi sıralama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Öncelik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ALLOCATION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toplam = configured total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Bütçe/paylaştırma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CONTINUOUS_SLIDER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domain-specific range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Sürekli nicelik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CONFIDENCE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scale/category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Karar güveni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ENOUGH_INFORMATION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explicit abstention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Zorlamayı önler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OPEN_REASON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length + moderation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Kısa gerekçe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DESIRED/EXPECTED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ayrı alanlar</w:t>
            </w:r>
          </w:p>
        </w:tc>
        <w:tc>
          <w:tcPr>
            <w:tcW w:type="dxa" w:w="333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Beklenti uçurumu</w:t>
            </w:r>
          </w:p>
        </w:tc>
      </w:tr>
      <w:tr>
        <w:trPr>
          <w:cantSplit/>
        </w:trPr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BEFORE_AFTER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linked stages</w:t>
            </w:r>
          </w:p>
        </w:tc>
        <w:tc>
          <w:tcPr>
            <w:tcW w:type="dxa" w:w="3331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LAB/EVOLVE</w:t>
            </w:r>
          </w:p>
        </w:tc>
      </w:tr>
    </w:tbl>
    <w:p/>
    <w:p>
      <w:pPr>
        <w:pStyle w:val="Heading1"/>
      </w:pPr>
      <w:r>
        <w:t>9. Tarafsızlık ve wording kuralları</w:t>
      </w:r>
    </w:p>
    <w:p>
      <w:pPr>
        <w:pStyle w:val="ListBullet"/>
      </w:pPr>
      <w:r>
        <w:t>Soru tek bir “doğru” cevabı ima etmez.</w:t>
      </w:r>
    </w:p>
    <w:p>
      <w:pPr>
        <w:pStyle w:val="ListBullet"/>
      </w:pPr>
      <w:r>
        <w:t>Loaded, accusatory, sensational ve moralizing dil kullanılmaz.</w:t>
      </w:r>
    </w:p>
    <w:p>
      <w:pPr>
        <w:pStyle w:val="ListBullet"/>
      </w:pPr>
      <w:r>
        <w:t>Negation stacking ve belirsiz zaman/özne kullanımından kaçınılır.</w:t>
      </w:r>
    </w:p>
    <w:p>
      <w:pPr>
        <w:pStyle w:val="ListBullet"/>
      </w:pPr>
      <w:r>
        <w:t>Başlık ile soru aynı iddiayı farklı biçimde iki kez yönlendirmez.</w:t>
      </w:r>
    </w:p>
    <w:p>
      <w:pPr>
        <w:pStyle w:val="ListBullet"/>
      </w:pPr>
      <w:r>
        <w:t>Gerekli olduğunda “yeterli bilgim yok” seçeneği bulunur.</w:t>
      </w:r>
    </w:p>
    <w:p>
      <w:pPr>
        <w:pStyle w:val="ListBullet"/>
      </w:pPr>
      <w:r>
        <w:t>Response options mutually exclusive/collectively adequate olacak şekilde tasarlanır veya çoklu seçim açıkça belirtilir.</w:t>
      </w:r>
    </w:p>
    <w:p>
      <w:pPr>
        <w:pStyle w:val="Heading1"/>
      </w:pPr>
      <w:r>
        <w:t>10. Question versioning ve karşılaştırılabilirlik</w:t>
      </w:r>
    </w:p>
    <w:p>
      <w:pPr>
        <w:pStyle w:val="ListBullet"/>
      </w:pPr>
      <w:r>
        <w:t>Her question canonical id + question_version taşır.</w:t>
      </w:r>
    </w:p>
    <w:p>
      <w:pPr>
        <w:pStyle w:val="ListBullet"/>
      </w:pPr>
      <w:r>
        <w:t>Anlamı değiştiren wording değişikliği yeni version üretir.</w:t>
      </w:r>
    </w:p>
    <w:p>
      <w:pPr>
        <w:pStyle w:val="ListBullet"/>
      </w:pPr>
      <w:r>
        <w:t>Yalnız aynı comparability_group içindeki sürümler birleştirilebilir.</w:t>
      </w:r>
    </w:p>
    <w:p>
      <w:pPr>
        <w:pStyle w:val="ListBullet"/>
      </w:pPr>
      <w:r>
        <w:t>Localization yöntemi ve jurisdiction scope sonuç verisiyle birlikte saklanır.</w:t>
      </w:r>
    </w:p>
    <w:p>
      <w:pPr>
        <w:pStyle w:val="Heading1"/>
      </w:pPr>
      <w:r>
        <w:t>11. Hassas ve civic içerik</w:t>
      </w:r>
    </w:p>
    <w:p>
      <w:r>
        <w:t>L2/L3 ve P2+ içeriklerde soru tasarımı KEFE-TIM, KEFE-CIV, KEFE-SEC ve gerektiğinde uzman/hukuk incelemesine tabidir. Trajedi, suçluluk veya fail popülerliği oyunlaştırılmaz.</w:t>
      </w:r>
    </w:p>
    <w:p>
      <w:pPr>
        <w:pStyle w:val="Heading1"/>
      </w:pPr>
      <w:r>
        <w:t>12. İçerik kalite puanı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Boyut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 conflict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Gerçek karar/değer çatışması var mı?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Perspective diversity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Birden fazla savunulabilir perspektif var mı?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Fact boundary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Olgu ile kanaat ayrılmış mı?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Neutrality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Wording yönlendirmesiz mi?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Comparability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Version/localization analize uygun mu?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Harm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Potansiyel zarar yönetilmiş mi?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Utility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Kullanıcı/kamu yararı var mı?</w:t>
            </w:r>
          </w:p>
        </w:tc>
      </w:tr>
    </w:tbl>
    <w:p/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CQB-001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Question, Issue’ya bağlı ve versioned response schema taşımalıdır.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§8, §12, §14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CQB-002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Commit First öncesi topluluk sonucu soru bağlamına sızmamalıdır.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CQB-003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Bir soru bilimsel/hukuki olguyu kullanıcı kanaatine dönüştüremez.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§13-15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CQB-004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Localization comparability metadata’sı saklanmalıdır.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§30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CQB-005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L3 içerikte oyunlaştırma soru tasarımından çıkarılmalıdır.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§24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MVP question template family</w:t>
      </w:r>
    </w:p>
    <w:p>
      <w:pPr/>
      <w:r>
        <w:t>MVP 12 canonical template family ile başlar: Decision, Rules, Fairness, Empathy, Proportionality, Responsibility, Privacy, Freedom, Security, Public Benefit, Expected Outcome ve Confidence/Enough Information yardımcıları. Case’e göre yalnız gerekli olanlar kullanılır.</w:t>
      </w:r>
    </w:p>
    <w:p>
      <w:pPr>
        <w:pStyle w:val="Heading2"/>
      </w:pPr>
      <w:r>
        <w:t>Karar 2 — SCALE_10 endpoint sözlüğü</w:t>
      </w:r>
    </w:p>
    <w:p>
      <w:pPr/>
      <w:r>
        <w:t>Semantic endpoint lexicon merkezi registry’de tanımlanır; domain/topic yalnız onaylı override yapabilir. Endpoint copy localization key üzerinden gelir ve versioned olur.</w:t>
      </w:r>
    </w:p>
    <w:p>
      <w:pPr>
        <w:pStyle w:val="Heading2"/>
      </w:pPr>
      <w:r>
        <w:t>Karar 3 — Legacy taxonomy mapping</w:t>
      </w:r>
    </w:p>
    <w:p>
      <w:pPr/>
      <w:r>
        <w:t>Consumer &amp; Commerce = Economy &amp; Money / Daily Life topic; Gaming &amp; Digital Entertainment = Culture &amp; Media / Technology &amp; AI topic; History = RETRO format lens; Ethics &amp; Philosophy = cross-domain DILEMMA/LAB collection. Bunlar ayrı core domain olarak geri eklenmez.</w:t>
      </w:r>
    </w:p>
    <w:p>
      <w:pPr>
        <w:pStyle w:val="Heading2"/>
      </w:pPr>
      <w:r>
        <w:t>Karar 4 — Topic görünürlüğü</w:t>
      </w:r>
    </w:p>
    <w:p>
      <w:pPr/>
      <w:r>
        <w:t>Backend topic hiyerarşisi derin olabilir; consumer yüzünde aynı anda üst kategori + topic olmak üzere en fazla iki seviye ve kart başına en fazla iki yardımcı topic chip gösterilir.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MVP question template ailesi, semantic endpoint lexicon, legacy taxonomy mapping ve UI topic görünürlüğü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Content &amp; Question Design Bible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&amp; Question Design Bible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