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352"/>
      </w:tblGrid>
      <w:tr>
        <w:trPr>
          <w:cantSplit/>
        </w:trPr>
        <w:tc>
          <w:tcPr>
            <w:tcW w:type="dxa" w:w="4997"/>
            <w:shd w:fill="0B132B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D4A64A"/>
                <w:sz w:val="36"/>
              </w:rPr>
              <w:t>KEFE</w:t>
            </w:r>
          </w:p>
        </w:tc>
        <w:tc>
          <w:tcPr>
            <w:tcW w:type="dxa" w:w="4997"/>
            <w:shd w:fill="0B132B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22"/>
              </w:rPr>
              <w:t>WEIGH WHAT’S RIGHT.</w:t>
            </w:r>
          </w:p>
        </w:tc>
      </w:tr>
    </w:tbl>
    <w:p/>
    <w:p>
      <w:pPr>
        <w:jc w:val="center"/>
      </w:pPr>
      <w:r>
        <w:rPr>
          <w:rFonts w:ascii="Aptos Display" w:hAnsi="Aptos Display"/>
          <w:b/>
          <w:color w:val="0B132B"/>
          <w:sz w:val="54"/>
        </w:rPr>
        <w:t>Decision Graph Specification</w:t>
      </w:r>
    </w:p>
    <w:p>
      <w:pPr>
        <w:jc w:val="center"/>
      </w:pPr>
      <w:r>
        <w:rPr>
          <w:color w:val="5D677A"/>
          <w:sz w:val="28"/>
        </w:rPr>
        <w:t>Karar Yolculuğu, İlişkiler ve Uzun Dönemli Veri Varlığı</w:t>
      </w:r>
    </w:p>
    <w:p>
      <w:pPr>
        <w:jc w:val="center"/>
      </w:pPr>
      <w:r>
        <w:rPr>
          <w:color w:val="D4A64A"/>
        </w:rPr>
        <w:t>────────────────────────────</w:t>
      </w:r>
    </w:p>
    <w:p>
      <w:pPr>
        <w:jc w:val="center"/>
      </w:pPr>
      <w:r>
        <w:rPr>
          <w:b/>
          <w:color w:val="D4A64A"/>
          <w:sz w:val="26"/>
        </w:rPr>
        <w:t>APPROVED BASELINE</w:t>
      </w:r>
    </w:p>
    <w:p>
      <w:pPr>
        <w:jc w:val="center"/>
      </w:pPr>
      <w:r>
        <w:rPr>
          <w:color w:val="5D677A"/>
          <w:sz w:val="20"/>
        </w:rPr>
        <w:t>Versiyon 1.1.0  •  27 Temmuz 2026</w:t>
      </w:r>
    </w:p>
    <w:p>
      <w:pPr>
        <w:pStyle w:val="KEFEQuote"/>
        <w:jc w:val="center"/>
      </w:pPr>
      <w:r>
        <w:t>Kural ne diyor, vicdan ne söylüyor?</w:t>
      </w:r>
    </w:p>
    <w:p>
      <w:r>
        <w:br w:type="page"/>
      </w:r>
    </w:p>
    <w:p>
      <w:pPr>
        <w:pStyle w:val="Heading1"/>
      </w:pPr>
      <w:r>
        <w:t>BELGE KONTROLÜ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592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Alan</w:t>
            </w:r>
          </w:p>
        </w:tc>
        <w:tc>
          <w:tcPr>
            <w:tcW w:type="dxa" w:w="7488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Değer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Belge kimliği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KEFE-DGS-001</w:t>
            </w:r>
          </w:p>
        </w:tc>
      </w:tr>
      <w:tr>
        <w:trPr>
          <w:cantSplit/>
        </w:trPr>
        <w:tc>
          <w:tcPr>
            <w:tcW w:type="dxa" w:w="2592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Sürüm</w:t>
            </w:r>
          </w:p>
        </w:tc>
        <w:tc>
          <w:tcPr>
            <w:tcW w:type="dxa" w:w="748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1.1.0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Tarih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27 Temmuz 2026</w:t>
            </w:r>
          </w:p>
        </w:tc>
      </w:tr>
      <w:tr>
        <w:trPr>
          <w:cantSplit/>
        </w:trPr>
        <w:tc>
          <w:tcPr>
            <w:tcW w:type="dxa" w:w="2592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Durum</w:t>
            </w:r>
          </w:p>
        </w:tc>
        <w:tc>
          <w:tcPr>
            <w:tcW w:type="dxa" w:w="748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Approved Baseline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Belge sahibi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Data / Product</w:t>
            </w:r>
          </w:p>
        </w:tc>
      </w:tr>
      <w:tr>
        <w:trPr>
          <w:cantSplit/>
        </w:trPr>
        <w:tc>
          <w:tcPr>
            <w:tcW w:type="dxa" w:w="2592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Normatif otorite</w:t>
            </w:r>
          </w:p>
        </w:tc>
        <w:tc>
          <w:tcPr>
            <w:tcW w:type="dxa" w:w="748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KEFE-MPD v1.2.0 + KEFE-ENG v0.4.0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Gözden geçirme ritmi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Her ana karar veya ilgili sistem değişikliği sonrası</w:t>
            </w:r>
          </w:p>
        </w:tc>
      </w:tr>
      <w:tr>
        <w:trPr>
          <w:cantSplit/>
        </w:trPr>
        <w:tc>
          <w:tcPr>
            <w:tcW w:type="dxa" w:w="2592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Çelişki kuralı</w:t>
            </w:r>
          </w:p>
        </w:tc>
        <w:tc>
          <w:tcPr>
            <w:tcW w:type="dxa" w:w="748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En yeni onaylı KEFE Master Product Document kararı geçerlidir; belge manifesti ve durumlar için KEFE-GOV geçerlidir.</w:t>
            </w:r>
          </w:p>
        </w:tc>
      </w:tr>
    </w:tbl>
    <w:p/>
    <w:p>
      <w:pPr>
        <w:pStyle w:val="Heading1"/>
      </w:pPr>
      <w:r>
        <w:t>1. Amaç</w:t>
      </w:r>
    </w:p>
    <w:p>
      <w:r>
        <w:t>Decision Graph, kullanıcının hangi kararı verdiğini değil kararın hangi bağlam, bilgi, gerekçe, kimlik açıklaması ve zaman etkisiyle değiştiğini ilişkilendiren pseudonymous veri modelidir. Hassas kimlik tahmini veya siyasi hedefleme için kullanılamaz.</w:t>
      </w:r>
    </w:p>
    <w:p>
      <w:pPr>
        <w:pStyle w:val="Heading1"/>
      </w:pPr>
      <w:r>
        <w:t>2. Graph node tipleri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331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Node</w:t>
            </w:r>
          </w:p>
        </w:tc>
        <w:tc>
          <w:tcPr>
            <w:tcW w:type="dxa" w:w="3331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Kimlik</w:t>
            </w:r>
          </w:p>
        </w:tc>
        <w:tc>
          <w:tcPr>
            <w:tcW w:type="dxa" w:w="3331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Ana metadata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Actor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actor_id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pseudonymous; vault dışı</w:t>
            </w:r>
          </w:p>
        </w:tc>
      </w:tr>
      <w:tr>
        <w:trPr>
          <w:cantSplit/>
        </w:trPr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Case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case_id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format/domain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CaseVersion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version_id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immutable information set</w:t>
            </w:r>
          </w:p>
        </w:tc>
      </w:tr>
      <w:tr>
        <w:trPr>
          <w:cantSplit/>
        </w:trPr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Issue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issue_id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decision conflict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QuestionVersion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question_version_id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comparability/schema</w:t>
            </w:r>
          </w:p>
        </w:tc>
      </w:tr>
      <w:tr>
        <w:trPr>
          <w:cantSplit/>
        </w:trPr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WeighSession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session_id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journey_stage, timestamps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Response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response_id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typed value</w:t>
            </w:r>
          </w:p>
        </w:tc>
      </w:tr>
      <w:tr>
        <w:trPr>
          <w:cantSplit/>
        </w:trPr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DecisionRevision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revision_id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from/to session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Exposure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exposure_id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context/source/reason seen</w:t>
            </w:r>
          </w:p>
        </w:tc>
      </w:tr>
      <w:tr>
        <w:trPr>
          <w:cantSplit/>
        </w:trPr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Reason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reason_id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UGC + moderation state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ReasonReaction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reaction_id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influence/bridge signal</w:t>
            </w:r>
          </w:p>
        </w:tc>
      </w:tr>
      <w:tr>
        <w:trPr>
          <w:cantSplit/>
        </w:trPr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ExperimentAssignment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assignment_id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variant, study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ResultSnapshot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snapshot_id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sample/methodology</w:t>
            </w:r>
          </w:p>
        </w:tc>
      </w:tr>
    </w:tbl>
    <w:p/>
    <w:p>
      <w:pPr>
        <w:pStyle w:val="Heading1"/>
      </w:pPr>
      <w:r>
        <w:t>3. Edge tipleri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331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Edge</w:t>
            </w:r>
          </w:p>
        </w:tc>
        <w:tc>
          <w:tcPr>
            <w:tcW w:type="dxa" w:w="3331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Anlam</w:t>
            </w:r>
          </w:p>
        </w:tc>
        <w:tc>
          <w:tcPr>
            <w:tcW w:type="dxa" w:w="3331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Zorunlu veri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ACTOR_COMMITTED_SESSION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Actor kararı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actor_id, session_id, time</w:t>
            </w:r>
          </w:p>
        </w:tc>
      </w:tr>
      <w:tr>
        <w:trPr>
          <w:cantSplit/>
        </w:trPr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SESSION_ON_VERSION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Görülen bilgi seti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case_version_id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SESSION_ANSWERED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Response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question_version_id</w:t>
            </w:r>
          </w:p>
        </w:tc>
      </w:tr>
      <w:tr>
        <w:trPr>
          <w:cantSplit/>
        </w:trPr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SESSION_REVISES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Karar güncelleme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from_session, trigger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SESSION_EXPOSED_TO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Kaynak/context/reason exposure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type, object_id, occurred_at</w:t>
            </w:r>
          </w:p>
        </w:tc>
      </w:tr>
      <w:tr>
        <w:trPr>
          <w:cantSplit/>
        </w:trPr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REASON_INFLUENCED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Gerekçe etkisi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reaction/influence level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ASSIGNED_TO_VARIANT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LAB randomization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study/version</w:t>
            </w:r>
          </w:p>
        </w:tc>
      </w:tr>
      <w:tr>
        <w:trPr>
          <w:cantSplit/>
        </w:trPr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SNAPSHOT_AGGREGATES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Toplu sonuç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sample_definition + methodology</w:t>
            </w:r>
          </w:p>
        </w:tc>
      </w:tr>
    </w:tbl>
    <w:p/>
    <w:p>
      <w:pPr>
        <w:pStyle w:val="Heading1"/>
      </w:pPr>
      <w:r>
        <w:t>4. Journey stages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331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Stage</w:t>
            </w:r>
          </w:p>
        </w:tc>
        <w:tc>
          <w:tcPr>
            <w:tcW w:type="dxa" w:w="3331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Tanım</w:t>
            </w:r>
          </w:p>
        </w:tc>
        <w:tc>
          <w:tcPr>
            <w:tcW w:type="dxa" w:w="3331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Minimum evidence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V0 Immediate Reaction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Kısa özet sonrası ilk tepki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case summary exposure</w:t>
            </w:r>
          </w:p>
        </w:tc>
      </w:tr>
      <w:tr>
        <w:trPr>
          <w:cantSplit/>
        </w:trPr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V1 Informed Decision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Detay/kaynak sonrası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context/source exposure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V2 Perspective-Aware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Karşıt gerekçe sonrası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reason exposure</w:t>
            </w:r>
          </w:p>
        </w:tc>
      </w:tr>
      <w:tr>
        <w:trPr>
          <w:cantSplit/>
        </w:trPr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V3+ Updated Decision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Yeni doğrulanmış bilgi/tekrar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revision trigger + new version or temporal retest</w:t>
            </w:r>
          </w:p>
        </w:tc>
      </w:tr>
    </w:tbl>
    <w:p/>
    <w:p>
      <w:pPr>
        <w:pStyle w:val="Heading1"/>
      </w:pPr>
      <w:r>
        <w:t>5. Invariant’lar</w:t>
      </w:r>
    </w:p>
    <w:p>
      <w:pPr>
        <w:pStyle w:val="ListBullet"/>
      </w:pPr>
      <w:r>
        <w:t>Committed session mutable değildir; yeni karar revision oluşturur.</w:t>
      </w:r>
    </w:p>
    <w:p>
      <w:pPr>
        <w:pStyle w:val="ListBullet"/>
      </w:pPr>
      <w:r>
        <w:t>CaseVersion immutable’dır.</w:t>
      </w:r>
    </w:p>
    <w:p>
      <w:pPr>
        <w:pStyle w:val="ListBullet"/>
      </w:pPr>
      <w:r>
        <w:t>Response, kullanılan question_version ve schema_version ile saklanır.</w:t>
      </w:r>
    </w:p>
    <w:p>
      <w:pPr>
        <w:pStyle w:val="ListBullet"/>
      </w:pPr>
      <w:r>
        <w:t>Exposure kaydı karar aşamasını açıklayacak minimum audit için tutulur; gereksiz gözetim verisi toplanmaz.</w:t>
      </w:r>
    </w:p>
    <w:p>
      <w:pPr>
        <w:pStyle w:val="ListBullet"/>
      </w:pPr>
      <w:r>
        <w:t>Identity Vault verisi graph node’u değildir.</w:t>
      </w:r>
    </w:p>
    <w:p>
      <w:pPr>
        <w:pStyle w:val="Heading1"/>
      </w:pPr>
      <w:r>
        <w:t>6. Storage yaklaşımı</w:t>
      </w:r>
    </w:p>
    <w:p>
      <w:r>
        <w:t>MVP’de graph fiziksel graph database gerektirmez. PostgreSQL ilişkisel tabloları sistem of record olabilir; graph view/read model sonradan üretilebilir. Domain API graph storage motoruna bağımlı değildir. Graph database ancak ölçülmüş sorgu ihtiyacı ve maliyet avantajı olduğunda adapter/read model olarak eklenir.</w:t>
      </w:r>
    </w:p>
    <w:p>
      <w:pPr>
        <w:pStyle w:val="Heading1"/>
      </w:pPr>
      <w:r>
        <w:t>7. Metrik lineage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997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Metrik</w:t>
            </w:r>
          </w:p>
        </w:tc>
        <w:tc>
          <w:tcPr>
            <w:tcW w:type="dxa" w:w="4997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Gerekli graph ilişkisi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Decision Transformation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SESSION_REVISES</w:t>
            </w:r>
          </w:p>
        </w:tc>
      </w:tr>
      <w:tr>
        <w:trPr>
          <w:cantSplit/>
        </w:trPr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Information Effect</w:t>
            </w:r>
          </w:p>
        </w:tc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ASSIGNED_TO_VARIANT + exposure + revision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Persuasion/Bridge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SESSION_EXPOSED_TO reason + REASON_INFLUENCED</w:t>
            </w:r>
          </w:p>
        </w:tc>
      </w:tr>
      <w:tr>
        <w:trPr>
          <w:cantSplit/>
        </w:trPr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Context Sensitivity</w:t>
            </w:r>
          </w:p>
        </w:tc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Benzer Issue/Case setinde session pattern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Consistency Mirror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Predefined comparable Case pair</w:t>
            </w:r>
          </w:p>
        </w:tc>
      </w:tr>
      <w:tr>
        <w:trPr>
          <w:cantSplit/>
        </w:trPr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Team Affiliation Effect</w:t>
            </w:r>
          </w:p>
        </w:tc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blind/reveal exposure + before/after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Historical Perspective Gap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RETRO stage pair</w:t>
            </w:r>
          </w:p>
        </w:tc>
      </w:tr>
    </w:tbl>
    <w:p/>
    <w:p>
      <w:pPr>
        <w:pStyle w:val="Heading1"/>
      </w:pPr>
      <w:r>
        <w:t>8. Privacy ve consent</w:t>
      </w:r>
    </w:p>
    <w:p>
      <w:pPr>
        <w:pStyle w:val="ListBullet"/>
      </w:pPr>
      <w:r>
        <w:t>Kişisel içgörü, research ve product analytics kullanım amaçları consent/policy ile ayrılır.</w:t>
      </w:r>
    </w:p>
    <w:p>
      <w:pPr>
        <w:pStyle w:val="ListBullet"/>
      </w:pPr>
      <w:r>
        <w:t>Hassas self-profile graph’a doğrudan kimlik etiketi olarak çoğaltılmaz; scoped reference/derived cohort politikası uygulanır.</w:t>
      </w:r>
    </w:p>
    <w:p>
      <w:pPr>
        <w:pStyle w:val="ListBullet"/>
      </w:pPr>
      <w:r>
        <w:t>Deletion workflow actor graph lineage’ını policy’ye göre siler veya irreversible aggregation’a dönüştürür; audit gereksinimleri SEC ile belirlenir.</w:t>
      </w:r>
    </w:p>
    <w:p>
      <w:pPr>
        <w:pStyle w:val="Heading1"/>
      </w:pPr>
      <w:r>
        <w:t>9. Query contracts</w:t>
      </w:r>
    </w:p>
    <w:p>
      <w:pPr>
        <w:pStyle w:val="ListBullet"/>
      </w:pPr>
      <w:r>
        <w:t>Get decision timeline(actor, scope, time_window)</w:t>
      </w:r>
    </w:p>
    <w:p>
      <w:pPr>
        <w:pStyle w:val="ListBullet"/>
      </w:pPr>
      <w:r>
        <w:t>Get revision causes(actor, case)</w:t>
      </w:r>
    </w:p>
    <w:p>
      <w:pPr>
        <w:pStyle w:val="ListBullet"/>
      </w:pPr>
      <w:r>
        <w:t>Get comparable decisions(actor, comparability_group)</w:t>
      </w:r>
    </w:p>
    <w:p>
      <w:pPr>
        <w:pStyle w:val="ListBullet"/>
      </w:pPr>
      <w:r>
        <w:t>Build aggregate transition matrix(sample_definition)</w:t>
      </w:r>
    </w:p>
    <w:p>
      <w:pPr>
        <w:pStyle w:val="ListBullet"/>
      </w:pPr>
      <w:r>
        <w:t>Compute eligible insight only if metric-specific threshold passes</w:t>
      </w:r>
    </w:p>
    <w:p>
      <w:pPr>
        <w:pStyle w:val="Heading1"/>
      </w:pPr>
      <w:r>
        <w:t>10. Evolution</w:t>
      </w:r>
    </w:p>
    <w:p>
      <w:pPr>
        <w:pStyle w:val="ListBullet"/>
      </w:pPr>
      <w:r>
        <w:t>Node/edge schemas versioned.</w:t>
      </w:r>
    </w:p>
    <w:p>
      <w:pPr>
        <w:pStyle w:val="ListBullet"/>
      </w:pPr>
      <w:r>
        <w:t>Event → graph projection replayable.</w:t>
      </w:r>
    </w:p>
    <w:p>
      <w:pPr>
        <w:pStyle w:val="ListBullet"/>
      </w:pPr>
      <w:r>
        <w:t>Derived edges yeniden üretilebilir; raw domain records canonical kalır.</w:t>
      </w:r>
    </w:p>
    <w:p>
      <w:pPr>
        <w:pStyle w:val="ListBullet"/>
      </w:pPr>
      <w:r>
        <w:t>Yeni storage provider migration için export/import doğrulaması ve dual-read/dual-write yalnız gerekirse kullanılır.</w:t>
      </w:r>
    </w:p>
    <w:p>
      <w:pPr>
        <w:pStyle w:val="Heading2"/>
      </w:pPr>
      <w:r>
        <w:t>Bağlayıcı gereksinimler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656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6768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Gereksinim</w:t>
            </w:r>
          </w:p>
        </w:tc>
        <w:tc>
          <w:tcPr>
            <w:tcW w:type="dxa" w:w="1728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Üst kaynak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DGS-001</w:t>
            </w:r>
          </w:p>
        </w:tc>
        <w:tc>
          <w:tcPr>
            <w:tcW w:type="dxa" w:w="67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Karar geçmişi tek nihai değere overwrite edilemez.</w:t>
            </w:r>
          </w:p>
        </w:tc>
        <w:tc>
          <w:tcPr>
            <w:tcW w:type="dxa" w:w="17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MPD §7, §17, §54</w:t>
            </w:r>
          </w:p>
        </w:tc>
      </w:tr>
      <w:tr>
        <w:trPr>
          <w:cantSplit/>
        </w:trPr>
        <w:tc>
          <w:tcPr>
            <w:tcW w:type="dxa" w:w="1656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DGS-002</w:t>
            </w:r>
          </w:p>
        </w:tc>
        <w:tc>
          <w:tcPr>
            <w:tcW w:type="dxa" w:w="676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Identity verisi graph domain’inden ayrılmalıdır.</w:t>
            </w:r>
          </w:p>
        </w:tc>
        <w:tc>
          <w:tcPr>
            <w:tcW w:type="dxa" w:w="172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MPD §38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DGS-003</w:t>
            </w:r>
          </w:p>
        </w:tc>
        <w:tc>
          <w:tcPr>
            <w:tcW w:type="dxa" w:w="67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Graph siyasi mikro hedefleme için kullanılamaz.</w:t>
            </w:r>
          </w:p>
        </w:tc>
        <w:tc>
          <w:tcPr>
            <w:tcW w:type="dxa" w:w="17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MPD §54-55</w:t>
            </w:r>
          </w:p>
        </w:tc>
      </w:tr>
      <w:tr>
        <w:trPr>
          <w:cantSplit/>
        </w:trPr>
        <w:tc>
          <w:tcPr>
            <w:tcW w:type="dxa" w:w="1656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DGS-004</w:t>
            </w:r>
          </w:p>
        </w:tc>
        <w:tc>
          <w:tcPr>
            <w:tcW w:type="dxa" w:w="676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Derived metric eligibility metodolojiye bağlıdır.</w:t>
            </w:r>
          </w:p>
        </w:tc>
        <w:tc>
          <w:tcPr>
            <w:tcW w:type="dxa" w:w="172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MPD §18, §36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DGS-005</w:t>
            </w:r>
          </w:p>
        </w:tc>
        <w:tc>
          <w:tcPr>
            <w:tcW w:type="dxa" w:w="67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Storage motoru domain contract’ını belirleyemez.</w:t>
            </w:r>
          </w:p>
        </w:tc>
        <w:tc>
          <w:tcPr>
            <w:tcW w:type="dxa" w:w="17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MPD architecture principles</w:t>
            </w:r>
          </w:p>
        </w:tc>
      </w:tr>
    </w:tbl>
    <w:p/>
    <w:p>
      <w:pPr>
        <w:pStyle w:val="Heading1"/>
      </w:pPr>
      <w:r>
        <w:t>KARARLAR — V1.1.0</w:t>
      </w:r>
    </w:p>
    <w:p>
      <w:pPr>
        <w:pStyle w:val="Heading2"/>
      </w:pPr>
      <w:r>
        <w:t>Karar 1 — Graph database</w:t>
      </w:r>
    </w:p>
    <w:p>
      <w:pPr/>
      <w:r>
        <w:t>PostgreSQL canonical system of record ve derived read models ile başlanır. Fiziksel graph database ancak ölçülmüş sorgu ihtiyacı mevcut read model ile p95 hedefini karşılamaz ve maliyet/operasyon analizi fayda gösterirse ADR ile eklenir.</w:t>
      </w:r>
    </w:p>
    <w:p>
      <w:pPr>
        <w:pStyle w:val="Heading2"/>
      </w:pPr>
      <w:r>
        <w:t>Karar 2 — Consent boundary</w:t>
      </w:r>
    </w:p>
    <w:p>
      <w:pPr/>
      <w:r>
        <w:t>Core Decision Graph pseudonymous operasyonel veri olarak purpose-limited çalışır. Gelişmiş kişisel insight ayrı opt-in preference; Research/secondary use ayrı explicit consent gerektirir. Hassas kimlik tahmini ve siyasi mikro hedefleme yasaktır.</w:t>
      </w:r>
    </w:p>
    <w:p>
      <w:pPr>
        <w:pStyle w:val="Heading1"/>
      </w:pPr>
      <w:r>
        <w:t>Değişiklik Geçmişi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440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Sürüm</w:t>
            </w:r>
          </w:p>
        </w:tc>
        <w:tc>
          <w:tcPr>
            <w:tcW w:type="dxa" w:w="2160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Tarih</w:t>
            </w:r>
          </w:p>
        </w:tc>
        <w:tc>
          <w:tcPr>
            <w:tcW w:type="dxa" w:w="6912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Değişiklik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1.0</w:t>
            </w:r>
          </w:p>
        </w:tc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27 Temmuz 2026</w:t>
            </w:r>
          </w:p>
        </w:tc>
        <w:tc>
          <w:tcPr>
            <w:tcW w:type="dxa" w:w="69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İlk onaylı baseline oluşturuldu.</w:t>
            </w:r>
          </w:p>
        </w:tc>
      </w:tr>
      <w:tr>
        <w:trPr>
          <w:cantSplit/>
        </w:trPr>
        <w:tc>
          <w:tcPr>
            <w:tcW w:type="dxa" w:w="3331"/>
          </w:tcPr>
          <w:p>
            <w:r>
              <w:t>1.1.0</w:t>
            </w:r>
          </w:p>
        </w:tc>
        <w:tc>
          <w:tcPr>
            <w:tcW w:type="dxa" w:w="3331"/>
          </w:tcPr>
          <w:p>
            <w:r>
              <w:t>27 Temmuz 2026</w:t>
            </w:r>
          </w:p>
        </w:tc>
        <w:tc>
          <w:tcPr>
            <w:tcW w:type="dxa" w:w="3331"/>
          </w:tcPr>
          <w:p>
            <w:r>
              <w:t>Canonical storage yaklaşımı ve consent/purpose boundaries kesinleştirildi.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D677A"/>
        <w:sz w:val="16"/>
      </w:rPr>
      <w:t xml:space="preserve">KEFE  •  Weigh What’s Right.  •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KEFESmall"/>
      <w:jc w:val="right"/>
    </w:pPr>
    <w:r>
      <w:t>KEFE  •  Decision Graph Specification  •  v1.1.0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0B13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132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D4A64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5D677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0B132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EFEQuote">
    <w:name w:val="KEFE Quote"/>
    <w:basedOn w:val="Normal"/>
    <w:pPr>
      <w:spacing w:before="160" w:after="160"/>
      <w:ind w:left="360"/>
    </w:pPr>
    <w:rPr>
      <w:rFonts w:ascii="Aptos" w:hAnsi="Aptos"/>
      <w:i/>
      <w:color w:val="D4A64A"/>
      <w:sz w:val="22"/>
    </w:rPr>
  </w:style>
  <w:style w:type="paragraph" w:customStyle="1" w:styleId="KEFESmall">
    <w:name w:val="KEFE Small"/>
    <w:basedOn w:val="Normal"/>
    <w:rPr>
      <w:rFonts w:ascii="Aptos" w:hAnsi="Aptos"/>
      <w:color w:val="5D677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Decision Graph Specification</dc:title>
  <dc:subject>KEFE resmi dokümantasyon ekosistemi</dc:subject>
  <dc:creator>KEFE</dc:creator>
  <cp:keywords>KEFE, product, architecture, governance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