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352"/>
      </w:tblGrid>
      <w:tr>
        <w:trPr>
          <w:cantSplit/>
        </w:trPr>
        <w:tc>
          <w:tcPr>
            <w:tcW w:type="dxa" w:w="4997"/>
            <w:shd w:fill="0B132B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D4A64A"/>
                <w:sz w:val="36"/>
              </w:rPr>
              <w:t>KEFE</w:t>
            </w:r>
          </w:p>
        </w:tc>
        <w:tc>
          <w:tcPr>
            <w:tcW w:type="dxa" w:w="4997"/>
            <w:shd w:fill="0B132B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2"/>
              </w:rPr>
              <w:t>WEIGH WHAT’S RIGHT.</w:t>
            </w:r>
          </w:p>
        </w:tc>
      </w:tr>
    </w:tbl>
    <w:p/>
    <w:p>
      <w:pPr>
        <w:jc w:val="center"/>
      </w:pPr>
      <w:r>
        <w:rPr>
          <w:rFonts w:ascii="Aptos Display" w:hAnsi="Aptos Display"/>
          <w:b/>
          <w:color w:val="0B132B"/>
          <w:sz w:val="54"/>
        </w:rPr>
        <w:t>Research Methodology</w:t>
      </w:r>
    </w:p>
    <w:p>
      <w:pPr>
        <w:jc w:val="center"/>
      </w:pPr>
      <w:r>
        <w:rPr>
          <w:color w:val="5D677A"/>
          <w:sz w:val="28"/>
        </w:rPr>
        <w:t>Deney Tasarımı, Örneklem, Etik, Reproducibility ve Araştırma Ayrımı</w:t>
      </w:r>
    </w:p>
    <w:p>
      <w:pPr>
        <w:jc w:val="center"/>
      </w:pPr>
      <w:r>
        <w:rPr>
          <w:color w:val="D4A64A"/>
        </w:rPr>
        <w:t>────────────────────────────</w:t>
      </w:r>
    </w:p>
    <w:p>
      <w:pPr>
        <w:jc w:val="center"/>
      </w:pPr>
      <w:r>
        <w:rPr>
          <w:b/>
          <w:color w:val="D4A64A"/>
          <w:sz w:val="26"/>
        </w:rPr>
        <w:t>APPROVED BASELINE</w:t>
      </w:r>
    </w:p>
    <w:p>
      <w:pPr>
        <w:jc w:val="center"/>
      </w:pPr>
      <w:r>
        <w:rPr>
          <w:color w:val="5D677A"/>
          <w:sz w:val="20"/>
        </w:rPr>
        <w:t>Versiyon 1.1.0  •  27 Temmuz 2026</w:t>
      </w:r>
    </w:p>
    <w:p>
      <w:pPr>
        <w:pStyle w:val="KEFEQuote"/>
        <w:jc w:val="center"/>
      </w:pPr>
      <w:r>
        <w:t>Kural ne diyor, vicdan ne söylüyor?</w:t>
      </w:r>
    </w:p>
    <w:p>
      <w:r>
        <w:br w:type="page"/>
      </w:r>
    </w:p>
    <w:p>
      <w:pPr>
        <w:pStyle w:val="Heading1"/>
      </w:pPr>
      <w:r>
        <w:t>BELGE KONTROLÜ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592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Alan</w:t>
            </w:r>
          </w:p>
        </w:tc>
        <w:tc>
          <w:tcPr>
            <w:tcW w:type="dxa" w:w="748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Değer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Belge kimliği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KEFE-RM-001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Sürüm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1.1.0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Tarih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27 Temmuz 2026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Durum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Approved Baseline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Belge sahibi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Research / Methodology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Normatif otorite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KEFE-MPD v1.2.0 + KEFE-TIM v1.1.0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Gözden geçirme ritmi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Her ana karar veya ilgili sistem değişikliği sonrası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Çelişki kuralı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En yeni onaylı KEFE Master Product Document kararı geçerlidir; belge manifesti ve durumlar için KEFE-GOV geçerlidir.</w:t>
            </w:r>
          </w:p>
        </w:tc>
      </w:tr>
    </w:tbl>
    <w:p/>
    <w:p>
      <w:pPr>
        <w:pStyle w:val="Heading1"/>
      </w:pPr>
      <w:r>
        <w:t>1. Amaç ve ayrım</w:t>
      </w:r>
    </w:p>
    <w:p>
      <w:r>
        <w:t>KEFE Research, normal consumer deneyiminden ayrı metodoloji, consent, study registry ve ethics metadata’sıyla çalışır. Consumer verisi otomatik araştırma kohortu değildir.</w:t>
      </w:r>
    </w:p>
    <w:p>
      <w:pPr>
        <w:pStyle w:val="Heading1"/>
      </w:pPr>
      <w:r>
        <w:t>2. Study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Alan</w:t>
            </w:r>
          </w:p>
        </w:tc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Zorunlu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study_id/version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Evet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research question/hypothesis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Evet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design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Evet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population/sample plan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Evet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inclusion/exclusion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Evet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randomization/assignment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Varsa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primary/secondary outcomes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Evet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ethics/consent metadata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Gerektiğinde zorunlu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analysis plan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Evet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data retention/export policy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Evet</w:t>
            </w:r>
          </w:p>
        </w:tc>
      </w:tr>
    </w:tbl>
    <w:p/>
    <w:p>
      <w:pPr>
        <w:pStyle w:val="Heading1"/>
      </w:pPr>
      <w:r>
        <w:t>3. Tasarım tipleri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Tip</w:t>
            </w:r>
          </w:p>
        </w:tc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Kullanım</w:t>
            </w:r>
          </w:p>
        </w:tc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Nedensellik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Observational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Consumer pattern/aggregate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Nedensellik iddiası yok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Randomized LAB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Framing/information/identity manipulation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Uygun tasarımda causal inference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Longitudinal panel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Zaman içi değişim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Attrition ve repeated-measure kontrolü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Survey/structured study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Self profile/attitude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Sampling limitations açık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Quasi-experimental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Doğal varyasyon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Varsayımlar explicit</w:t>
            </w:r>
          </w:p>
        </w:tc>
      </w:tr>
    </w:tbl>
    <w:p/>
    <w:p>
      <w:pPr>
        <w:pStyle w:val="Heading1"/>
      </w:pPr>
      <w:r>
        <w:t>4. Randomization &amp; assignment</w:t>
      </w:r>
    </w:p>
    <w:p>
      <w:pPr>
        <w:pStyle w:val="ListBullet"/>
      </w:pPr>
      <w:r>
        <w:t>Assignment deterministic/reproducible study_version + randomization strategy ile kaydedilir.</w:t>
      </w:r>
    </w:p>
    <w:p>
      <w:pPr>
        <w:pStyle w:val="ListBullet"/>
      </w:pPr>
      <w:r>
        <w:t>Variant exposure gerçekten gerçekleşmeden assignment sonucu outcome’a karıştırılmaz.</w:t>
      </w:r>
    </w:p>
    <w:p>
      <w:pPr>
        <w:pStyle w:val="ListBullet"/>
      </w:pPr>
      <w:r>
        <w:t>Sample ratio mismatch otomatik quality check’tir.</w:t>
      </w:r>
    </w:p>
    <w:p>
      <w:pPr>
        <w:pStyle w:val="Heading1"/>
      </w:pPr>
      <w:r>
        <w:t>5. Sampling</w:t>
      </w:r>
    </w:p>
    <w:p>
      <w:pPr>
        <w:pStyle w:val="ListBullet"/>
      </w:pPr>
      <w:r>
        <w:t>Target population, sampling frame ve recruitment channel ayrıdır.</w:t>
      </w:r>
    </w:p>
    <w:p>
      <w:pPr>
        <w:pStyle w:val="ListBullet"/>
      </w:pPr>
      <w:r>
        <w:t>Self-selection bias açıkça raporlanır.</w:t>
      </w:r>
    </w:p>
    <w:p>
      <w:pPr>
        <w:pStyle w:val="ListBullet"/>
      </w:pPr>
      <w:r>
        <w:t>Quota/weighting TIM standardına uyar; nüfus temsili ancak yeterli tasarım ve doğrulamayla söylenir.</w:t>
      </w:r>
    </w:p>
    <w:p>
      <w:pPr>
        <w:pStyle w:val="Heading1"/>
      </w:pPr>
      <w:r>
        <w:t>6. Power ve analiz planı</w:t>
      </w:r>
    </w:p>
    <w:p>
      <w:pPr>
        <w:pStyle w:val="ListBullet"/>
      </w:pPr>
      <w:r>
        <w:t>Primary outcome ve minimum detectable effect çalışma öncesi mümkün olduğunda tanımlanır.</w:t>
      </w:r>
    </w:p>
    <w:p>
      <w:pPr>
        <w:pStyle w:val="ListBullet"/>
      </w:pPr>
      <w:r>
        <w:t>Multiple comparisons kontrolü ve subgroup analysis önceden belirtilir.</w:t>
      </w:r>
    </w:p>
    <w:p>
      <w:pPr>
        <w:pStyle w:val="ListBullet"/>
      </w:pPr>
      <w:r>
        <w:t>Exploratory sonuç confirmatory gibi sunulmaz.</w:t>
      </w:r>
    </w:p>
    <w:p>
      <w:pPr>
        <w:pStyle w:val="Heading1"/>
      </w:pPr>
      <w:r>
        <w:t>7. Consent &amp; ethics</w:t>
      </w:r>
    </w:p>
    <w:p>
      <w:pPr>
        <w:pStyle w:val="ListBullet"/>
      </w:pPr>
      <w:r>
        <w:t>Study participation açık ve anlaşılır consent gerektiriyorsa normal ToS içine gizlenmez.</w:t>
      </w:r>
    </w:p>
    <w:p>
      <w:pPr>
        <w:pStyle w:val="ListBullet"/>
      </w:pPr>
      <w:r>
        <w:t>Deception/minor/sensitive political experiments ayrıca ethics review gerektirir.</w:t>
      </w:r>
    </w:p>
    <w:p>
      <w:pPr>
        <w:pStyle w:val="ListBullet"/>
      </w:pPr>
      <w:r>
        <w:t>Withdrawal ve data-use kapsamı study protocol’de belirtilir.</w:t>
      </w:r>
    </w:p>
    <w:p>
      <w:pPr>
        <w:pStyle w:val="Heading1"/>
      </w:pPr>
      <w:r>
        <w:t>8. Reproducibility</w:t>
      </w:r>
    </w:p>
    <w:p>
      <w:pPr>
        <w:pStyle w:val="ListBullet"/>
      </w:pPr>
      <w:r>
        <w:t>Study version + content/question/model/prompt/methodology versions frozen/logged.</w:t>
      </w:r>
    </w:p>
    <w:p>
      <w:pPr>
        <w:pStyle w:val="ListBullet"/>
      </w:pPr>
      <w:r>
        <w:t>Analysis code/query versioned.</w:t>
      </w:r>
    </w:p>
    <w:p>
      <w:pPr>
        <w:pStyle w:val="ListBullet"/>
      </w:pPr>
      <w:r>
        <w:t>Export de-identified/aggregate ve access-controlled.</w:t>
      </w:r>
    </w:p>
    <w:p>
      <w:pPr>
        <w:pStyle w:val="ListBullet"/>
      </w:pPr>
      <w:r>
        <w:t>Result corrections/version history korunur.</w:t>
      </w:r>
    </w:p>
    <w:p>
      <w:pPr>
        <w:pStyle w:val="Heading1"/>
      </w:pPr>
      <w:r>
        <w:t>9. Values doğrulama</w:t>
      </w:r>
    </w:p>
    <w:p>
      <w:r>
        <w:t>Universal Values eksenleri resmi psychometric scale/endeks olarak sunulmadan önce construct validity, reliability, cross-language/country measurement invariance ve bias analizi gerektirir. Consumer copy “davranış örüntüsü” sınırını aşmaz.</w:t>
      </w:r>
    </w:p>
    <w:p>
      <w:pPr>
        <w:pStyle w:val="Heading1"/>
      </w:pPr>
      <w:r>
        <w:t>10. Publication</w:t>
      </w:r>
    </w:p>
    <w:p>
      <w:pPr>
        <w:pStyle w:val="ListBullet"/>
      </w:pPr>
      <w:r>
        <w:t>Sample, period, methodology, exclusions ve uncertainty açıklanır.</w:t>
      </w:r>
    </w:p>
    <w:p>
      <w:pPr>
        <w:pStyle w:val="ListBullet"/>
      </w:pPr>
      <w:r>
        <w:t>Negative/null results gizlenmez; sponsor/partner açıkça belirtilir.</w:t>
      </w:r>
    </w:p>
    <w:p>
      <w:pPr>
        <w:pStyle w:val="ListBullet"/>
      </w:pPr>
      <w:r>
        <w:t>Research sonucu consumer feed’de organik kamu görüşü gibi gösterilmez.</w:t>
      </w:r>
    </w:p>
    <w:p>
      <w:pPr>
        <w:pStyle w:val="Heading2"/>
      </w:pPr>
      <w:r>
        <w:t>Bağlayıcı gereksinimler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656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676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Gereksinim</w:t>
            </w:r>
          </w:p>
        </w:tc>
        <w:tc>
          <w:tcPr>
            <w:tcW w:type="dxa" w:w="172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Üst kaynak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RM-001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Research consumer experience’dan açıkça ayrılmalıdır.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§47.4</w:t>
            </w:r>
          </w:p>
        </w:tc>
      </w:tr>
      <w:tr>
        <w:trPr>
          <w:cantSplit/>
        </w:trPr>
        <w:tc>
          <w:tcPr>
            <w:tcW w:type="dxa" w:w="1656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RM-002</w:t>
            </w:r>
          </w:p>
        </w:tc>
        <w:tc>
          <w:tcPr>
            <w:tcW w:type="dxa" w:w="676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Randomization/consent/study metadata versioned olmalıdır.</w:t>
            </w:r>
          </w:p>
        </w:tc>
        <w:tc>
          <w:tcPr>
            <w:tcW w:type="dxa" w:w="172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§47.4, §41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RM-003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Values psychometric iddia validation olmadan yapılamaz.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§26.3</w:t>
            </w:r>
          </w:p>
        </w:tc>
      </w:tr>
      <w:tr>
        <w:trPr>
          <w:cantSplit/>
        </w:trPr>
        <w:tc>
          <w:tcPr>
            <w:tcW w:type="dxa" w:w="1656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RM-004</w:t>
            </w:r>
          </w:p>
        </w:tc>
        <w:tc>
          <w:tcPr>
            <w:tcW w:type="dxa" w:w="676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Study export identity data içeremez.</w:t>
            </w:r>
          </w:p>
        </w:tc>
        <w:tc>
          <w:tcPr>
            <w:tcW w:type="dxa" w:w="172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§38</w:t>
            </w:r>
          </w:p>
        </w:tc>
      </w:tr>
    </w:tbl>
    <w:p/>
    <w:p>
      <w:pPr>
        <w:pStyle w:val="Heading1"/>
      </w:pPr>
      <w:r>
        <w:t>KARARLAR — V1.1.0</w:t>
      </w:r>
    </w:p>
    <w:p>
      <w:pPr>
        <w:pStyle w:val="Heading2"/>
      </w:pPr>
      <w:r>
        <w:t>Karar 1 — External study governance</w:t>
      </w:r>
    </w:p>
    <w:p>
      <w:pPr/>
      <w:r>
        <w:t>Ülke/kurum bazlı ethics/IRB workflow onaylanmadan dış katılımcı recruitment başlamaz. Partner oluşmasını beklemek yerine canonical study dossier, consent, data-processing ve approval checklist şimdiden zorunludur; yerel kurul ayrıntıları study setup sırasında eklenir.</w:t>
      </w:r>
    </w:p>
    <w:p>
      <w:pPr>
        <w:pStyle w:val="Heading2"/>
      </w:pPr>
      <w:r>
        <w:t>Karar 2 — Values validation</w:t>
      </w:r>
    </w:p>
    <w:p>
      <w:pPr/>
      <w:r>
        <w:t>Construct map → expert review → cognitive interview → pilot → EFA/CFA → reliability → test-retest → measurement invariance → preregistered validation zinciri tamamlanmadan Values psikometrik skor olarak yayımlanmaz.</w:t>
      </w:r>
    </w:p>
    <w:p>
      <w:pPr>
        <w:pStyle w:val="Heading1"/>
      </w:pPr>
      <w:r>
        <w:t>Değişiklik Geçmişi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440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Sürüm</w:t>
            </w:r>
          </w:p>
        </w:tc>
        <w:tc>
          <w:tcPr>
            <w:tcW w:type="dxa" w:w="2160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Tarih</w:t>
            </w:r>
          </w:p>
        </w:tc>
        <w:tc>
          <w:tcPr>
            <w:tcW w:type="dxa" w:w="6912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Değişiklik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1.0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27 Temmuz 2026</w:t>
            </w:r>
          </w:p>
        </w:tc>
        <w:tc>
          <w:tcPr>
            <w:tcW w:type="dxa" w:w="69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İlk onaylı baseline oluşturuldu.</w:t>
            </w:r>
          </w:p>
        </w:tc>
      </w:tr>
      <w:tr>
        <w:trPr>
          <w:cantSplit/>
        </w:trPr>
        <w:tc>
          <w:tcPr>
            <w:tcW w:type="dxa" w:w="3331"/>
          </w:tcPr>
          <w:p>
            <w:r>
              <w:t>1.1.0</w:t>
            </w:r>
          </w:p>
        </w:tc>
        <w:tc>
          <w:tcPr>
            <w:tcW w:type="dxa" w:w="3331"/>
          </w:tcPr>
          <w:p>
            <w:r>
              <w:t>27 Temmuz 2026</w:t>
            </w:r>
          </w:p>
        </w:tc>
        <w:tc>
          <w:tcPr>
            <w:tcW w:type="dxa" w:w="3331"/>
          </w:tcPr>
          <w:p>
            <w:r>
              <w:t>External study governance ve Values validation zinciri kesinleştirildi.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77A"/>
        <w:sz w:val="16"/>
      </w:rPr>
      <w:t xml:space="preserve">KEFE  •  Weigh What’s Right.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EFESmall"/>
      <w:jc w:val="right"/>
    </w:pPr>
    <w:r>
      <w:t>KEFE  •  Research Methodology  •  v1.1.0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B13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3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4A6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D67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B132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FEQuote">
    <w:name w:val="KEFE Quote"/>
    <w:basedOn w:val="Normal"/>
    <w:pPr>
      <w:spacing w:before="160" w:after="160"/>
      <w:ind w:left="360"/>
    </w:pPr>
    <w:rPr>
      <w:rFonts w:ascii="Aptos" w:hAnsi="Aptos"/>
      <w:i/>
      <w:color w:val="D4A64A"/>
      <w:sz w:val="22"/>
    </w:rPr>
  </w:style>
  <w:style w:type="paragraph" w:customStyle="1" w:styleId="KEFESmall">
    <w:name w:val="KEFE Small"/>
    <w:basedOn w:val="Normal"/>
    <w:rPr>
      <w:rFonts w:ascii="Aptos" w:hAnsi="Aptos"/>
      <w:color w:val="5D677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Methodology</dc:title>
  <dc:subject>KEFE resmi dokümantasyon ekosistemi</dc:subject>
  <dc:creator>KEFE</dc:creator>
  <cp:keywords>KEFE, product, architecture, governance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