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Trust, Integrity &amp; Methodology Standard</w:t>
      </w:r>
    </w:p>
    <w:p>
      <w:pPr>
        <w:jc w:val="center"/>
      </w:pPr>
      <w:r>
        <w:rPr>
          <w:color w:val="5D677A"/>
          <w:sz w:val="28"/>
        </w:rPr>
        <w:t>Sonuç Güveni, Örneklem, Manipülasyon ve Yayın Metodolojisi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KEFE-TIM-001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Trust / Research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</w:t>
      </w:r>
    </w:p>
    <w:p>
      <w:r>
        <w:t>KEFE sonuçlarının neyi temsil ettiğini, hangi etkileşimlerin analize dahil edildiğini, manipülasyon ve belirsizliğin nasıl yönetildiğini tanımlar. Amaç temsiliyet iddiasını büyütmek değil, gözlenen veriyi doğru dille ve yeniden üretilebilir yöntemle sunmaktır.</w:t>
      </w:r>
    </w:p>
    <w:p>
      <w:pPr>
        <w:pStyle w:val="Heading1"/>
      </w:pPr>
      <w:r>
        <w:t>2. Sonuç katmanları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Katman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Tanım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Consumer kullanım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Raw Participation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Temel teknik uygunluk kontrollerini geçen görünen katılım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Toplam etkileşim bağlamı; analiz sonucu olarak sunulması şart değildir.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Trusted Sample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Spam/bot/koordinasyon/risk politikalarından geçen katılım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Varsayılan consumer analiz katmanı adayı.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Research-Eligible Sample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Çalışma protokolü, consent ve dahil/exclude kurallarını geçen örneklem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Research ürününde.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Balanced Sample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Açık metodolojiyle ağırlıklandırılmış ve validasyonu yapılmış örneklem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Koşullar sağlanırsa; nüfus temsili iddiası otomatik değildir.</w:t>
            </w:r>
          </w:p>
        </w:tc>
      </w:tr>
    </w:tbl>
    <w:p/>
    <w:p>
      <w:pPr>
        <w:pStyle w:val="Heading1"/>
      </w:pPr>
      <w:r>
        <w:t>3. Eligibility ve integrity pipeline</w:t>
      </w:r>
    </w:p>
    <w:p>
      <w:pPr>
        <w:pStyle w:val="KEFEQuote"/>
      </w:pPr>
      <w:r>
        <w:t>Committed Weigh → schema eligibility → account/device/rate signals → coordination analysis → sample assignment → aggregate snapshot → confidence/methodology metadata.</w:t>
      </w:r>
    </w:p>
    <w:p>
      <w:pPr>
        <w:pStyle w:val="ListBullet"/>
      </w:pPr>
      <w:r>
        <w:t>Integrity kararı versioned policy ile üretilir.</w:t>
      </w:r>
    </w:p>
    <w:p>
      <w:pPr>
        <w:pStyle w:val="ListBullet"/>
      </w:pPr>
      <w:r>
        <w:t>Risk sinyali enforcement ile aynı şey değildir; itiraz edilebilir kullanıcı yaptırımları ayrı karar kaydı taşır.</w:t>
      </w:r>
    </w:p>
    <w:p>
      <w:pPr>
        <w:pStyle w:val="ListBullet"/>
      </w:pPr>
      <w:r>
        <w:t>Şüpheli trafik gerektiğinde silinmek yerine ayrı cohort/suppressed layer olarak tutulabilir.</w:t>
      </w:r>
    </w:p>
    <w:p>
      <w:pPr>
        <w:pStyle w:val="Heading1"/>
      </w:pPr>
      <w:r>
        <w:t>4. Güven sinyalleri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Örnekler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Account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yaş, verification state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Tek başına belirleyici değildir.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Device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attestation, emulator/risk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Privacy sınırları içinde.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Network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IP/reputation/rate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Hassas eşikler yayımlanmaz.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Behavior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hız, tekrar, otomasyon pattern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 bağlamında değerlendirilir.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Coordination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zamanlama, hesap kümeleri, referral source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Brigading tespiti için.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Content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 spam/duplicate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Moderasyonla birlikte.</w:t>
            </w:r>
          </w:p>
        </w:tc>
      </w:tr>
    </w:tbl>
    <w:p/>
    <w:p>
      <w:pPr>
        <w:pStyle w:val="Heading1"/>
      </w:pPr>
      <w:r>
        <w:t>5. ResultSnapshot metodoloji sözleşmesi</w:t>
      </w:r>
    </w:p>
    <w:p>
      <w:pPr>
        <w:pStyle w:val="ListBullet"/>
      </w:pPr>
      <w:r>
        <w:t>Snapshot case_version + question_version/comparability_group + sample_definition + methodology_version + time_window ile tanımlanır.</w:t>
      </w:r>
    </w:p>
    <w:p>
      <w:pPr>
        <w:pStyle w:val="ListBullet"/>
      </w:pPr>
      <w:r>
        <w:t>n, tarih aralığı, confidence/data-quality label ve kullanılan sample layer metadata’sı zorunludur.</w:t>
      </w:r>
    </w:p>
    <w:p>
      <w:pPr>
        <w:pStyle w:val="ListBullet"/>
      </w:pPr>
      <w:r>
        <w:t>Eski snapshot silinmez; metodoloji değişikliği yeni snapshot/version üretir.</w:t>
      </w:r>
    </w:p>
    <w:p>
      <w:pPr>
        <w:pStyle w:val="Heading1"/>
      </w:pPr>
      <w:r>
        <w:t>6. Veri güveni etiketi</w:t>
      </w:r>
    </w:p>
    <w:p>
      <w:r>
        <w:t>Yüksek/Orta/Yetersiz gibi consumer etiketleri tek bir n eşiğine indirgenmez. Sample büyüklüğü, bütünlük, dağılım, tazelik, comparability ve metodoloji uygunluğunu birlikte değerlendiren versioned kuralla hesaplanır. Formül yayımlanabilir; kötüye kullanımı kolaylaştıran fraud eşikleri yayımlanmaz.</w:t>
      </w:r>
    </w:p>
    <w:p>
      <w:pPr>
        <w:pStyle w:val="Heading1"/>
      </w:pPr>
      <w:r>
        <w:t>7. Cohort mahremiyeti</w:t>
      </w:r>
    </w:p>
    <w:p>
      <w:pPr>
        <w:pStyle w:val="ListBullet"/>
      </w:pPr>
      <w:r>
        <w:t>Minimum cohort threshold veri koruma + istatistik + tehdit modeliyle belirlenir.</w:t>
      </w:r>
    </w:p>
    <w:p>
      <w:pPr>
        <w:pStyle w:val="ListBullet"/>
      </w:pPr>
      <w:r>
        <w:t>Şehir × yaş × meslek × siyasi öz-tanım gibi yeniden tanımlama riski yüksek kesişimler suppress edilir.</w:t>
      </w:r>
    </w:p>
    <w:p>
      <w:pPr>
        <w:pStyle w:val="ListBullet"/>
      </w:pPr>
      <w:r>
        <w:t>Küçük cohort topluluk ekranında birleştirilebilir, geciktirilebilir veya hiç gösterilmez.</w:t>
      </w:r>
    </w:p>
    <w:p>
      <w:pPr>
        <w:pStyle w:val="Heading1"/>
      </w:pPr>
      <w:r>
        <w:t>8. Ağırlıklandırma ve temsiliyet</w:t>
      </w:r>
    </w:p>
    <w:p>
      <w:pPr>
        <w:pStyle w:val="ListBullet"/>
      </w:pPr>
      <w:r>
        <w:t>KEFE katılımcıları otomatik nüfus örneklemi değildir.</w:t>
      </w:r>
    </w:p>
    <w:p>
      <w:pPr>
        <w:pStyle w:val="ListBullet"/>
      </w:pPr>
      <w:r>
        <w:t>Weighting yalnız target frame, değişkenler, eksik veri, trimming ve validation açıkça tanımlandığında kullanılır.</w:t>
      </w:r>
    </w:p>
    <w:p>
      <w:pPr>
        <w:pStyle w:val="ListBullet"/>
      </w:pPr>
      <w:r>
        <w:t>“Türkiye’nin %X’i” yerine “Türkiye’den uygun KEFE katılımcılarının bu örneklemde %X’i” dili varsayılandır.</w:t>
      </w:r>
    </w:p>
    <w:p>
      <w:pPr>
        <w:pStyle w:val="Heading1"/>
      </w:pPr>
      <w:r>
        <w:t>9. Metrik geçerliliği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Metrik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Minimum metodolojik şart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 Gap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Önceden tanımlı, normalize edilebilir anlamlı boyut çifti.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 Transformation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Aynı actor için ilişkilendirilmiş revision/stage.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Persuasion Score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Exposure + influence/revision sinyali; nedensellik ancak kontrollü tasarımda.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Bridge Score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Karşı stance cohort exposure yeterliliği.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Information Effect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LAB/randomized veya uygun quasi-experimental tasarım.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Home–World Gap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Comparability group + sample metadata.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Expert–Public Gap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Uzman credential scope ve yeterli n.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Identity–Decision Gap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Opt-in self profile + minimum behavior data; teşhis dili yok.</w:t>
            </w:r>
          </w:p>
        </w:tc>
      </w:tr>
    </w:tbl>
    <w:p/>
    <w:p>
      <w:pPr>
        <w:pStyle w:val="Heading1"/>
      </w:pPr>
      <w:r>
        <w:t>10. Viral/brigading rejimi</w:t>
      </w:r>
    </w:p>
    <w:p>
      <w:pPr>
        <w:pStyle w:val="ListBullet"/>
      </w:pPr>
      <w:r>
        <w:t>Slow Mode, batch aggregation, delayed reveal, new-account limits ve elevated review feature/policy ile açılabilir.</w:t>
      </w:r>
    </w:p>
    <w:p>
      <w:pPr>
        <w:pStyle w:val="ListBullet"/>
      </w:pPr>
      <w:r>
        <w:t>Consumer toplam sayısı ile analiz için uygun sayı ayrıştırılabilir.</w:t>
      </w:r>
    </w:p>
    <w:p>
      <w:pPr>
        <w:pStyle w:val="ListBullet"/>
      </w:pPr>
      <w:r>
        <w:t>Manipülasyon şüphesi metodoloji uyarısında görünür; detay saldırganlara eşik öğretmez.</w:t>
      </w:r>
    </w:p>
    <w:p>
      <w:pPr>
        <w:pStyle w:val="Heading1"/>
      </w:pPr>
      <w:r>
        <w:t>11. Yayın dili</w:t>
      </w:r>
    </w:p>
    <w:p>
      <w:pPr>
        <w:pStyle w:val="ListBullet"/>
      </w:pPr>
      <w:r>
        <w:t>Yetersiz veri güçlü çoğunluk diliyle sunulmaz.</w:t>
      </w:r>
    </w:p>
    <w:p>
      <w:pPr>
        <w:pStyle w:val="ListBullet"/>
      </w:pPr>
      <w:r>
        <w:t>Korelasyon, etki ve nedensellik ayrı kelimelerle ifade edilir.</w:t>
      </w:r>
    </w:p>
    <w:p>
      <w:pPr>
        <w:pStyle w:val="ListBullet"/>
      </w:pPr>
      <w:r>
        <w:t>Ülke/kimlik grupları özcü niteliklerle etiketlenmez.</w:t>
      </w:r>
    </w:p>
    <w:p>
      <w:pPr>
        <w:pStyle w:val="ListBullet"/>
      </w:pPr>
      <w:r>
        <w:t>Confidence interval gibi ayrıntılar Research/B2B’de gösterilebilir; consumer’da anlaşılır data confidence sunulur.</w:t>
      </w:r>
    </w:p>
    <w:p>
      <w:pPr>
        <w:pStyle w:val="Heading1"/>
      </w:pPr>
      <w:r>
        <w:t>12. Audit ve reproducibility</w:t>
      </w:r>
    </w:p>
    <w:p>
      <w:pPr>
        <w:pStyle w:val="ListBullet"/>
      </w:pPr>
      <w:r>
        <w:t>methodology_version, sample_definition_version, policy_version ve snapshot lineage saklanır.</w:t>
      </w:r>
    </w:p>
    <w:p>
      <w:pPr>
        <w:pStyle w:val="ListBullet"/>
      </w:pPr>
      <w:r>
        <w:t>Aynı girdiler için geriye dönük yeniden hesaplama desteklenir.</w:t>
      </w:r>
    </w:p>
    <w:p>
      <w:pPr>
        <w:pStyle w:val="ListBullet"/>
      </w:pPr>
      <w:r>
        <w:t>Metodoloji değişiklikleri Decision/ADR ve changelog ile izlenir.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Consumer sonucu n, dönem, sample layer ve data confidence metadata’sı taşımalıdır.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§19, §36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 katılımcıları nüfus temsili gibi sunulamaz.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Cohort threshold uygulanmadan hassas kırılım gösterilemez.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§37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Fraud metodolojisi açıklanabilir ancak saldırı eşikleri yayımlanmaz.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§39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TIM-005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Balanced Sample yalnız metodolojik koşullar sağlandığında kullanılabilir.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§36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Consumer sonuç katmanı</w:t>
      </w:r>
    </w:p>
    <w:p>
      <w:pPr/>
      <w:r>
        <w:t>Trusted Sample varsayılan consumer analiz katmanıdır. Raw Participation yalnız şeffaflık detayında toplam etkileşim ve analize uygun tartım olarak gösterilir.</w:t>
      </w:r>
    </w:p>
    <w:p>
      <w:pPr>
        <w:pStyle w:val="Heading2"/>
      </w:pPr>
      <w:r>
        <w:t>Karar 2 — İlk Data Confidence eşikleri</w:t>
      </w:r>
    </w:p>
    <w:p>
      <w:pPr/>
      <w:r>
        <w:t>Country-level Trusted n&lt;100 ise consumer karşılaştırması yayımlanmaz; n=100–499 Orta adayı; n≥500 Yüksek adayıdır. Yüksek etiketi ayrıca integrity, comparability, recency ve veri kalitesi kapılarını geçmelidir.</w:t>
      </w:r>
    </w:p>
    <w:p>
      <w:pPr>
        <w:pStyle w:val="Heading2"/>
      </w:pPr>
      <w:r>
        <w:t>Karar 3 — Balanced Sample yayın şartı</w:t>
      </w:r>
    </w:p>
    <w:p>
      <w:pPr/>
      <w:r>
        <w:t>Açık population benchmark, önceden tanımlı weighting değişkenleri, effective n≥800, kritik weighting hücresi≥50, weight trimming, balance diagnostics ve methodology note olmadan Balanced Sample yayımlanmaz.</w:t>
      </w:r>
    </w:p>
    <w:p>
      <w:pPr>
        <w:pStyle w:val="Heading2"/>
      </w:pPr>
      <w:r>
        <w:t>Karar 4 — İlk Balanced pilot</w:t>
      </w:r>
    </w:p>
    <w:p>
      <w:pPr/>
      <w:r>
        <w:t>İlk metodolojik pilot Türkiye’de yapılır; nüfus temsili iddiası ancak harici benchmark ve validasyon tamamlandıktan sonra kullanılabilir.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Trusted Sample default, confidence başlangıç eşikleri ve Balanced Sample yayın koşulları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Trust, Integrity &amp; Methodology Standard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Trust, Integrity &amp; Methodology Standard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