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</w:trPr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erif" w:hAnsi="Noto Serif" w:cs="Noto Serif"/>
                <w:b/>
                <w:color w:val="D4AF37"/>
                <w:sz w:val="30"/>
              </w:rPr>
              <w:t>KEFE</w:t>
            </w:r>
          </w:p>
        </w:tc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right"/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>WEIGH WHAT’S RIGHT.</w:t>
            </w:r>
          </w:p>
        </w:tc>
      </w:tr>
    </w:tbl>
    <w:p/>
    <w:p>
      <w:pPr>
        <w:spacing w:before="600"/>
        <w:jc w:val="center"/>
      </w:pPr>
      <w:r>
        <w:rPr>
          <w:rFonts w:ascii="Noto Serif" w:hAnsi="Noto Serif" w:cs="Noto Serif"/>
          <w:b/>
          <w:color w:val="0B132B"/>
          <w:sz w:val="52"/>
        </w:rPr>
        <w:t>KEFE</w:t>
      </w:r>
    </w:p>
    <w:p>
      <w:pPr>
        <w:jc w:val="center"/>
      </w:pPr>
      <w:r>
        <w:rPr>
          <w:rFonts w:ascii="Noto Sans" w:hAnsi="Noto Sans" w:cs="Noto Sans"/>
          <w:b/>
          <w:color w:val="5B7C99"/>
          <w:sz w:val="27"/>
        </w:rPr>
        <w:t>Dokümantasyon Yönetişimi ve Belge Haritası</w:t>
      </w:r>
    </w:p>
    <w:p>
      <w:pPr>
        <w:jc w:val="center"/>
      </w:pPr>
      <w:r>
        <w:rPr>
          <w:rFonts w:ascii="Noto Sans" w:hAnsi="Noto Sans" w:cs="Noto Sans"/>
          <w:i/>
          <w:color w:val="556070"/>
          <w:sz w:val="21"/>
        </w:rPr>
        <w:t>Living Documentation System</w:t>
      </w:r>
    </w:p>
    <w:p>
      <w:pPr>
        <w:spacing w:before="160"/>
        <w:jc w:val="center"/>
      </w:pPr>
      <w:r>
        <w:rPr>
          <w:rFonts w:ascii="Noto Sans" w:hAnsi="Noto Sans" w:cs="Noto Sans"/>
          <w:color w:val="D4AF37"/>
          <w:sz w:val="16"/>
        </w:rPr>
        <w:t>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kimliği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KEFE-GOV-001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Sürüm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1.3.2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Tarih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Durum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sahibi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Product Strategy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Normatif otorite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KEFE Master Product Document v1.2.0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Gözden geçirme ritmi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Her ana ürün kararı sonrası; en az aylık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Değişiklik yöntemi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İlgili kaynak bölüm güncellenir; Karar Günlüğü ve Değişiklik Geçmişi sürümlenir.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Çelişki kuralı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En yeni onaylı Master Product Document kararı geçerlidir.</w:t>
            </w:r>
          </w:p>
        </w:tc>
      </w:tr>
    </w:tbl>
    <w:p/>
    <w:p>
      <w:pPr>
        <w:jc w:val="center"/>
      </w:pPr>
      <w:r>
        <w:rPr>
          <w:rFonts w:ascii="Noto Sans" w:hAnsi="Noto Sans" w:cs="Noto Sans"/>
          <w:b/>
          <w:color w:val="D4AF37"/>
          <w:sz w:val="18"/>
        </w:rPr>
        <w:t>APPROVED</w:t>
      </w:r>
    </w:p>
    <w:p>
      <w:pPr>
        <w:spacing w:before="480"/>
        <w:jc w:val="center"/>
      </w:pPr>
      <w:r>
        <w:rPr>
          <w:rFonts w:ascii="Noto Serif" w:hAnsi="Noto Serif" w:cs="Noto Serif"/>
          <w:i/>
          <w:color w:val="556070"/>
          <w:sz w:val="21"/>
        </w:rPr>
        <w:t>Kural ne diyor, vicdan ne söylüyor?</w:t>
      </w:r>
    </w:p>
    <w:p>
      <w:r>
        <w:br w:type="page"/>
      </w:r>
    </w:p>
    <w:p>
      <w:pPr>
        <w:pStyle w:val="Heading1"/>
        <w:spacing w:before="0"/>
      </w:pPr>
      <w:r>
        <w:t>İÇİNDEKİLER</w:t>
      </w:r>
    </w:p>
    <w:p>
      <w:pPr>
        <w:spacing w:after="28"/>
        <w:ind w:left="0"/>
      </w:pPr>
      <w:r>
        <w:rPr>
          <w:b/>
          <w:sz w:val="18"/>
        </w:rPr>
        <w:t>1. Amaç</w:t>
      </w:r>
    </w:p>
    <w:p>
      <w:pPr>
        <w:spacing w:after="28"/>
        <w:ind w:left="0"/>
      </w:pPr>
      <w:r>
        <w:rPr>
          <w:b/>
          <w:sz w:val="18"/>
        </w:rPr>
        <w:t>2. Normatif belge hiyerarşisi</w:t>
      </w:r>
    </w:p>
    <w:p>
      <w:pPr>
        <w:spacing w:after="28"/>
        <w:ind w:left="0"/>
      </w:pPr>
      <w:r>
        <w:rPr>
          <w:b/>
          <w:sz w:val="18"/>
        </w:rPr>
        <w:t>3. Belge durumları</w:t>
      </w:r>
    </w:p>
    <w:p>
      <w:pPr>
        <w:spacing w:after="28"/>
        <w:ind w:left="0"/>
      </w:pPr>
      <w:r>
        <w:rPr>
          <w:b/>
          <w:sz w:val="18"/>
        </w:rPr>
        <w:t>4. Resmî belge seti ve mevcut durum</w:t>
      </w:r>
    </w:p>
    <w:p>
      <w:pPr>
        <w:spacing w:after="28"/>
        <w:ind w:left="0"/>
      </w:pPr>
      <w:r>
        <w:rPr>
          <w:b/>
          <w:sz w:val="18"/>
        </w:rPr>
        <w:t>5. Tek kaynak ve arşiv kuralı</w:t>
      </w:r>
    </w:p>
    <w:p>
      <w:pPr>
        <w:spacing w:after="28"/>
        <w:ind w:left="346"/>
      </w:pPr>
      <w:r>
        <w:rPr>
          <w:b w:val="0"/>
          <w:sz w:val="17"/>
        </w:rPr>
        <w:t>5.1 Canonical Master</w:t>
      </w:r>
    </w:p>
    <w:p>
      <w:pPr>
        <w:spacing w:after="28"/>
        <w:ind w:left="346"/>
      </w:pPr>
      <w:r>
        <w:rPr>
          <w:b w:val="0"/>
          <w:sz w:val="17"/>
        </w:rPr>
        <w:t>5.2 Dosya adlandırma</w:t>
      </w:r>
    </w:p>
    <w:p>
      <w:pPr>
        <w:spacing w:after="28"/>
        <w:ind w:left="346"/>
      </w:pPr>
      <w:r>
        <w:rPr>
          <w:b w:val="0"/>
          <w:sz w:val="17"/>
        </w:rPr>
        <w:t>5.3 Tek aktif sürüm</w:t>
      </w:r>
    </w:p>
    <w:p>
      <w:pPr>
        <w:spacing w:after="28"/>
        <w:ind w:left="0"/>
      </w:pPr>
      <w:r>
        <w:rPr>
          <w:b/>
          <w:sz w:val="18"/>
        </w:rPr>
        <w:t>6. Sürümleme</w:t>
      </w:r>
    </w:p>
    <w:p>
      <w:pPr>
        <w:spacing w:after="28"/>
        <w:ind w:left="0"/>
      </w:pPr>
      <w:r>
        <w:rPr>
          <w:b/>
          <w:sz w:val="18"/>
        </w:rPr>
        <w:t>7. Karar kayıt şeması</w:t>
      </w:r>
    </w:p>
    <w:p>
      <w:pPr>
        <w:spacing w:after="28"/>
        <w:ind w:left="0"/>
      </w:pPr>
      <w:r>
        <w:rPr>
          <w:b/>
          <w:sz w:val="18"/>
        </w:rPr>
        <w:t>8. Requirement izlenebilirliği</w:t>
      </w:r>
    </w:p>
    <w:p>
      <w:pPr>
        <w:spacing w:after="28"/>
        <w:ind w:left="0"/>
      </w:pPr>
      <w:r>
        <w:rPr>
          <w:b/>
          <w:sz w:val="18"/>
        </w:rPr>
        <w:t>9. Terminoloji sözlüğü ve tekleştirme</w:t>
      </w:r>
    </w:p>
    <w:p>
      <w:pPr>
        <w:spacing w:after="28"/>
        <w:ind w:left="0"/>
      </w:pPr>
      <w:r>
        <w:rPr>
          <w:b/>
          <w:sz w:val="18"/>
        </w:rPr>
        <w:t>10. Belge değişiklik süreci</w:t>
      </w:r>
    </w:p>
    <w:p>
      <w:pPr>
        <w:spacing w:after="28"/>
        <w:ind w:left="0"/>
      </w:pPr>
      <w:r>
        <w:rPr>
          <w:b/>
          <w:sz w:val="18"/>
        </w:rPr>
        <w:t>11. Kalite kapıları</w:t>
      </w:r>
    </w:p>
    <w:p>
      <w:pPr>
        <w:spacing w:after="28"/>
        <w:ind w:left="346"/>
      </w:pPr>
      <w:r>
        <w:rPr>
          <w:b w:val="0"/>
          <w:sz w:val="17"/>
        </w:rPr>
        <w:t>11.1 Architecture quality gate</w:t>
      </w:r>
    </w:p>
    <w:p>
      <w:pPr>
        <w:spacing w:after="28"/>
        <w:ind w:left="346"/>
      </w:pPr>
      <w:r>
        <w:rPr>
          <w:b w:val="0"/>
          <w:sz w:val="17"/>
        </w:rPr>
        <w:t>11.2 Commercial, payment &amp; distribution gate</w:t>
      </w:r>
    </w:p>
    <w:p>
      <w:pPr>
        <w:spacing w:after="28"/>
        <w:ind w:left="346"/>
      </w:pPr>
      <w:r>
        <w:rPr>
          <w:b w:val="0"/>
          <w:sz w:val="17"/>
        </w:rPr>
        <w:t>11.3 Architecture fitness &amp; evidence</w:t>
      </w:r>
    </w:p>
    <w:p>
      <w:pPr>
        <w:spacing w:after="28"/>
        <w:ind w:left="0"/>
      </w:pPr>
      <w:r>
        <w:rPr>
          <w:b/>
          <w:sz w:val="18"/>
        </w:rPr>
        <w:t>12. Belge üretim sırası</w:t>
      </w:r>
    </w:p>
    <w:p>
      <w:r>
        <w:t>1. Master Product Document - Canonical</w:t>
      </w:r>
    </w:p>
    <w:p>
      <w:r>
        <w:t>2. Dokümantasyon Yönetişimi ve Belge Haritası</w:t>
      </w:r>
    </w:p>
    <w:p>
      <w:r>
        <w:t>3. Product Bible</w:t>
      </w:r>
    </w:p>
    <w:p>
      <w:r>
        <w:t>4. Engineering Blueprint</w:t>
      </w:r>
    </w:p>
    <w:p>
      <w:r>
        <w:t>5. Content &amp; Question Design Bible</w:t>
      </w:r>
    </w:p>
    <w:p>
      <w:r>
        <w:t>6. Trust, Integrity &amp; Methodology Standard</w:t>
      </w:r>
    </w:p>
    <w:p>
      <w:r>
        <w:t>7. Security &amp; Privacy Model</w:t>
      </w:r>
    </w:p>
    <w:p>
      <w:r>
        <w:t>8. Decision Graph Specification</w:t>
      </w:r>
    </w:p>
    <w:p>
      <w:r>
        <w:t>9. AI Architecture</w:t>
      </w:r>
    </w:p>
    <w:p>
      <w:r>
        <w:t>10. Analytics Event Dictionary</w:t>
      </w:r>
    </w:p>
    <w:p>
      <w:r>
        <w:t>11. Design System</w:t>
      </w:r>
    </w:p>
    <w:p>
      <w:r>
        <w:t>12. Editorial Transformation Guide</w:t>
      </w:r>
    </w:p>
    <w:p>
      <w:r>
        <w:t>13. Tamamlanmış resmî doküman paketi</w:t>
      </w:r>
    </w:p>
    <w:p>
      <w:r>
        <w:t>DOCX düzenlenebilir insan kaynağıdır; PDF aynı sürümün immutable yayın çıktısıdır. Belge kimliği/sürüm/durum için makine-okunur KEFE Document Manifest canonical registry olarak kullanılır.</w:t>
      </w:r>
    </w:p>
    <w:p>
      <w:r>
        <w:t>Yeni ürün kararı önce normatif kaynağa, ardından etkilenen uzman belgelere ve manifest/changelog’a işlenir.</w:t>
      </w:r>
    </w:p>
    <w:p>
      <w:r>
        <w:t>27 Temmuz 2026 itibarıyla manifestteki tüm resmî belgelerin ilk aktif baseline sürümü hazırlanmıştır. PLANNED durumda belge kalmamıştır.</w:t>
      </w:r>
    </w:p>
    <w:p>
      <w:r>
        <w:t>15. MVP Delivery Plan</w:t>
      </w:r>
    </w:p>
    <w:p>
      <w:r>
        <w:t>16. Civic Integrity &amp; Political Content Standard</w:t>
      </w:r>
    </w:p>
    <w:p>
      <w:r>
        <w:t>17. Research Methodology</w:t>
      </w:r>
    </w:p>
    <w:p>
      <w:r>
        <w:t>18. Case &amp; Scenario Library</w:t>
      </w:r>
    </w:p>
    <w:p>
      <w:pPr>
        <w:spacing w:after="28"/>
        <w:ind w:left="0"/>
      </w:pPr>
      <w:r>
        <w:t>İlk baseline üretimi tamamlanmıştır. Bundan sonra aşağıdaki sıra, bağımlılık ve bakım önceliği olarak kullanılır:</w:t>
      </w:r>
    </w:p>
    <w:p>
      <w:pPr>
        <w:spacing w:after="28"/>
        <w:ind w:left="0"/>
      </w:pPr>
      <w:r>
        <w:t>14. Kapatılan yönetişim kararları</w:t>
      </w:r>
    </w:p>
    <w:p>
      <w:pPr>
        <w:spacing w:after="28"/>
        <w:ind w:left="0"/>
      </w:pPr>
      <w:r>
        <w:t>15. Karar Günlüğü - v1.3.2</w:t>
      </w:r>
    </w:p>
    <w:p>
      <w:pPr>
        <w:spacing w:after="28"/>
        <w:ind w:left="0"/>
      </w:pPr>
      <w:r>
        <w:rPr>
          <w:b/>
          <w:sz w:val="18"/>
        </w:rPr>
        <w:t>16. Değişiklik Geçmişi</w:t>
      </w:r>
    </w:p>
    <w:p>
      <w:r>
        <w:rPr>
          <w:b/>
        </w:rPr>
        <w:t>17. Teknik Kontrat Yönetişimi - v1.3.2</w:t>
      </w:r>
    </w:p>
    <w:p>
      <w:r>
        <w:rPr>
          <w:b/>
        </w:rPr>
        <w:t>18. Değişiklik Geçmişi - v1.3.2</w:t>
      </w:r>
    </w:p>
    <w:p>
      <w:pPr>
        <w:pStyle w:val="Heading1"/>
      </w:pPr>
      <w:r>
        <w:t>1. Amaç</w:t>
      </w:r>
    </w:p>
    <w:p>
      <w:r>
        <w:rPr>
          <w:rFonts w:ascii="Noto Sans" w:hAnsi="Noto Sans" w:cs="Noto Sans"/>
          <w:color w:val="172033"/>
          <w:sz w:val="19"/>
        </w:rPr>
        <w:t>Bu belge, KEFE ürün dokümanlarının nasıl üretileceğini, hangi belgenin hangi soruya cevap vereceğini, kararların nasıl sürümleneceğini ve belgeler arası çelişkilerin nasıl çözüleceğini tanımlar.</w:t>
      </w:r>
    </w:p>
    <w:p>
      <w:r>
        <w:rPr>
          <w:rFonts w:ascii="Noto Sans" w:hAnsi="Noto Sans" w:cs="Noto Sans"/>
          <w:color w:val="172033"/>
          <w:sz w:val="19"/>
        </w:rPr>
        <w:t>Amaç, dağınık fikir dosyaları yerine denetlenebilir, izlenebilir ve yaşayan bir ürün bilgi sistemi kurmaktır.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Temel kural: Yeni karar için yeni bağımsız manifesto yazılmaz; doğru kaynak belge güncellenir.</w:t>
      </w:r>
    </w:p>
    <w:p>
      <w:pPr>
        <w:pStyle w:val="Heading1"/>
      </w:pPr>
      <w:r>
        <w:t>2. Normatif belge hiyerarşisi</w:t>
      </w:r>
    </w:p>
    <w:p>
      <w:pPr>
        <w:ind w:left="216" w:hanging="216"/>
      </w:pPr>
      <w:r>
        <w:t>1. KEFE Master Product Document: Ürünün anayasal ve stratejik kaynağıdır.</w:t>
      </w:r>
    </w:p>
    <w:p>
      <w:pPr>
        <w:ind w:left="216" w:hanging="216"/>
      </w:pPr>
      <w:r>
        <w:t>2. Uzman standartları: Trust, Civic, Research, Security ve Editorial kurallarını bağlayıcı biçimde ayrıntılandırır.</w:t>
      </w:r>
    </w:p>
    <w:p>
      <w:pPr>
        <w:ind w:left="216" w:hanging="216"/>
      </w:pPr>
      <w:r>
        <w:t>3. Ürün ve teknik spesifikasyonları: UX, veri modeli, API, algoritma ve admin davranışlarını uygulanabilir hâle getirir.</w:t>
      </w:r>
    </w:p>
    <w:p>
      <w:pPr>
        <w:ind w:left="216" w:hanging="216"/>
      </w:pPr>
      <w:r>
        <w:t>4. Operasyon belgeleri: Runbook, kontrol listesi, olay müdahalesi ve yayın süreçlerini tanımlar.</w:t>
      </w:r>
    </w:p>
    <w:p>
      <w:pPr>
        <w:ind w:left="216" w:hanging="216"/>
      </w:pPr>
      <w:r>
        <w:t>5. Case &amp; Scenario Library: Örnek içerik ve tekrar kullanılabilir pattern kataloğudur; anayasal karar kaynağı değildir.</w:t>
      </w:r>
    </w:p>
    <w:p>
      <w:r>
        <w:rPr>
          <w:rFonts w:ascii="Noto Sans" w:hAnsi="Noto Sans" w:cs="Noto Sans"/>
          <w:color w:val="172033"/>
          <w:sz w:val="19"/>
        </w:rPr>
        <w:t>Alt belge, üst belgede bulunmayan uygulama ayrıntısını tanımlayabilir; üst belgedeki bağlayıcı ilkeyi değiştiremez.</w:t>
      </w:r>
    </w:p>
    <w:p>
      <w:pPr>
        <w:pStyle w:val="Heading1"/>
      </w:pPr>
      <w:r>
        <w:t>3. Belge durumları</w:t>
      </w:r>
    </w:p>
    <w:p>
      <w:r>
        <w:rPr>
          <w:rFonts w:ascii="Noto Sans" w:hAnsi="Noto Sans" w:cs="Noto Sans"/>
          <w:color w:val="172033"/>
          <w:sz w:val="19"/>
        </w:rPr>
        <w:t>Her resmî belge aşağıdaki durumlardan yalnız birini taşır: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Anlam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DRAFT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İlk taslak; normatif değildir.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WORKING BASELINE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Ekip çalışmasında kullanılabilir; açık kararlar içerir.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PROPOSED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Onaya sunulmuş sürüm.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APPROVED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Onaylı ve bağlayıcı sürüm.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DEPRECATED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 kullanım önerilmez; geçiş sürecinde referans olabilir.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SUPERSEDED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Daha yeni bir sürüm tarafından tamamen geçersiz kılınmıştır.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ARCHIVED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Tarihsel kayıt olarak saklanır; yürürlükte değildir.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Aynı belge kimliğinin aynı sürüm numarasıyla iki ayrı APPROVED içeriği bulunamaz.</w:t>
      </w:r>
    </w:p>
    <w:p>
      <w:pPr>
        <w:pStyle w:val="Heading1"/>
      </w:pPr>
      <w:r>
        <w:t>4. Resmî belge seti ve mevcut durum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Kimlik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Belge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Ana soru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Sahiplik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5"/>
              </w:rPr>
              <w:t>Normatif üst kaynak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KEFE-MPD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Master Product Document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Ürün vizyonu, bağlayıcı ilkeler, kapsam, kararlar ve roadmap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Product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v1.2.0 Canonical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-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KEFE-GOV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Dokümantasyon Yönetişimi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Belgeler nasıl yönetilir ve sürümlenir?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Product Strategy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</w:t>
              <w:br/>
              <w:t>v1.3.2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KEFE-PB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Product Bible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Kullanıcı deneyimi, ürün sistemleri, formatlar ve yaşam döngüsü nasıl çalışır?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Product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WORKING BASELINE v1.4.0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KEFE-ENG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Engineering Blueprint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Sistem mimarisi, veri, API, event, güvenlik ve teslimat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Engineering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IMPLEMENTATION CONTRACT BASELINE v0.5.0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KEFE-PB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KEFE-CQB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Content &amp; Question Design Bible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Domain, topic, soru şemaları ve editoryal kalite nasıl yönetilir?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Editorial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KEFE-PB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KEFE-TIM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Trust, Integrity &amp; Methodology Standard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Örneklem, güven, sonuç dili, manipülasyon ve metodoloji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Trust/Research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KEFE-CIV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Civic Integrity &amp; Political Content Standard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Siyasi içerik, seçim dönemi ve P0-P4 rejimi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Civic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KEFE-TIM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KEFE-ETG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Editorial Transformation Guide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Gerçek olaydan Issue ve Question nasıl üretilir?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Editorial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KEFE-CQB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KEFE-CSL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Case &amp; Scenario Library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Onaylı pattern ve Case örnekleri nelerdir?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Editorial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LIVING CATALOG v1.1.0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KEFE-CQB + KEFE-ETG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KEFE-DGS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Decision Graph Specification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Karar yolculuğu ve ilişkisel veri varlığı nasıl modellenir?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Data/Product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KEFE-AIA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AI Architecture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Ajanlar, modeller, denetim ve AI sınırları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AI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KEFE-SEC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Security &amp; Privacy Model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Threat model, vault, erişim ve veri yaşam döngüsü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Security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KEFE-DS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Design System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Görsel dil, bileşenler ve erişilebilirlik nasıl uygulanır?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Design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KEFE-PB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KEFE-AED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Analytics Event Dictionary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Event isimleri, property’ler ve veri sözlüğü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Data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KEFE-MPD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KEFE-ADM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Admin Studio Specification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Editoryal ve operasyon paneli nasıl çalışır?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Operations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KEFE-PB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KEFE-MVP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MVP Delivery Plan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Sprint, bağımlılık, kabul kriteri ve release planı nedir?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Delivery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APPROVED v1.2.0 Execution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KEFE-PB + KEFE-ENG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KEFE-RM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Research Methodology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5"/>
              </w:rPr>
              <w:t>Araştırma tasarımı, örneklem ve etik koşullar nelerdir?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Research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 v1.1.0 Baseline</w:t>
            </w:r>
          </w:p>
        </w:tc>
        <w:tc>
          <w:tcPr>
            <w:tcW w:type="dxa" w:w="17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KEFE-MPD + KEFE-TIM</w:t>
            </w:r>
          </w:p>
        </w:tc>
      </w:tr>
      <w:tr>
        <w:trPr>
          <w:cantSplit/>
        </w:trPr>
        <w:tc>
          <w:tcPr>
            <w:tcW w:type="dxa" w:w="1700"/>
          </w:tcPr>
          <w:p>
            <w:r>
              <w:t>KEFE-CGD</w:t>
            </w:r>
          </w:p>
        </w:tc>
        <w:tc>
          <w:tcPr>
            <w:tcW w:type="dxa" w:w="1700"/>
          </w:tcPr>
          <w:p>
            <w:r>
              <w:t>Commercial, Growth &amp; Distribution Standard</w:t>
            </w:r>
          </w:p>
        </w:tc>
        <w:tc>
          <w:tcPr>
            <w:tcW w:type="dxa" w:w="1700"/>
          </w:tcPr>
          <w:p>
            <w:r>
              <w:t>Freemium/premium, ödeme, entitlement, büyüme, pazarlama ve mağaza dağıtımı hangi ilkelerle yönetilir?</w:t>
            </w:r>
          </w:p>
        </w:tc>
        <w:tc>
          <w:tcPr>
            <w:tcW w:type="dxa" w:w="1700"/>
          </w:tcPr>
          <w:p>
            <w:r>
              <w:t>Product/Growth/Engineering</w:t>
            </w:r>
          </w:p>
        </w:tc>
        <w:tc>
          <w:tcPr>
            <w:tcW w:type="dxa" w:w="1700"/>
          </w:tcPr>
          <w:p>
            <w:r>
              <w:t>APPROVED v1.1.0 Baseline</w:t>
            </w:r>
          </w:p>
        </w:tc>
        <w:tc>
          <w:tcPr>
            <w:tcW w:type="dxa" w:w="1700"/>
          </w:tcPr>
          <w:p>
            <w:r>
              <w:t>KEFE-MPD + KEFE-PB + KEFE-ENG</w:t>
            </w:r>
          </w:p>
        </w:tc>
      </w:tr>
    </w:tbl>
    <w:p>
      <w:pPr>
        <w:pStyle w:val="Heading1"/>
      </w:pPr>
      <w:r>
        <w:t>5. Tek kaynak ve arşiv kuralı</w:t>
      </w:r>
    </w:p>
    <w:p>
      <w:pPr>
        <w:pStyle w:val="Heading2"/>
      </w:pPr>
      <w:r>
        <w:t>5.1 Canonical Master</w:t>
      </w:r>
    </w:p>
    <w:p>
      <w:r>
        <w:rPr>
          <w:rFonts w:ascii="Noto Sans" w:hAnsi="Noto Sans" w:cs="Noto Sans"/>
          <w:color w:val="172033"/>
          <w:sz w:val="19"/>
        </w:rPr>
        <w:t>Normatif Master dosyası:</w:t>
      </w:r>
    </w:p>
    <w:p>
      <w:r>
        <w:rPr>
          <w:rFonts w:ascii="Noto Sans" w:hAnsi="Noto Sans" w:cs="Noto Sans"/>
          <w:b/>
          <w:color w:val="172033"/>
          <w:sz w:val="19"/>
        </w:rPr>
        <w:t>KEFE Master Product Document v1.2.0 - Approved Canonical</w:t>
      </w:r>
    </w:p>
    <w:p>
      <w:r>
        <w:rPr>
          <w:rFonts w:ascii="Noto Sans" w:hAnsi="Noto Sans" w:cs="Noto Sans"/>
          <w:color w:val="172033"/>
          <w:sz w:val="19"/>
        </w:rPr>
        <w:t>Aynı sürüm numarasıyla daha önce üretilmiş 34 sayfalık taslak dosya:</w:t>
      </w:r>
    </w:p>
    <w:p>
      <w:r>
        <w:rPr>
          <w:rFonts w:ascii="Noto Sans" w:hAnsi="Noto Sans" w:cs="Noto Sans"/>
          <w:b/>
          <w:color w:val="172033"/>
          <w:sz w:val="19"/>
        </w:rPr>
        <w:t>SUPERSEDED / LEGACY DRAFT</w:t>
      </w:r>
    </w:p>
    <w:p>
      <w:r>
        <w:rPr>
          <w:rFonts w:ascii="Noto Sans" w:hAnsi="Noto Sans" w:cs="Noto Sans"/>
          <w:color w:val="172033"/>
          <w:sz w:val="19"/>
        </w:rPr>
        <w:t>olarak sınıflandırılır ve yalnız tarihsel arşivde tutulur.</w:t>
      </w:r>
    </w:p>
    <w:p>
      <w:pPr>
        <w:pStyle w:val="Heading2"/>
      </w:pPr>
      <w:r>
        <w:t>5.2 Dosya adlandırma</w:t>
      </w:r>
    </w:p>
    <w:p>
      <w:r>
        <w:rPr>
          <w:rFonts w:ascii="Noto Sans" w:hAnsi="Noto Sans" w:cs="Noto Sans"/>
          <w:color w:val="172033"/>
          <w:sz w:val="19"/>
        </w:rPr>
        <w:t>Dosya adları şu kalıba uyar:</w:t>
      </w:r>
    </w:p>
    <w:p>
      <w:r>
        <w:rPr>
          <w:rFonts w:ascii="Noto Sans Mono" w:hAnsi="Noto Sans Mono" w:cs="Noto Sans Mono"/>
          <w:color w:val="172033"/>
          <w:sz w:val="18"/>
        </w:rPr>
        <w:t>KEFE_&lt;Belge_Adi&gt;_v&lt;Major.Minor.Patch&gt;_&lt;Durum&gt;.docx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r>
        <w:rPr>
          <w:rFonts w:ascii="Noto Sans Mono" w:hAnsi="Noto Sans Mono" w:cs="Noto Sans Mono"/>
          <w:color w:val="172033"/>
          <w:sz w:val="18"/>
        </w:rPr>
        <w:t>KEFE_Master_Product_Document_v1.2.0_Approved_Canonical.docx</w:t>
      </w:r>
    </w:p>
    <w:p>
      <w:r>
        <w:rPr>
          <w:rFonts w:ascii="Noto Sans" w:hAnsi="Noto Sans" w:cs="Noto Sans"/>
          <w:color w:val="172033"/>
          <w:sz w:val="19"/>
        </w:rPr>
        <w:t>Arşivlenen dosya örneği:</w:t>
      </w:r>
    </w:p>
    <w:p>
      <w:r>
        <w:rPr>
          <w:rFonts w:ascii="Noto Sans Mono" w:hAnsi="Noto Sans Mono" w:cs="Noto Sans Mono"/>
          <w:color w:val="172033"/>
          <w:sz w:val="18"/>
        </w:rPr>
        <w:t>ARCHIVE_KEFE_Master_Product_Document_v1.0_Superseded_Legacy_2026-07-26.docx</w:t>
      </w:r>
    </w:p>
    <w:p>
      <w:pPr>
        <w:pStyle w:val="Heading2"/>
      </w:pPr>
      <w:r>
        <w:t>5.3 Tek aktif sürüm</w:t>
      </w:r>
    </w:p>
    <w:p>
      <w:r>
        <w:rPr>
          <w:rFonts w:ascii="Noto Sans" w:hAnsi="Noto Sans" w:cs="Noto Sans"/>
          <w:color w:val="172033"/>
          <w:sz w:val="19"/>
        </w:rPr>
        <w:t>Her belge kimliği için yalnız bir aktif çalışma sürümü bulunur. Yeni sürüm onaylandığında önceki sürüm: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geçmiş kararları izlemek için ARCHIVED,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tümüyle geçersizse SUPERSEDED</w:t>
      </w:r>
    </w:p>
    <w:p>
      <w:r>
        <w:rPr>
          <w:rFonts w:ascii="Noto Sans" w:hAnsi="Noto Sans" w:cs="Noto Sans"/>
          <w:color w:val="172033"/>
          <w:sz w:val="19"/>
        </w:rPr>
        <w:t>olarak işaretlenir.</w:t>
      </w:r>
    </w:p>
    <w:p>
      <w:pPr>
        <w:pStyle w:val="Heading1"/>
      </w:pPr>
      <w:r>
        <w:t>6. Sürümleme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Değişiklik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Sürüm türü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Örnek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Ürün kimliği, temel format, anayasal ilke veya geriye uyumsuz veri modeli değişikliği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MAJOR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1.0 → 2.0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Yeni sistem, yeni domain, yeni modifier veya önemli ürün davranışı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MINOR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1.0 → 1.1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Açıklık, örnek, dil, hata, tablo veya uygulama ayrıntısı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1.1 → 1.1.1</w:t>
            </w:r>
          </w:p>
        </w:tc>
      </w:tr>
    </w:tbl>
    <w:p>
      <w:r>
        <w:rPr>
          <w:rFonts w:ascii="Noto Sans Mono" w:hAnsi="Noto Sans Mono" w:cs="Noto Sans Mono"/>
          <w:color w:val="172033"/>
          <w:sz w:val="18"/>
        </w:rPr>
        <w:t>v0.x</w:t>
      </w:r>
      <w:r>
        <w:rPr>
          <w:rFonts w:ascii="Noto Sans" w:hAnsi="Noto Sans" w:cs="Noto Sans"/>
          <w:color w:val="172033"/>
          <w:sz w:val="19"/>
        </w:rPr>
        <w:t xml:space="preserve"> sürümleri çalışma/architecture baseline niteliğindedir. </w:t>
      </w:r>
      <w:r>
        <w:rPr>
          <w:rFonts w:ascii="Noto Sans Mono" w:hAnsi="Noto Sans Mono" w:cs="Noto Sans Mono"/>
          <w:color w:val="172033"/>
          <w:sz w:val="18"/>
        </w:rPr>
        <w:t>v1.0</w:t>
      </w:r>
      <w:r>
        <w:rPr>
          <w:rFonts w:ascii="Noto Sans" w:hAnsi="Noto Sans" w:cs="Noto Sans"/>
          <w:color w:val="172033"/>
          <w:sz w:val="19"/>
        </w:rPr>
        <w:t xml:space="preserve"> ve üzeri sürümlerde bağlayıcılık durumu ayrıca açıkça yazılır.</w:t>
      </w:r>
    </w:p>
    <w:p>
      <w:pPr>
        <w:pStyle w:val="Heading1"/>
      </w:pPr>
      <w:r>
        <w:t>7. Karar kayıt şeması</w:t>
      </w:r>
    </w:p>
    <w:p>
      <w:r>
        <w:rPr>
          <w:rFonts w:ascii="Noto Sans" w:hAnsi="Noto Sans" w:cs="Noto Sans"/>
          <w:color w:val="172033"/>
          <w:sz w:val="19"/>
        </w:rPr>
        <w:t>Her bağlayıcı karar aşağıdaki alanlarla kaydedilir: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 w:val="true"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Açıklama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Decision ID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Ör. DEC-2026-0042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Tarih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Durum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Proposed / Accepted / Superseded / Rejected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Tek, açık ve test edilebilir ifade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Gerekçe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Neden bu tercih yapıldı?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Alternatifler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Değerlendirilen seçenekler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Etkilenen belgeler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Güncellenecek belge kimlikleri ve bölümler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Metrik / kanıt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Kararın nasıl doğrulanacağı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Geri alma koşulu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Hangi kanıt kararı değiştirebilir?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Sahip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Kararın iş sahibi</w:t>
            </w:r>
          </w:p>
        </w:tc>
      </w:tr>
      <w:tr>
        <w:trPr>
          <w:cantSplit/>
        </w:trPr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Review date</w:t>
            </w:r>
          </w:p>
        </w:tc>
        <w:tc>
          <w:tcPr>
            <w:tcW w:type="dxa" w:w="5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Tekrar değerlendirme zamanı veya koşulu</w:t>
            </w:r>
          </w:p>
        </w:tc>
      </w:tr>
    </w:tbl>
    <w:p>
      <w:pPr>
        <w:pStyle w:val="Heading1"/>
      </w:pPr>
      <w:r>
        <w:t>8. Requirement izlenebilirliği</w:t>
      </w:r>
    </w:p>
    <w:p>
      <w:r>
        <w:rPr>
          <w:rFonts w:ascii="Noto Sans" w:hAnsi="Noto Sans" w:cs="Noto Sans"/>
          <w:color w:val="172033"/>
          <w:sz w:val="19"/>
        </w:rPr>
        <w:t>Ürün ve teknik gereksinimler kimlik taşır.</w:t>
      </w:r>
    </w:p>
    <w:p>
      <w:r>
        <w:rPr>
          <w:rFonts w:ascii="Noto Sans" w:hAnsi="Noto Sans" w:cs="Noto Sans"/>
          <w:color w:val="172033"/>
          <w:sz w:val="19"/>
        </w:rPr>
        <w:t>Örnekler: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MPD-06-001</w:t>
      </w:r>
      <w:r>
        <w:rPr>
          <w:rFonts w:ascii="Noto Sans" w:hAnsi="Noto Sans" w:cs="Noto Sans"/>
          <w:color w:val="172033"/>
          <w:sz w:val="18"/>
        </w:rPr>
        <w:t>: Sonuçlar ilk commit öncesinde görünmez.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PB-REVEAL-004</w:t>
      </w:r>
      <w:r>
        <w:rPr>
          <w:rFonts w:ascii="Noto Sans" w:hAnsi="Noto Sans" w:cs="Noto Sans"/>
          <w:color w:val="172033"/>
          <w:sz w:val="18"/>
        </w:rPr>
        <w:t>: Reveal tek ana içgörü ile başlar.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ENG-WEIGH-012</w:t>
      </w:r>
      <w:r>
        <w:rPr>
          <w:rFonts w:ascii="Noto Sans" w:hAnsi="Noto Sans" w:cs="Noto Sans"/>
          <w:color w:val="172033"/>
          <w:sz w:val="18"/>
        </w:rPr>
        <w:t>: Commit endpoint’i idempotent olmalıdır.</w:t>
      </w:r>
    </w:p>
    <w:p>
      <w:pPr>
        <w:pStyle w:val="ListBullet"/>
      </w:pPr>
      <w:r>
        <w:rPr>
          <w:rFonts w:ascii="Noto Sans Mono" w:hAnsi="Noto Sans Mono" w:cs="Noto Sans Mono"/>
          <w:color w:val="172033"/>
          <w:sz w:val="17"/>
        </w:rPr>
        <w:t>SEC-IDENT-006</w:t>
      </w:r>
      <w:r>
        <w:rPr>
          <w:rFonts w:ascii="Noto Sans" w:hAnsi="Noto Sans" w:cs="Noto Sans"/>
          <w:color w:val="172033"/>
          <w:sz w:val="18"/>
        </w:rPr>
        <w:t>: Telefon numarası core karar tablolarında tutulmaz.</w:t>
      </w:r>
    </w:p>
    <w:p>
      <w:r>
        <w:rPr>
          <w:rFonts w:ascii="Noto Sans" w:hAnsi="Noto Sans" w:cs="Noto Sans"/>
          <w:color w:val="172033"/>
          <w:sz w:val="19"/>
        </w:rPr>
        <w:t>Her alt belge gereksinimi, en az bir üst kaynak bölümüne bağlanır.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r>
        <w:rPr>
          <w:rFonts w:ascii="Noto Sans Mono" w:hAnsi="Noto Sans Mono" w:cs="Noto Sans Mono"/>
          <w:color w:val="172033"/>
          <w:sz w:val="18"/>
        </w:rPr>
        <w:t>ENG-CASE-001 → MPD §17 Case Versioning</w:t>
      </w:r>
    </w:p>
    <w:p>
      <w:pPr>
        <w:pStyle w:val="Heading1"/>
      </w:pPr>
      <w:r>
        <w:t>9. Terminoloji sözlüğü ve tekleştirme</w:t>
      </w:r>
    </w:p>
    <w:p>
      <w:r>
        <w:rPr>
          <w:rFonts w:ascii="Noto Sans" w:hAnsi="Noto Sans" w:cs="Noto Sans"/>
          <w:color w:val="172033"/>
          <w:sz w:val="19"/>
        </w:rPr>
        <w:t>Aşağıdaki terimler bağlayıcıdır: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Doğru terim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Kullanılmaması gereken eski/genel terim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Not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First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Blind First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Topluluk sonucunun commit öncesi gizlenmesi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BLIND_FIRST modifier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Commit First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Kimlik veya bağlamın deneysel olarak gizlenmesi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Weigh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Vote / oy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Consumer dilinde “tartım” tercih edilir; teknik bağlamda response/commit kullanılabilir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Reason / Gerekçe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Comment / yorum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Serbest yorum duvarı değildir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Raw Participation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Raw votes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Sonuç katmanı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Trusted Sample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Valid votes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Risk filtrelerinden geçmiş örneklem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Research-Eligible / Balanced Sample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Analytic Sample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Metodoloji şartlarına bağlı katman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CaseVersion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Post edit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Yayımlanmış immutable bilgi seti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Political Risk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Civic Integrity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Risk sınıfı ile ürün rejimi ayrı kavramlardır</w:t>
            </w:r>
          </w:p>
        </w:tc>
      </w:tr>
    </w:tbl>
    <w:p>
      <w:r>
        <w:rPr>
          <w:rFonts w:ascii="Noto Sans" w:hAnsi="Noto Sans" w:cs="Noto Sans"/>
          <w:color w:val="172033"/>
          <w:sz w:val="19"/>
        </w:rPr>
        <w:t>Terminoloji değişikliği en az Master, Product Bible, Engineering Blueprint ve Analytics Event Dictionary üzerinde etki analizi gerektirir.</w:t>
      </w:r>
    </w:p>
    <w:p>
      <w:pPr>
        <w:pStyle w:val="Heading1"/>
      </w:pPr>
      <w:r>
        <w:t>10. Belge değişiklik süreci</w:t>
      </w:r>
    </w:p>
    <w:p>
      <w:pPr>
        <w:ind w:left="216" w:hanging="216"/>
      </w:pPr>
      <w:r>
        <w:t>1. Değişiklik talebi açılır.</w:t>
      </w:r>
    </w:p>
    <w:p>
      <w:pPr>
        <w:ind w:left="216" w:hanging="216"/>
      </w:pPr>
      <w:r>
        <w:t>2. Normatif kaynak ve etkilenen belgeler belirlenir.</w:t>
      </w:r>
    </w:p>
    <w:p>
      <w:pPr>
        <w:ind w:left="216" w:hanging="216"/>
      </w:pPr>
      <w:r>
        <w:t>3. Karar Proposed olarak kaydedilir.</w:t>
      </w:r>
    </w:p>
    <w:p>
      <w:pPr>
        <w:ind w:left="216" w:hanging="216"/>
      </w:pPr>
      <w:r>
        <w:t>4. Gerekli uzman incelemeleri tamamlanır.</w:t>
      </w:r>
    </w:p>
    <w:p>
      <w:pPr>
        <w:ind w:left="216" w:hanging="216"/>
      </w:pPr>
      <w:r>
        <w:t>5. Master değişiyorsa önce Master güncellenir.</w:t>
      </w:r>
    </w:p>
    <w:p>
      <w:pPr>
        <w:ind w:left="216" w:hanging="216"/>
      </w:pPr>
      <w:r>
        <w:t>6. Bağımlı belgeler senkronize edilir.</w:t>
      </w:r>
    </w:p>
    <w:p>
      <w:pPr>
        <w:ind w:left="216" w:hanging="216"/>
      </w:pPr>
      <w:r>
        <w:t>7. Terminoloji ve traceability kontrolü yapılır.</w:t>
      </w:r>
    </w:p>
    <w:p>
      <w:pPr>
        <w:ind w:left="216" w:hanging="216"/>
      </w:pPr>
      <w:r>
        <w:t>8. DOCX/PDF görsel kalite kontrolünden geçirilir.</w:t>
      </w:r>
    </w:p>
    <w:p>
      <w:pPr>
        <w:ind w:left="216" w:hanging="216"/>
      </w:pPr>
      <w:r>
        <w:t>9. Onaylı sürüm yayımlanır.</w:t>
      </w:r>
    </w:p>
    <w:p>
      <w:pPr>
        <w:ind w:left="216" w:hanging="216"/>
      </w:pPr>
      <w:r>
        <w:t>10. Önceki sürüm arşivlenir ve manifest güncellenir.</w:t>
      </w:r>
    </w:p>
    <w:p>
      <w:pPr>
        <w:pStyle w:val="Heading1"/>
      </w:pPr>
      <w:r>
        <w:t>11. Kalite kapıları</w:t>
      </w:r>
    </w:p>
    <w:p>
      <w:r>
        <w:rPr>
          <w:rFonts w:ascii="Noto Sans" w:hAnsi="Noto Sans" w:cs="Noto Sans"/>
          <w:color w:val="172033"/>
          <w:sz w:val="19"/>
        </w:rPr>
        <w:t>Her belge aşağıdaki kapılardan geçer: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Terminoloji Master Document ile uyumludur.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 xml:space="preserve">Gereksinimler test edilebilir veya </w:t>
      </w:r>
      <w:r>
        <w:rPr>
          <w:rFonts w:ascii="Noto Sans Mono" w:hAnsi="Noto Sans Mono" w:cs="Noto Sans Mono"/>
          <w:color w:val="172033"/>
          <w:sz w:val="17"/>
        </w:rPr>
        <w:t>RESEARCH REQUIRED</w:t>
      </w:r>
      <w:r>
        <w:rPr>
          <w:rFonts w:ascii="Noto Sans" w:hAnsi="Noto Sans" w:cs="Noto Sans"/>
          <w:color w:val="172033"/>
          <w:sz w:val="18"/>
        </w:rPr>
        <w:t xml:space="preserve"> olarak işaretlidir.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Hukuki, bilimsel ve istatistiksel iddialar uzman doğrulamasına bağlıdır.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Her veri alanının amacı, saklama süresi ve erişim sahibi tanımlıdır.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Kritik akışların loading, empty, error, abuse ve accessibility durumları yazılmıştır.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Gerçekten dış kanıta bağlı açık kararlar, riskler ve bağımlılıklar belge sonunda bulunur; diğer kararlar Accepted/Rejected/Provisional Default + reversal condition ile kapatılır.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Numaralandırma, başlık hiyerarşisi ve çapraz referanslar tutarlıdır.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Dosyanın durum, sürüm, sahip ve normatif kaynak bilgileri ilk sayfada görünürdür.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Render edilmiş tüm sayfalar görsel olarak kontrol edilmiştir.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Metadata ve değişiklik geçmişi yayıma uygundur.</w:t>
      </w:r>
    </w:p>
    <w:p>
      <w:pPr>
        <w:pStyle w:val="Heading2"/>
      </w:pPr>
      <w:r>
        <w:t>11.1 Architecture quality gate</w:t>
      </w:r>
    </w:p>
    <w:p>
      <w:pPr>
        <w:pStyle w:val="ListBullet"/>
      </w:pPr>
      <w:r>
        <w:t>Business domain, vendor SDK veya dış sağlayıcıya doğrudan bağımlı olamaz; bağımlılıklar port/adapter sınırından geçer.</w:t>
      </w:r>
    </w:p>
    <w:p>
      <w:pPr>
        <w:pStyle w:val="ListBullet"/>
      </w:pPr>
      <w:r>
        <w:t>Değişebilir ürün metni, token, eşik, rollout, provider seçimi ve benzeri ayarlar uygun olduğunda merkezi, typed, versioned ve audit edilebilir kaynaklardan yönetilir; kritik domain invariant’ları remote config ile bozulamaz.</w:t>
      </w:r>
    </w:p>
    <w:p>
      <w:pPr>
        <w:pStyle w:val="ListBullet"/>
      </w:pPr>
      <w:r>
        <w:t>UI; design-system-first, token-driven, localization-first, accessibility-by-default ve adaptive prensiplerine göre tasarlanır.</w:t>
      </w:r>
    </w:p>
    <w:p>
      <w:pPr>
        <w:pStyle w:val="ListBullet"/>
      </w:pPr>
      <w:r>
        <w:t>Kritik API ve kullanıcı akışları için performans bütçesi, SLO, gözlemlenebilirlik ve hata/fallback davranışı tanımlanır.</w:t>
      </w:r>
    </w:p>
    <w:p>
      <w:pPr>
        <w:pStyle w:val="ListBullet"/>
      </w:pPr>
      <w:r>
        <w:t>API, event ve veri şemalarında geriye uyumluluk ve migration stratejisi bulunur; kritik değişiklikler contract test ile korunur.</w:t>
      </w:r>
    </w:p>
    <w:p>
      <w:pPr>
        <w:pStyle w:val="ListBullet"/>
      </w:pPr>
      <w:r>
        <w:t>Dış servis arızası mümkün olduğunda Core Decision Loop’u düşürmemeli; graceful degradation ve kill switch tanımlanmalıdır.</w:t>
      </w:r>
    </w:p>
    <w:p>
      <w:pPr>
        <w:pStyle w:val="Heading2"/>
      </w:pPr>
      <w:r>
        <w:t>11.2 Commercial, payment &amp; distribution gate</w:t>
      </w:r>
    </w:p>
    <w:p>
      <w:pPr>
        <w:pStyle w:val="ListBullet"/>
      </w:pPr>
      <w:r>
        <w:t>Premium erişim ödeme sağlayıcısına değil merkezi entitlement modeline bağlanır; istemci ödeme sonucunu tek başına otorite olarak kabul etmez.</w:t>
      </w:r>
    </w:p>
    <w:p>
      <w:pPr>
        <w:pStyle w:val="ListBullet"/>
      </w:pPr>
      <w:r>
        <w:t>Fiyat, ürün kataloğu, para birimi ve paywall metni kod içinde hard-code edilmez; mağaza/web katalogları ve merkezi ürün konfigürasyonu üzerinden yönetilir.</w:t>
      </w:r>
    </w:p>
    <w:p>
      <w:pPr>
        <w:pStyle w:val="ListBullet"/>
      </w:pPr>
      <w:r>
        <w:t>Freemium sınırı Master Product Document’ın temel ücretsiz katılım ilkelerini ihlal edemez; siyasi mikro hedefleme ve bireysel karar geçmişi monetizasyon amacıyla kullanılamaz.</w:t>
      </w:r>
    </w:p>
    <w:p>
      <w:pPr>
        <w:pStyle w:val="ListBullet"/>
      </w:pPr>
      <w:r>
        <w:t>Marketing attribution, lifecycle messaging ve referral sistemleri hassas karar verisini kampanya hedeflemesine açamaz.</w:t>
      </w:r>
    </w:p>
    <w:p>
      <w:pPr>
        <w:pStyle w:val="ListBullet"/>
      </w:pPr>
      <w:r>
        <w:t>Her mağaza sürümü, yayın tarihindeki geçerli Apple/Google politika, privacy, billing, age-rating ve moderation gerekliliklerine karşı release gate’ten geçer; değişken politika ayrıntıları dokümana sabitlenmez, kontrol listesine version/tarih ile kaydedilir.</w:t>
      </w:r>
    </w:p>
    <w:p>
      <w:pPr>
        <w:pStyle w:val="Heading2"/>
      </w:pPr>
      <w:r>
        <w:t>11.3 Architecture fitness &amp; evidence</w:t>
      </w:r>
    </w:p>
    <w:p>
      <w:pPr>
        <w:pStyle w:val="ListBullet"/>
      </w:pPr>
      <w:r>
        <w:t>CI içinde modül bağımlılık sınırları, config schema validation, API contract, accessibility, security ve performans regresyon kontrolleri otomatikleştirilir.</w:t>
      </w:r>
    </w:p>
    <w:p>
      <w:pPr>
        <w:pStyle w:val="ListBullet"/>
      </w:pPr>
      <w:r>
        <w:t>Her kritik mimari karar ADR ile, her ürün kararı Decision ID ile izlenebilir olmalıdır.</w:t>
      </w:r>
    </w:p>
    <w:p>
      <w:pPr>
        <w:pStyle w:val="ListBullet"/>
      </w:pPr>
      <w:r>
        <w:t>Provider çıkış planı, veri export/migration yolu ve rollback koşulu vendor-lock-in riski yüksek bileşenlerde belgelenir.</w:t>
      </w:r>
    </w:p>
    <w:p>
      <w:pPr>
        <w:pStyle w:val="Heading2"/>
      </w:pPr>
      <w:r>
        <w:t>11.4 Historical recovery, roadmap ve coverage gate</w:t>
      </w:r>
    </w:p>
    <w:p>
      <w:pPr>
        <w:pStyle w:val="ListBullet"/>
      </w:pPr>
      <w:r>
        <w:t>Superseded dokümanlardan değerli fikirlerin kaybolmaması için her major/minor konsolidasyonda Historical Recovery Audit yapılır.</w:t>
      </w:r>
    </w:p>
    <w:p>
      <w:pPr>
        <w:pStyle w:val="ListBullet"/>
      </w:pPr>
      <w:r>
        <w:t>Accepted/Test/Roadmap statüsündeki ürün kabiliyeti Product Bible Roadmap Capability Register’da canonical bir kayıt taşır.</w:t>
      </w:r>
    </w:p>
    <w:p>
      <w:pPr>
        <w:pStyle w:val="ListBullet"/>
      </w:pPr>
      <w:r>
        <w:t>Case &amp; Scenario Library her 16 core domain için topic coverage ve geniş örnek seed havuzu taşır; eski domain örnekleri mapping ile korunur.</w:t>
      </w:r>
    </w:p>
    <w:p>
      <w:pPr>
        <w:pStyle w:val="ListBullet"/>
      </w:pPr>
      <w:r>
        <w:t>Bir feature sonraya ertelense bile statüsü, hedef fazı, bağımlılıkları ve guardrail’i kayıt altına alınmadan doküman paketinden çıkarılamaz.</w:t>
      </w:r>
    </w:p>
    <w:p>
      <w:pPr>
        <w:pStyle w:val="ListBullet"/>
      </w:pPr>
      <w:r>
        <w:t>Open decision yalnız gerçekten dış kanıta bağlıysa kalabilir; aksi halde Accepted/Rejected/Provisional Default + reversal condition olarak kapatılır.</w:t>
      </w:r>
    </w:p>
    <w:p>
      <w:pPr>
        <w:pStyle w:val="Heading1"/>
      </w:pPr>
      <w:r>
        <w:t>12. Belge üretim sırası</w:t>
      </w:r>
    </w:p>
    <w:p>
      <w:r>
        <w:t>İlk baseline üretimi tamamlanmıştır. Bundan sonra aşağıdaki sıra, bağımlılık ve bakım önceliği olarak kullanılır:</w:t>
      </w:r>
    </w:p>
    <w:p>
      <w:r>
        <w:t>1. Master Product Document - Canonical</w:t>
      </w:r>
    </w:p>
    <w:p>
      <w:r>
        <w:t>2. Dokümantasyon Yönetişimi ve Belge Haritası</w:t>
      </w:r>
    </w:p>
    <w:p>
      <w:r>
        <w:t>3. Product Bible</w:t>
      </w:r>
    </w:p>
    <w:p>
      <w:r>
        <w:t>4. Engineering Blueprint</w:t>
      </w:r>
    </w:p>
    <w:p>
      <w:r>
        <w:t>5. Content &amp; Question Design Bible</w:t>
      </w:r>
    </w:p>
    <w:p>
      <w:r>
        <w:t>6. Trust, Integrity &amp; Methodology Standard</w:t>
      </w:r>
    </w:p>
    <w:p>
      <w:r>
        <w:t>7. Security &amp; Privacy Model</w:t>
      </w:r>
    </w:p>
    <w:p>
      <w:r>
        <w:t>8. Decision Graph Specification</w:t>
      </w:r>
    </w:p>
    <w:p>
      <w:r>
        <w:t>9. AI Architecture</w:t>
      </w:r>
    </w:p>
    <w:p>
      <w:r>
        <w:t>10. Analytics Event Dictionary</w:t>
      </w:r>
    </w:p>
    <w:p>
      <w:r>
        <w:t>11. Design System</w:t>
      </w:r>
    </w:p>
    <w:p>
      <w:r>
        <w:t>12. Editorial Transformation Guide</w:t>
      </w:r>
    </w:p>
    <w:p>
      <w:r>
        <w:t>13. Admin Studio Specification</w:t>
      </w:r>
    </w:p>
    <w:p>
      <w:r>
        <w:t>14. Commercial, Growth &amp; Distribution Standard</w:t>
      </w:r>
    </w:p>
    <w:p>
      <w:r>
        <w:t>15. MVP Delivery Plan</w:t>
      </w:r>
    </w:p>
    <w:p>
      <w:r>
        <w:t>16. Civic Integrity &amp; Political Content Standard</w:t>
      </w:r>
    </w:p>
    <w:p>
      <w:r>
        <w:t>17. Research Methodology</w:t>
      </w:r>
    </w:p>
    <w:p>
      <w:r>
        <w:t>18. Case &amp; Scenario Library</w:t>
      </w:r>
    </w:p>
    <w:p>
      <w:r>
        <w:t>Tüm bu belgelerin ilk aktif baseline sürümü 27 Temmuz 2026 paketinde tamamlanmıştır.</w:t>
      </w:r>
    </w:p>
    <w:p>
      <w:pPr>
        <w:pStyle w:val="Heading1"/>
      </w:pPr>
      <w:r>
        <w:t>13. Tamamlanmış resmî doküman paketi</w:t>
      </w:r>
    </w:p>
    <w:p>
      <w:r>
        <w:t>27 Temmuz 2026 itibarıyla manifestteki tüm resmî belgelerin ilk aktif baseline sürümü hazırlanmıştır. PLANNED durumda belge kalmamıştır.</w:t>
      </w:r>
    </w:p>
    <w:p>
      <w:r>
        <w:t>DOCX düzenlenebilir insan kaynağıdır; PDF aynı sürümün immutable yayın çıktısıdır. Belge kimliği, sürüm, durum ve dosya eşlemesi için makine-okunur KEFE Document Manifest canonical registry olarak kullanılır.</w:t>
      </w:r>
    </w:p>
    <w:p>
      <w:r>
        <w:t>Yeni ürün kararı önce normatif kaynağa, ardından etkilenen uzman belgelere ve manifest/değişiklik geçmişine işlenir.</w:t>
      </w:r>
    </w:p>
    <w:p>
      <w:pPr>
        <w:pStyle w:val="Heading1"/>
      </w:pPr>
      <w:r>
        <w:t>14. KAPATILAN YÖNETİŞİM KARARLARI</w:t>
      </w:r>
    </w:p>
    <w:p>
      <w:pPr>
        <w:pStyle w:val="Heading2"/>
      </w:pPr>
      <w:r>
        <w:t>14.1 Onay modeli</w:t>
      </w:r>
    </w:p>
    <w:p>
      <w:pPr/>
      <w:r>
        <w:t>Rol bazlı onay kullanılır; kişi atamaları role bağlanır. Kritik high-risk yayınlarda maker-checker ayrımı kişi bazında enforce edilir.</w:t>
      </w:r>
    </w:p>
    <w:p>
      <w:pPr>
        <w:pStyle w:val="Heading2"/>
      </w:pPr>
      <w:r>
        <w:t>14.2 Git ve otomatik lint</w:t>
      </w:r>
    </w:p>
    <w:p>
      <w:pPr/>
      <w:r>
        <w:t>MVP kod geliştirmesiyle aynı anda dokümantasyon Git deposu ve otomatik lint/manifest doğrulaması kurulur; belge değişikliği code-review benzeri review akışından geçer.</w:t>
      </w:r>
    </w:p>
    <w:p>
      <w:pPr>
        <w:pStyle w:val="Heading2"/>
      </w:pPr>
      <w:r>
        <w:t>14.3 Makine-okunur canonical kaynak</w:t>
      </w:r>
    </w:p>
    <w:p>
      <w:pPr/>
      <w:r>
        <w:t>v1.3 geçişinden sonra Markdown/structured source + YAML/JSON manifest Git içindeki canonical authoring katmanı olur; DOCX düzenlenebilir yayın çıktısı, PDF immutable release çıktısıdır. Geçiş tamamlanana kadar bu v1.3 DOCX seti canonical kabul edilir.</w:t>
      </w:r>
    </w:p>
    <w:p>
      <w:pPr>
        <w:pStyle w:val="Heading2"/>
      </w:pPr>
      <w:r>
        <w:t>14.4 Karar kayıtları</w:t>
      </w:r>
    </w:p>
    <w:p>
      <w:pPr/>
      <w:r>
        <w:t>Master karar özetini taşır; ayrıntılı Decision Register makine-okunur ayrı registry’de tutulur. Engineering ADR’ler ayrı ADR klasöründe, ürün kararları DEC kimliğiyle registry’de saklanır.</w:t>
      </w:r>
    </w:p>
    <w:p>
      <w:pPr>
        <w:pStyle w:val="Heading2"/>
      </w:pPr>
      <w:r>
        <w:t>14.5 Dış paylaşım sınıfları</w:t>
      </w:r>
    </w:p>
    <w:p>
      <w:pPr/>
      <w:r>
        <w:t>Belge/section paylaşımı PUBLIC, PARTNER, INTERNAL, RESTRICTED olarak sınıflandırılır. Anti-fraud eşikleri, güvenlik detayları, kimlik mimarisi ve hassas operasyon bilgileri dış paylaşımda varsayılan olarak INTERNAL/RESTRICTED’tır.</w:t>
      </w:r>
    </w:p>
    <w:p>
      <w:pPr>
        <w:pStyle w:val="Heading1"/>
      </w:pPr>
      <w:r>
        <w:t>15. Karar Günlüğü - v1.3.2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rFonts w:ascii="Noto Sans" w:hAnsi="Noto Sans" w:cs="Noto Sans"/>
                <w:b/>
                <w:color w:val="FFFFFF"/>
                <w:sz w:val="16"/>
              </w:rPr>
              <w:t>Karar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KEFE Master Product Document tek normatif ürün kaynağıdır.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DEC-2026-0002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Aynı belge kimliği ve sürümüyle iki APPROVED içerik bulunamaz.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DEC-2026-0003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34 sayfalık önceki Master v1.0 taslağı SUPERSEDED / LEGACY olarak arşivlenecektir.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DEC-2026-0004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Son kullanıcı sonucunu gizleme ilkesi Commit First olarak adlandırılır; BLIND_FIRST yalnız modifier’dır.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DEC-2026-0005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Accepted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" w:hAnsi="Noto Sans" w:cs="Noto Sans"/>
                <w:color w:val="172033"/>
                <w:sz w:val="16"/>
              </w:rPr>
              <w:t>İlk dört ana belge senkronize edilmeden yeni uzman belge üretimine geçilmez.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DEC-2026-0006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Provider independence, ports/adapters ve controlled replaceability bağlayıcıdır.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DEC-2026-0007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Configuration-Driven Architecture ve Single Definition Principle bağlayıcıdır.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DEC-2026-0008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Client/UI kalite standardı design system, theme/locale, adaptive UI, accessibility ve performansı kapsar.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DEC-2026-0009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Premium erişim merkezi entitlement üzerinden yönetilir; billing provider domain değildir.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DEC-2026-0010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Growth/dağıtım privacy-trust guardrail ve release-time compliance gate’e tabidir.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DEC-2026-0011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KEFE-GOV §4 + Document Manifest tek canonical belge registry’sidir.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DEC-2026-0012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18 resmî belgenin ilk aktif baseline seti tamamlandı; PLANNED belge kalmadı.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DEC-2026-0013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Open product decisions are converted to accepted/provisional defaults before MVP implementation unless external evidence is intrinsically required.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DEC-2026-0014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Product Bible Roadmap Capability Register is the canonical lifecycle registry for deferred/test/future features.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DEC-2026-0015</w:t>
            </w:r>
          </w:p>
        </w:tc>
        <w:tc>
          <w:tcPr>
            <w:tcW w:type="dxa" w:w="3400"/>
          </w:tcPr>
          <w:p>
            <w:r>
              <w:t>Accepted</w:t>
            </w:r>
          </w:p>
        </w:tc>
        <w:tc>
          <w:tcPr>
            <w:tcW w:type="dxa" w:w="3400"/>
          </w:tcPr>
          <w:p>
            <w:r>
              <w:t>Case &amp; Scenario Library maintains broad example coverage across all 16 core domains and maps legacy categories instead of silently dropping them.</w:t>
            </w:r>
          </w:p>
        </w:tc>
      </w:tr>
    </w:tbl>
    <w:p>
      <w:pPr>
        <w:pStyle w:val="Heading1"/>
      </w:pPr>
      <w:r>
        <w:t>16. Değişiklik Geçmişi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 w:val="true"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Sürüm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t>1.3.1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Değişiklik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1.0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26 Temmuz 2026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Başlangıç belge hiyerarşisi ve üretim sırası oluşturuldu.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1.1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26 Temmuz 2026</w:t>
            </w:r>
          </w:p>
        </w:tc>
        <w:tc>
          <w:tcPr>
            <w:tcW w:type="dxa" w:w="34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4F6F8"/>
          </w:tcPr>
          <w:p>
            <w:r>
              <w:t>Belge durumları, aktif sürüm kuralı, arşiv politikası, traceability, terminoloji sözlüğü ve mevcut belge manifesti eklendi; numaralandırmalar düzeltildi.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1.2</w:t>
            </w:r>
          </w:p>
        </w:tc>
        <w:tc>
          <w:tcPr>
            <w:tcW w:type="dxa" w:w="3400"/>
          </w:tcPr>
          <w:p>
            <w:r>
              <w:t>26 Temmuz 2026</w:t>
            </w:r>
          </w:p>
        </w:tc>
        <w:tc>
          <w:tcPr>
            <w:tcW w:type="dxa" w:w="3400"/>
          </w:tcPr>
          <w:p>
            <w:r>
              <w:t>Architecture quality, provider/config independence, client/UI, performance-resilience ve commercial/distribution kalite kapıları eklendi.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1.2.1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18 belgeli baseline ekosistemi Master v1.1.1 / PB v1.3.2 / ENG v0.3.1 ile senkronize edildi; PLANNED durumları kapatıldı.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1.3.0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Historical Recovery / Roadmap Capability / Case coverage kalite kapıları eklendi; v1.2.0 Master ve güncel uzman belge sürümleri manifestte senkronize edildi.</w:t>
            </w:r>
          </w:p>
        </w:tc>
      </w:tr>
      <w:tr>
        <w:tc>
          <w:tcPr>
            <w:tcW w:type="dxa" w:w="3400"/>
          </w:tcPr>
          <w:p>
            <w:r>
              <w:t>1.3.1</w:t>
            </w:r>
          </w:p>
        </w:tc>
        <w:tc>
          <w:tcPr>
            <w:tcW w:type="dxa" w:w="3400"/>
          </w:tcPr>
          <w:p>
            <w:r>
              <w:t>27 Temmuz 2026</w:t>
            </w:r>
          </w:p>
        </w:tc>
        <w:tc>
          <w:tcPr>
            <w:tcW w:type="dxa" w:w="3400"/>
          </w:tcPr>
          <w:p>
            <w:r>
              <w:t>KEFE-MVP-001 v1.2.0 Execution Baseline yayımlandı; resmî belge seti satırı senkronize edildi.</w:t>
            </w:r>
          </w:p>
        </w:tc>
      </w:tr>
    </w:tbl>
    <w:p>
      <w:r>
        <w:br w:type="page"/>
      </w:r>
    </w:p>
    <w:p>
      <w:pPr>
        <w:pStyle w:val="Heading1"/>
      </w:pPr>
      <w:r>
        <w:t>17. TEKNİK KONTRAT YÖNETİŞİMİ - V1.3.2</w:t>
      </w:r>
    </w:p>
    <w:p>
      <w:r>
        <w:t>Engineering Blueprint v0.5.0 ile birlikte makine-okunur teknik kontratlar resmî derived artifacts olarak registry kapsamına alınmıştır. Bu kontratlar ayrı bir normatif ürün belgesi değildir; KEFE-ENG kararlarının uygulanabilir kaynaklarıdır.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Kontrat ailesi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Canonical source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Değişiklik kuralı</w:t>
            </w:r>
          </w:p>
        </w:tc>
      </w:tr>
      <w:tr>
        <w:tc>
          <w:tcPr>
            <w:tcW w:type="dxa" w:w="3307"/>
          </w:tcPr>
          <w:p>
            <w:r>
              <w:t>API</w:t>
            </w:r>
          </w:p>
        </w:tc>
        <w:tc>
          <w:tcPr>
            <w:tcW w:type="dxa" w:w="3307"/>
          </w:tcPr>
          <w:p>
            <w:r>
              <w:t>OpenAPI</w:t>
            </w:r>
          </w:p>
        </w:tc>
        <w:tc>
          <w:tcPr>
            <w:tcW w:type="dxa" w:w="3307"/>
          </w:tcPr>
          <w:p>
            <w:r>
              <w:t>Breaking değişiklik version + deprecation plan gerektirir.</w:t>
            </w:r>
          </w:p>
        </w:tc>
      </w:tr>
      <w:tr>
        <w:tc>
          <w:tcPr>
            <w:tcW w:type="dxa" w:w="3307"/>
          </w:tcPr>
          <w:p>
            <w:r>
              <w:t>Events</w:t>
            </w:r>
          </w:p>
        </w:tc>
        <w:tc>
          <w:tcPr>
            <w:tcW w:type="dxa" w:w="3307"/>
          </w:tcPr>
          <w:p>
            <w:r>
              <w:t>JSON Schema / registry</w:t>
            </w:r>
          </w:p>
        </w:tc>
        <w:tc>
          <w:tcPr>
            <w:tcW w:type="dxa" w:w="3307"/>
          </w:tcPr>
          <w:p>
            <w:r>
              <w:t>Breaking payload semantiği yeni event_version gerektirir.</w:t>
            </w:r>
          </w:p>
        </w:tc>
      </w:tr>
      <w:tr>
        <w:tc>
          <w:tcPr>
            <w:tcW w:type="dxa" w:w="3307"/>
          </w:tcPr>
          <w:p>
            <w:r>
              <w:t>Database</w:t>
            </w:r>
          </w:p>
        </w:tc>
        <w:tc>
          <w:tcPr>
            <w:tcW w:type="dxa" w:w="3307"/>
          </w:tcPr>
          <w:p>
            <w:r>
              <w:t>SQL migrations + schema contract</w:t>
            </w:r>
          </w:p>
        </w:tc>
        <w:tc>
          <w:tcPr>
            <w:tcW w:type="dxa" w:w="3307"/>
          </w:tcPr>
          <w:p>
            <w:r>
              <w:t>Expand/contract; published semantic history rewrite edilmez.</w:t>
            </w:r>
          </w:p>
        </w:tc>
      </w:tr>
      <w:tr>
        <w:tc>
          <w:tcPr>
            <w:tcW w:type="dxa" w:w="3307"/>
          </w:tcPr>
          <w:p>
            <w:r>
              <w:t>Configuration</w:t>
            </w:r>
          </w:p>
        </w:tc>
        <w:tc>
          <w:tcPr>
            <w:tcW w:type="dxa" w:w="3307"/>
          </w:tcPr>
          <w:p>
            <w:r>
              <w:t>Typed Config Registry</w:t>
            </w:r>
          </w:p>
        </w:tc>
        <w:tc>
          <w:tcPr>
            <w:tcW w:type="dxa" w:w="3307"/>
          </w:tcPr>
          <w:p>
            <w:r>
              <w:t>Owner/default/type/audit zorunlu; invariant override edemez.</w:t>
            </w:r>
          </w:p>
        </w:tc>
      </w:tr>
      <w:tr>
        <w:tc>
          <w:tcPr>
            <w:tcW w:type="dxa" w:w="3307"/>
          </w:tcPr>
          <w:p>
            <w:r>
              <w:t>Errors</w:t>
            </w:r>
          </w:p>
        </w:tc>
        <w:tc>
          <w:tcPr>
            <w:tcW w:type="dxa" w:w="3307"/>
          </w:tcPr>
          <w:p>
            <w:r>
              <w:t>Error Code Registry</w:t>
            </w:r>
          </w:p>
        </w:tc>
        <w:tc>
          <w:tcPr>
            <w:tcW w:type="dxa" w:w="3307"/>
          </w:tcPr>
          <w:p>
            <w:r>
              <w:t>Code anlamı geriye dönük değiştirilmez; yeni code eklenir.</w:t>
            </w:r>
          </w:p>
        </w:tc>
      </w:tr>
      <w:tr>
        <w:tc>
          <w:tcPr>
            <w:tcW w:type="dxa" w:w="3307"/>
          </w:tcPr>
          <w:p>
            <w:r>
              <w:t>Repository boundaries</w:t>
            </w:r>
          </w:p>
        </w:tc>
        <w:tc>
          <w:tcPr>
            <w:tcW w:type="dxa" w:w="3307"/>
          </w:tcPr>
          <w:p>
            <w:r>
              <w:t>Repository Structure + fitness tests</w:t>
            </w:r>
          </w:p>
        </w:tc>
        <w:tc>
          <w:tcPr>
            <w:tcW w:type="dxa" w:w="3307"/>
          </w:tcPr>
          <w:p>
            <w:r>
              <w:t>Vendor import/module dependency ihlali build’i durdurabilir.</w:t>
            </w:r>
          </w:p>
        </w:tc>
      </w:tr>
    </w:tbl>
    <w:p>
      <w:r>
        <w:t>Registry kuralı: REGISTRY/CONTRACTS/KEFE_Technical_Contract_Manifest_v1.0.0.json bu derived artifact setinin tek dosya manifestidir. Document Manifest yalnız resmî mantıksal belgeleri listeler ve engineering contract pack’e referans verir.</w:t>
      </w:r>
    </w:p>
    <w:p>
      <w:pPr>
        <w:pStyle w:val="Heading1"/>
      </w:pPr>
      <w:r>
        <w:t>18. DEĞİŞİKLİK GEÇMİŞİ - V1.3.2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3307"/>
            <w:shd w:fill="D9E2F3"/>
            <w:vAlign w:val="center"/>
          </w:tcPr>
          <w:p>
            <w:r>
              <w:rPr>
                <w:b/>
              </w:rPr>
              <w:t>Değişiklik</w:t>
            </w:r>
          </w:p>
        </w:tc>
      </w:tr>
      <w:tr>
        <w:tc>
          <w:tcPr>
            <w:tcW w:type="dxa" w:w="3307"/>
          </w:tcPr>
          <w:p>
            <w:r>
              <w:t>1.3.2</w:t>
            </w:r>
          </w:p>
        </w:tc>
        <w:tc>
          <w:tcPr>
            <w:tcW w:type="dxa" w:w="3307"/>
          </w:tcPr>
          <w:p>
            <w:r>
              <w:t>2026-07-27</w:t>
            </w:r>
          </w:p>
        </w:tc>
        <w:tc>
          <w:tcPr>
            <w:tcW w:type="dxa" w:w="3307"/>
          </w:tcPr>
          <w:p>
            <w:r>
              <w:t>Engineering v0.5.0 ve derived technical contract governance eklendi.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69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D677A"/>
        <w:sz w:val="16"/>
      </w:rPr>
      <w:t xml:space="preserve">KEFE • Dokümantasyon Yönetişimi • v1.3.2 •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3" w:color="D4AF37"/>
      </w:pBdr>
    </w:pPr>
    <w:r>
      <w:t>KEFE • Dokümantasyon Yönetişimi • v1.3.2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" w:hAnsi="Noto San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erif" w:hAnsi="Noto Serif"/>
      <w:b/>
      <w:bCs/>
      <w:color w:val="0B13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erif" w:hAnsi="Noto Serif"/>
      <w:b/>
      <w:bCs/>
      <w:color w:val="5B7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erif" w:hAnsi="Noto Serif"/>
      <w:b/>
      <w:bCs/>
      <w:color w:val="1C25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erif" w:hAnsi="Noto Serif"/>
      <w:b/>
      <w:color w:val="0B13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/>
      <w:iCs/>
      <w:color w:val="5B7C9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/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6"/>
      <w:contextualSpacing/>
    </w:pPr>
    <w:rPr>
      <w:rFonts w:ascii="Noto Sans" w:hAnsi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Gold">
    <w:name w:val="Quote Gold"/>
    <w:pPr>
      <w:spacing w:before="80" w:after="120"/>
      <w:ind w:left="397" w:right="170"/>
    </w:pPr>
    <w:rPr>
      <w:rFonts w:ascii="Noto Serif" w:hAnsi="Noto Serif"/>
      <w:i/>
      <w:color w:val="1C2541"/>
      <w:sz w:val="21"/>
    </w:rPr>
  </w:style>
  <w:style w:type="paragraph" w:customStyle="1" w:styleId="CodeBlock">
    <w:name w:val="Code Block"/>
    <w:pPr>
      <w:spacing w:after="0" w:line="240" w:lineRule="auto"/>
      <w:ind w:left="227" w:right="113"/>
    </w:pPr>
    <w:rPr>
      <w:rFonts w:ascii="Noto Sans Mono" w:hAnsi="Noto Sans Mono"/>
      <w:color w:val="17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KEFE</dc:title>
  <dc:subject>Dokümantasyon Yönetişimi ve Belge Haritası</dc:subject>
  <dc:creator>KEFE Product Strategy</dc:creator>
  <cp:keywords>KEFE, product, architecture, decision platform</cp:keywords>
  <dc:description>Generated canonical documentation package; Approved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