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121416"/>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121416"/>
          <w:sz w:val="24"/>
          <w:szCs w:val="24"/>
        </w:rPr>
      </w:pPr>
      <w:r w:rsidDel="00000000" w:rsidR="00000000" w:rsidRPr="00000000">
        <w:rPr>
          <w:rFonts w:ascii="Times New Roman" w:cs="Times New Roman" w:eastAsia="Times New Roman" w:hAnsi="Times New Roman"/>
          <w:color w:val="121416"/>
          <w:sz w:val="24"/>
          <w:szCs w:val="24"/>
          <w:rtl w:val="0"/>
        </w:rPr>
        <w:tab/>
        <w:tab/>
        <w:tab/>
        <w:tab/>
      </w:r>
    </w:p>
    <w:p w:rsidR="00000000" w:rsidDel="00000000" w:rsidP="00000000" w:rsidRDefault="00000000" w:rsidRPr="00000000" w14:paraId="00000003">
      <w:pPr>
        <w:rPr>
          <w:rFonts w:ascii="Times New Roman" w:cs="Times New Roman" w:eastAsia="Times New Roman" w:hAnsi="Times New Roman"/>
          <w:color w:val="121416"/>
          <w:sz w:val="36"/>
          <w:szCs w:val="36"/>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21416"/>
          <w:sz w:val="36"/>
          <w:szCs w:val="36"/>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21416"/>
          <w:sz w:val="36"/>
          <w:szCs w:val="36"/>
          <w:u w:val="singl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enthusiastically endorse Maliha Noushin Raida for admission to your esteemed university's Ph.D. program. Having the opportunity to instruct her in different courses and labs, as well as co-supervise her undergraduate thesis, I have complete trust in her impressive academic capabilities and the potential she holds for research. I recommend students for a program only when I believe they are well-suited for it. After carefully observing the program's objectives and overview, I strongly believe that Raida is an outstanding match for this program.</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“Software Verification and Validation” theory course, Raida exhibited a keen interest in that topic while demonstrating a deep understanding of the subject matter. She distinguished herself not only academically but also by posing thought-provoking questions. For instance, in the lab, I presented a scenario and instructed the students to translate it into a mathematical expression and validate those expressions. Raida approached the problem creatively, providing solutions in various ways. Her solutions were not only effective in solving the problem but also demonstrated efficiency. This ability to make quick decisions and think uniquely is a crucial factor in advancing your research program. In the “Embedded Software Development” lab, she showcased originality by combining theoretical knowledge with practical application. She designed a system that went beyond meeting the requirements of a lab project.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role as the supervisor of her undergraduate thesis, what stood out the most was Raida's keen ability to both identify the strengths and pinpoint the weaknesses in her work. Her research not only met rigorous academic standards but also demonstrated her capacity to make meaningful contributions to the field of software engineering. As a result, the outcomes of her work were published in the highly prestigious Q1-ranked Journal of Systems and Software (JSS). Beyond her individual achievements, Raida proved to be a valuable team player with open communication, making substantial contributions to team goals.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strongly recommend Raida for admission to your Ph.D. program. She brings a combination of intelligence, creativity, and passion for research that will significantly contribute to your academic society. Please feel free to contact me if you require any further information.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7788" cy="44572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347788" cy="4457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Md. Nazmul Haque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Islamic University of Technology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7">
        <w:r w:rsidDel="00000000" w:rsidR="00000000" w:rsidRPr="00000000">
          <w:rPr>
            <w:rFonts w:ascii="Times New Roman" w:cs="Times New Roman" w:eastAsia="Times New Roman" w:hAnsi="Times New Roman"/>
            <w:color w:val="1155cc"/>
            <w:sz w:val="24"/>
            <w:szCs w:val="24"/>
            <w:u w:val="single"/>
            <w:rtl w:val="0"/>
          </w:rPr>
          <w:t xml:space="preserve">nazmul.haque@iut-dhaka.edu</w:t>
        </w:r>
      </w:hyperlink>
      <w:r w:rsidDel="00000000" w:rsidR="00000000" w:rsidRPr="00000000">
        <w:rPr>
          <w:rtl w:val="0"/>
        </w:rPr>
      </w:r>
    </w:p>
    <w:sectPr>
      <w:headerReference r:id="rId8" w:type="default"/>
      <w:footerReference r:id="rId9" w:type="default"/>
      <w:pgSz w:h="15840" w:w="12240" w:orient="portrait"/>
      <w:pgMar w:bottom="990" w:top="360" w:left="1440" w:right="1440" w:header="0"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BOARD BAZAR, GAZIPUR-1704, BANGLADESH</w:t>
    </w:r>
  </w:p>
  <w:p w:rsidR="00000000" w:rsidDel="00000000" w:rsidP="00000000" w:rsidRDefault="00000000" w:rsidRPr="00000000" w14:paraId="00000017">
    <w:pPr>
      <w:jc w:val="center"/>
      <w:rPr>
        <w:sz w:val="18"/>
        <w:szCs w:val="18"/>
      </w:rPr>
    </w:pPr>
    <w:r w:rsidDel="00000000" w:rsidR="00000000" w:rsidRPr="00000000">
      <w:rPr>
        <w:sz w:val="18"/>
        <w:szCs w:val="18"/>
        <w:rtl w:val="0"/>
      </w:rPr>
      <w:t xml:space="preserve">Tel: 9291250, 9291252 Fax: 880-2-9291260 e-mail:vc@iut-dhaka.edu website: www.iutoic-dhaka.edu</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-547687</wp:posOffset>
          </wp:positionH>
          <wp:positionV relativeFrom="paragraph">
            <wp:posOffset>133350</wp:posOffset>
          </wp:positionV>
          <wp:extent cx="7034213" cy="138968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34213" cy="138968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nazmul.haque@iut-dhaka.edu"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