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A07" w:rsidRPr="00EB4B04" w:rsidRDefault="00C25A07" w:rsidP="00C25A07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Fixed Assets Depreciation Schedule</w:t>
      </w:r>
    </w:p>
    <w:bookmarkStart w:id="0" w:name="_Toc161725932"/>
    <w:bookmarkStart w:id="1" w:name="_Toc161725972"/>
    <w:bookmarkStart w:id="2" w:name="_Toc162231799"/>
    <w:bookmarkStart w:id="3" w:name="_Toc162231839"/>
    <w:bookmarkStart w:id="4" w:name="_Toc174341815"/>
    <w:bookmarkStart w:id="5" w:name="_Toc174352656"/>
    <w:bookmarkStart w:id="6" w:name="_Toc174848442"/>
    <w:bookmarkStart w:id="7" w:name="_Toc175556631"/>
    <w:bookmarkStart w:id="8" w:name="_Toc175644808"/>
    <w:bookmarkStart w:id="9" w:name="_Toc176060677"/>
    <w:bookmarkStart w:id="10" w:name="_Toc185062508"/>
    <w:bookmarkStart w:id="11" w:name="_Toc185229323"/>
    <w:bookmarkStart w:id="12" w:name="_Toc185396389"/>
    <w:bookmarkStart w:id="13" w:name="_Toc185406933"/>
    <w:p w:rsidR="00C25A07" w:rsidRPr="00EB4B04" w:rsidRDefault="00C25A07" w:rsidP="00C25A07">
      <w:pPr>
        <w:keepNext/>
        <w:keepLines/>
        <w:spacing w:before="360" w:after="60"/>
        <w:outlineLvl w:val="0"/>
        <w:rPr>
          <w:rFonts w:ascii="Cambria" w:eastAsia="Times New Roman" w:hAnsi="Cambria" w:cs="Arial"/>
          <w:b/>
          <w:color w:val="365F91" w:themeColor="accent1" w:themeShade="BF"/>
          <w:kern w:val="32"/>
          <w:sz w:val="28"/>
          <w:szCs w:val="28"/>
        </w:rPr>
      </w:pPr>
      <w:r w:rsidRPr="00EB4B04">
        <w:rPr>
          <w:rFonts w:ascii="Cambria" w:eastAsia="Times New Roman" w:hAnsi="Cambria" w:cs="Arial"/>
          <w:b/>
          <w:noProof/>
          <w:color w:val="365F91" w:themeColor="accent1" w:themeShade="BF"/>
          <w:kern w:val="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B2C6F3" wp14:editId="0A875004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715000" cy="0"/>
                <wp:effectExtent l="0" t="0" r="0" b="0"/>
                <wp:wrapNone/>
                <wp:docPr id="4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4Nj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"/>
            </w:pict>
          </mc:Fallback>
        </mc:AlternateContent>
      </w:r>
      <w:r w:rsidRPr="00EB4B04">
        <w:rPr>
          <w:rFonts w:ascii="Cambria" w:eastAsia="Times New Roman" w:hAnsi="Cambria" w:cs="Arial"/>
          <w:b/>
          <w:color w:val="365F91" w:themeColor="accent1" w:themeShade="BF"/>
          <w:kern w:val="32"/>
          <w:sz w:val="28"/>
          <w:szCs w:val="28"/>
        </w:rPr>
        <w:t>Munis®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C25A07" w:rsidRPr="00EB4B04" w:rsidRDefault="00C25A07" w:rsidP="00C25A07">
      <w:pPr>
        <w:keepNext/>
        <w:keepLines/>
        <w:spacing w:after="130"/>
        <w:rPr>
          <w:rFonts w:eastAsiaTheme="majorEastAsia" w:cstheme="majorBidi"/>
          <w:bCs/>
          <w:snapToGrid w:val="0"/>
          <w:sz w:val="24"/>
          <w:szCs w:val="24"/>
        </w:rPr>
      </w:pPr>
      <w:r w:rsidRPr="00EB4B04">
        <w:rPr>
          <w:rFonts w:eastAsiaTheme="majorEastAsia" w:cstheme="majorBidi"/>
          <w:bCs/>
          <w:snapToGrid w:val="0"/>
          <w:sz w:val="24"/>
          <w:szCs w:val="24"/>
        </w:rPr>
        <w:t xml:space="preserve">Last Updated: </w:t>
      </w:r>
      <w:r w:rsidR="009074B1">
        <w:rPr>
          <w:rFonts w:eastAsiaTheme="majorEastAsia" w:cstheme="majorBidi"/>
          <w:bCs/>
          <w:snapToGrid w:val="0"/>
          <w:sz w:val="24"/>
          <w:szCs w:val="24"/>
        </w:rPr>
        <w:t>February</w:t>
      </w:r>
      <w:bookmarkStart w:id="14" w:name="_GoBack"/>
      <w:bookmarkEnd w:id="14"/>
      <w:r w:rsidRPr="00EB4B04">
        <w:rPr>
          <w:rFonts w:eastAsiaTheme="majorEastAsia" w:cstheme="majorBidi"/>
          <w:bCs/>
          <w:snapToGrid w:val="0"/>
          <w:sz w:val="24"/>
          <w:szCs w:val="24"/>
        </w:rPr>
        <w:t xml:space="preserve"> 2013</w:t>
      </w:r>
    </w:p>
    <w:p w:rsidR="00C25A07" w:rsidRDefault="00C25A07" w:rsidP="00660746">
      <w:pPr>
        <w:pStyle w:val="tochead"/>
      </w:pPr>
    </w:p>
    <w:p w:rsidR="00C25A07" w:rsidRDefault="00C25A07" w:rsidP="00660746">
      <w:pPr>
        <w:pStyle w:val="tochead"/>
      </w:pPr>
    </w:p>
    <w:p w:rsidR="00C25A07" w:rsidRDefault="00C25A07" w:rsidP="00660746">
      <w:pPr>
        <w:pStyle w:val="tochead"/>
      </w:pPr>
    </w:p>
    <w:p w:rsidR="00C25A07" w:rsidRDefault="00C25A07" w:rsidP="00660746">
      <w:pPr>
        <w:pStyle w:val="tochead"/>
      </w:pPr>
    </w:p>
    <w:p w:rsidR="00C25A07" w:rsidRDefault="00C25A07" w:rsidP="00660746">
      <w:pPr>
        <w:pStyle w:val="tochead"/>
      </w:pPr>
    </w:p>
    <w:p w:rsidR="00C25A07" w:rsidRDefault="00C25A07" w:rsidP="00660746">
      <w:pPr>
        <w:pStyle w:val="tochead"/>
      </w:pPr>
    </w:p>
    <w:p w:rsidR="00C25A07" w:rsidRDefault="00C25A07" w:rsidP="00660746">
      <w:pPr>
        <w:pStyle w:val="tochead"/>
      </w:pPr>
    </w:p>
    <w:p w:rsidR="00C25A07" w:rsidRDefault="00C25A07" w:rsidP="00660746">
      <w:pPr>
        <w:pStyle w:val="tochead"/>
      </w:pPr>
    </w:p>
    <w:p w:rsidR="00C25A07" w:rsidRDefault="00C25A07" w:rsidP="00660746">
      <w:pPr>
        <w:pStyle w:val="tochead"/>
      </w:pPr>
    </w:p>
    <w:p w:rsidR="00C25A07" w:rsidRDefault="00C25A07" w:rsidP="00660746">
      <w:pPr>
        <w:pStyle w:val="tochead"/>
      </w:pPr>
    </w:p>
    <w:p w:rsidR="00C25A07" w:rsidRDefault="00C25A07" w:rsidP="00660746">
      <w:pPr>
        <w:pStyle w:val="tochead"/>
      </w:pPr>
    </w:p>
    <w:p w:rsidR="00C25A07" w:rsidRDefault="00C25A07" w:rsidP="00660746">
      <w:pPr>
        <w:pStyle w:val="tochead"/>
      </w:pPr>
    </w:p>
    <w:p w:rsidR="00C25A07" w:rsidRDefault="00C25A07" w:rsidP="00660746">
      <w:pPr>
        <w:pStyle w:val="tochead"/>
      </w:pPr>
    </w:p>
    <w:p w:rsidR="00E82942" w:rsidRDefault="00E82942" w:rsidP="00197057">
      <w:pPr>
        <w:pStyle w:val="Sechead"/>
        <w:jc w:val="left"/>
        <w:sectPr w:rsidR="00E82942" w:rsidSect="00197057">
          <w:footerReference w:type="default" r:id="rId13"/>
          <w:footerReference w:type="first" r:id="rId14"/>
          <w:pgSz w:w="12240" w:h="15840"/>
          <w:pgMar w:top="1440" w:right="1440" w:bottom="1440" w:left="1800" w:header="720" w:footer="720" w:gutter="0"/>
          <w:pgNumType w:start="0"/>
          <w:cols w:space="720"/>
          <w:titlePg/>
          <w:docGrid w:linePitch="299"/>
        </w:sectPr>
      </w:pPr>
    </w:p>
    <w:p w:rsidR="00E82942" w:rsidRDefault="005A03BE">
      <w:pPr>
        <w:pStyle w:val="Heading1"/>
      </w:pPr>
      <w:bookmarkStart w:id="15" w:name="_Toc205360695"/>
      <w:r>
        <w:lastRenderedPageBreak/>
        <w:t>OVERVIEW</w:t>
      </w:r>
      <w:bookmarkEnd w:id="15"/>
    </w:p>
    <w:p w:rsidR="002B1BB4" w:rsidRDefault="00E82942">
      <w:pPr>
        <w:pStyle w:val="BodyText"/>
      </w:pPr>
      <w:r>
        <w:t xml:space="preserve">The </w:t>
      </w:r>
      <w:r w:rsidR="00804495">
        <w:t xml:space="preserve">Fixed Assets </w:t>
      </w:r>
      <w:r w:rsidR="00C54DCD">
        <w:t xml:space="preserve">Depreciation Schedule </w:t>
      </w:r>
      <w:r>
        <w:t>p</w:t>
      </w:r>
      <w:r w:rsidR="008B374D">
        <w:t xml:space="preserve">rovides </w:t>
      </w:r>
      <w:r w:rsidR="00554923">
        <w:t xml:space="preserve">a listing of asset details that </w:t>
      </w:r>
      <w:r w:rsidR="0094097A">
        <w:t>were depreciated for the report</w:t>
      </w:r>
      <w:r w:rsidR="00554923">
        <w:t xml:space="preserve"> </w:t>
      </w:r>
      <w:r w:rsidR="0094097A">
        <w:t xml:space="preserve">year </w:t>
      </w:r>
      <w:r w:rsidR="00554923">
        <w:t xml:space="preserve">as posted from the Fixed Asset module for the </w:t>
      </w:r>
      <w:r w:rsidR="0094097A">
        <w:t>report</w:t>
      </w:r>
      <w:r w:rsidR="00554923">
        <w:t xml:space="preserve"> year.  </w:t>
      </w:r>
      <w:r w:rsidR="0094097A">
        <w:t>A</w:t>
      </w:r>
      <w:r w:rsidR="00C54DCD">
        <w:t>sset</w:t>
      </w:r>
      <w:r w:rsidR="00554923">
        <w:t xml:space="preserve"> descriptions and depreciation details </w:t>
      </w:r>
      <w:r w:rsidR="0094097A">
        <w:t xml:space="preserve">are included </w:t>
      </w:r>
      <w:r w:rsidR="00554923">
        <w:t xml:space="preserve">such as estimated life, </w:t>
      </w:r>
      <w:r w:rsidR="00250BC8">
        <w:t>number of</w:t>
      </w:r>
      <w:r w:rsidR="00554923">
        <w:t xml:space="preserve"> periods taken for the year, first and last year periods of depreciation and acquisition cost</w:t>
      </w:r>
      <w:r w:rsidR="0094097A">
        <w:t xml:space="preserve">; all to assist </w:t>
      </w:r>
      <w:r w:rsidR="00554923">
        <w:t xml:space="preserve">auditors </w:t>
      </w:r>
      <w:r w:rsidR="00250BC8">
        <w:t xml:space="preserve">in </w:t>
      </w:r>
      <w:r w:rsidR="00554923">
        <w:t>verify</w:t>
      </w:r>
      <w:r w:rsidR="00250BC8">
        <w:t xml:space="preserve">ing </w:t>
      </w:r>
      <w:r w:rsidR="00554923">
        <w:t xml:space="preserve">the </w:t>
      </w:r>
      <w:r w:rsidR="00250BC8">
        <w:t xml:space="preserve">depreciation </w:t>
      </w:r>
      <w:r w:rsidR="002B1BB4">
        <w:t xml:space="preserve">calculation </w:t>
      </w:r>
      <w:r w:rsidR="00250BC8">
        <w:t>and amounts</w:t>
      </w:r>
      <w:r w:rsidR="002B1BB4">
        <w:t>.</w:t>
      </w:r>
      <w:r w:rsidR="00554923">
        <w:t xml:space="preserve"> </w:t>
      </w:r>
      <w:r w:rsidR="002B1BB4">
        <w:t xml:space="preserve">The report also includes </w:t>
      </w:r>
      <w:r w:rsidR="00F549B3">
        <w:t xml:space="preserve">assets that </w:t>
      </w:r>
      <w:r w:rsidR="002B1BB4">
        <w:t xml:space="preserve">have been </w:t>
      </w:r>
      <w:r w:rsidR="00F549B3">
        <w:t xml:space="preserve">fully depreciated but have a balance remaining of Life-To-Date accumulated depreciation for the reported year.  </w:t>
      </w:r>
    </w:p>
    <w:p w:rsidR="00E82942" w:rsidRPr="00B15353" w:rsidRDefault="003059E8">
      <w:pPr>
        <w:pStyle w:val="BodyText"/>
        <w:rPr>
          <w:u w:val="single"/>
        </w:rPr>
      </w:pPr>
      <w:r>
        <w:t xml:space="preserve">The </w:t>
      </w:r>
      <w:r w:rsidR="000E54C2">
        <w:t xml:space="preserve">asset </w:t>
      </w:r>
      <w:r w:rsidR="009C70AE">
        <w:t xml:space="preserve">amounts </w:t>
      </w:r>
      <w:r w:rsidR="000E54C2">
        <w:t xml:space="preserve">are </w:t>
      </w:r>
      <w:r w:rsidR="008B374D">
        <w:t>report</w:t>
      </w:r>
      <w:r w:rsidR="009C70AE">
        <w:t>ed</w:t>
      </w:r>
      <w:r>
        <w:t xml:space="preserve"> </w:t>
      </w:r>
      <w:r w:rsidR="008B374D">
        <w:t xml:space="preserve">as posted from the </w:t>
      </w:r>
      <w:r w:rsidR="00804495">
        <w:t>F</w:t>
      </w:r>
      <w:r w:rsidR="008B374D">
        <w:t xml:space="preserve">ixed </w:t>
      </w:r>
      <w:r w:rsidR="00804495">
        <w:t>A</w:t>
      </w:r>
      <w:r w:rsidR="008B374D">
        <w:t>sset history detail records</w:t>
      </w:r>
      <w:r>
        <w:t xml:space="preserve"> </w:t>
      </w:r>
      <w:r w:rsidR="000E54C2">
        <w:t xml:space="preserve">generated from the </w:t>
      </w:r>
      <w:r w:rsidR="00804495">
        <w:t>F</w:t>
      </w:r>
      <w:r w:rsidR="000E54C2">
        <w:t xml:space="preserve">ixed </w:t>
      </w:r>
      <w:r w:rsidR="00804495">
        <w:t>A</w:t>
      </w:r>
      <w:r w:rsidR="000E54C2">
        <w:t xml:space="preserve">sset module and does </w:t>
      </w:r>
      <w:r w:rsidR="009C70AE">
        <w:t>NOT</w:t>
      </w:r>
      <w:r w:rsidR="000E54C2">
        <w:t xml:space="preserve"> include amounts </w:t>
      </w:r>
      <w:r w:rsidR="009C70AE">
        <w:t>generated from General Journal Entries</w:t>
      </w:r>
      <w:r w:rsidR="008B374D">
        <w:t>.</w:t>
      </w:r>
      <w:r w:rsidR="00E82942">
        <w:t xml:space="preserve"> </w:t>
      </w:r>
      <w:r w:rsidR="00E82942" w:rsidRPr="00B15353">
        <w:rPr>
          <w:u w:val="single"/>
        </w:rPr>
        <w:t xml:space="preserve">The </w:t>
      </w:r>
      <w:r w:rsidR="00C54DCD" w:rsidRPr="00B15353">
        <w:rPr>
          <w:u w:val="single"/>
        </w:rPr>
        <w:t xml:space="preserve">Depreciation Schedule pulls from two different </w:t>
      </w:r>
      <w:r w:rsidR="00804495" w:rsidRPr="00B15353">
        <w:rPr>
          <w:u w:val="single"/>
        </w:rPr>
        <w:t>F</w:t>
      </w:r>
      <w:r w:rsidR="00C54DCD" w:rsidRPr="00B15353">
        <w:rPr>
          <w:u w:val="single"/>
        </w:rPr>
        <w:t xml:space="preserve">ixed </w:t>
      </w:r>
      <w:r w:rsidR="00804495" w:rsidRPr="00B15353">
        <w:rPr>
          <w:u w:val="single"/>
        </w:rPr>
        <w:t>A</w:t>
      </w:r>
      <w:r w:rsidR="00C54DCD" w:rsidRPr="00B15353">
        <w:rPr>
          <w:u w:val="single"/>
        </w:rPr>
        <w:t>sset sources</w:t>
      </w:r>
      <w:r w:rsidR="00E82942" w:rsidRPr="00B15353">
        <w:rPr>
          <w:u w:val="single"/>
        </w:rPr>
        <w:t xml:space="preserve"> - </w:t>
      </w:r>
    </w:p>
    <w:p w:rsidR="00F442FE" w:rsidRDefault="00F442FE" w:rsidP="003B2908">
      <w:pPr>
        <w:pStyle w:val="BodyText"/>
        <w:numPr>
          <w:ilvl w:val="0"/>
          <w:numId w:val="1"/>
        </w:numPr>
      </w:pPr>
      <w:r>
        <w:t xml:space="preserve">Fixed Asset Master File Maintenance </w:t>
      </w:r>
    </w:p>
    <w:p w:rsidR="00E82942" w:rsidRDefault="008B374D" w:rsidP="003B2908">
      <w:pPr>
        <w:pStyle w:val="BodyText"/>
        <w:numPr>
          <w:ilvl w:val="0"/>
          <w:numId w:val="1"/>
        </w:numPr>
      </w:pPr>
      <w:r>
        <w:t xml:space="preserve">Fixed Asset </w:t>
      </w:r>
      <w:r w:rsidR="004D2624">
        <w:t>h</w:t>
      </w:r>
      <w:r>
        <w:t>istory records</w:t>
      </w:r>
      <w:r w:rsidR="00E82942">
        <w:t xml:space="preserve">. </w:t>
      </w:r>
    </w:p>
    <w:p w:rsidR="00D86F16" w:rsidRDefault="00E82942">
      <w:pPr>
        <w:pStyle w:val="BodyText"/>
      </w:pPr>
      <w:r>
        <w:t xml:space="preserve">The </w:t>
      </w:r>
      <w:r w:rsidR="00F442FE">
        <w:rPr>
          <w:b/>
        </w:rPr>
        <w:t>Fixed Asset Master File Maintenance or A</w:t>
      </w:r>
      <w:r w:rsidR="008B374D" w:rsidRPr="004D2624">
        <w:rPr>
          <w:b/>
        </w:rPr>
        <w:t>sset Inquiry</w:t>
      </w:r>
      <w:r w:rsidR="008B374D">
        <w:t xml:space="preserve"> </w:t>
      </w:r>
      <w:r>
        <w:t>is</w:t>
      </w:r>
      <w:r w:rsidR="008B374D">
        <w:t xml:space="preserve"> </w:t>
      </w:r>
      <w:r w:rsidR="004D2624">
        <w:t xml:space="preserve">where </w:t>
      </w:r>
      <w:r w:rsidR="008B374D">
        <w:t xml:space="preserve">the actual </w:t>
      </w:r>
      <w:r w:rsidR="004D2624">
        <w:t>asset master record</w:t>
      </w:r>
      <w:r w:rsidR="00804495">
        <w:t>s</w:t>
      </w:r>
      <w:r w:rsidR="004D2624">
        <w:t xml:space="preserve"> </w:t>
      </w:r>
      <w:r w:rsidR="00C35557">
        <w:t>reside</w:t>
      </w:r>
      <w:r w:rsidR="006504C9">
        <w:t>; where</w:t>
      </w:r>
      <w:r w:rsidR="00C35557">
        <w:t xml:space="preserve"> assets are </w:t>
      </w:r>
      <w:r w:rsidR="004D2624">
        <w:t>add</w:t>
      </w:r>
      <w:r w:rsidR="00C35557">
        <w:t>e</w:t>
      </w:r>
      <w:r w:rsidR="004D2624">
        <w:t>d</w:t>
      </w:r>
      <w:r w:rsidR="00C35557">
        <w:t xml:space="preserve"> and </w:t>
      </w:r>
      <w:r w:rsidR="004D2624">
        <w:t>maintained</w:t>
      </w:r>
      <w:r w:rsidR="00C35557">
        <w:t xml:space="preserve">. </w:t>
      </w:r>
      <w:r w:rsidR="00B15353">
        <w:t>Key fields and amounts such as the asset Acquisition cost field, Asset Type (Governmental or Proprietary), Class and Sub-class codes are pulled from the asset master file for the Depreciation Schedule.</w:t>
      </w:r>
      <w:r w:rsidR="00D86F16">
        <w:t xml:space="preserve">  It is vital that these key fields are accurate and tie to the </w:t>
      </w:r>
      <w:r w:rsidR="00D2527E">
        <w:t xml:space="preserve">fixed </w:t>
      </w:r>
      <w:r w:rsidR="00D86F16">
        <w:t xml:space="preserve">asset history records. </w:t>
      </w:r>
      <w:r w:rsidR="00B15353">
        <w:t xml:space="preserve"> </w:t>
      </w:r>
    </w:p>
    <w:p w:rsidR="00804495" w:rsidRDefault="00B15353">
      <w:pPr>
        <w:pStyle w:val="BodyText"/>
      </w:pPr>
      <w:r>
        <w:t xml:space="preserve">Any discrepancies between the asset acquisition cost on the asset master and the asset history </w:t>
      </w:r>
      <w:r w:rsidR="00F5424C">
        <w:t xml:space="preserve">records </w:t>
      </w:r>
      <w:r w:rsidR="00D2527E">
        <w:t>w</w:t>
      </w:r>
      <w:r>
        <w:t>ill be evident.</w:t>
      </w:r>
    </w:p>
    <w:p w:rsidR="00F5424C" w:rsidRDefault="00E82942" w:rsidP="00F5424C">
      <w:pPr>
        <w:pStyle w:val="BodyText"/>
      </w:pPr>
      <w:r>
        <w:rPr>
          <w:spacing w:val="-8"/>
        </w:rPr>
        <w:t>The</w:t>
      </w:r>
      <w:r w:rsidR="004D2624">
        <w:rPr>
          <w:b/>
          <w:spacing w:val="-8"/>
        </w:rPr>
        <w:t xml:space="preserve"> Fixed Asset history records</w:t>
      </w:r>
      <w:r>
        <w:rPr>
          <w:spacing w:val="-8"/>
        </w:rPr>
        <w:t xml:space="preserve"> </w:t>
      </w:r>
      <w:r w:rsidR="00F442FE">
        <w:rPr>
          <w:spacing w:val="-8"/>
        </w:rPr>
        <w:t xml:space="preserve">are </w:t>
      </w:r>
      <w:r w:rsidR="00FA154D">
        <w:rPr>
          <w:spacing w:val="-8"/>
        </w:rPr>
        <w:t xml:space="preserve">automatically </w:t>
      </w:r>
      <w:r w:rsidR="00F442FE">
        <w:rPr>
          <w:spacing w:val="-8"/>
        </w:rPr>
        <w:t xml:space="preserve">created from fixed asset transactions </w:t>
      </w:r>
      <w:r w:rsidR="00D2527E">
        <w:rPr>
          <w:spacing w:val="-8"/>
        </w:rPr>
        <w:t>PROPERLY</w:t>
      </w:r>
      <w:r w:rsidR="009A5424">
        <w:rPr>
          <w:spacing w:val="-8"/>
        </w:rPr>
        <w:t xml:space="preserve"> </w:t>
      </w:r>
      <w:r w:rsidR="00F442FE">
        <w:rPr>
          <w:spacing w:val="-8"/>
        </w:rPr>
        <w:t xml:space="preserve">processed </w:t>
      </w:r>
      <w:r w:rsidR="00D86F16">
        <w:rPr>
          <w:spacing w:val="-8"/>
        </w:rPr>
        <w:t xml:space="preserve">from the key fields on the asset master.  History records are generated from transactions created </w:t>
      </w:r>
      <w:r w:rsidR="009A5424">
        <w:rPr>
          <w:spacing w:val="-8"/>
        </w:rPr>
        <w:t>for assets added, adjusted, transferred and retired.  History records are also generated f</w:t>
      </w:r>
      <w:r w:rsidR="00D86F16">
        <w:rPr>
          <w:spacing w:val="-8"/>
        </w:rPr>
        <w:t>rom d</w:t>
      </w:r>
      <w:r w:rsidR="00FA154D">
        <w:rPr>
          <w:spacing w:val="-8"/>
        </w:rPr>
        <w:t xml:space="preserve">epreciation and the </w:t>
      </w:r>
      <w:r w:rsidR="009A5424">
        <w:rPr>
          <w:spacing w:val="-8"/>
        </w:rPr>
        <w:t>Fixed Asset General Journal Entry</w:t>
      </w:r>
      <w:r w:rsidR="00FA154D">
        <w:rPr>
          <w:spacing w:val="-8"/>
        </w:rPr>
        <w:t xml:space="preserve"> processes within the Fixed Asset module.  </w:t>
      </w:r>
      <w:r w:rsidR="00485343">
        <w:rPr>
          <w:spacing w:val="-8"/>
        </w:rPr>
        <w:t>Transaction h</w:t>
      </w:r>
      <w:r w:rsidR="00F442FE">
        <w:rPr>
          <w:spacing w:val="-8"/>
        </w:rPr>
        <w:t>istory detail</w:t>
      </w:r>
      <w:r w:rsidR="00485343">
        <w:rPr>
          <w:spacing w:val="-8"/>
        </w:rPr>
        <w:t xml:space="preserve"> records</w:t>
      </w:r>
      <w:r w:rsidR="00F442FE">
        <w:rPr>
          <w:spacing w:val="-8"/>
        </w:rPr>
        <w:t xml:space="preserve"> </w:t>
      </w:r>
      <w:r>
        <w:rPr>
          <w:spacing w:val="-8"/>
        </w:rPr>
        <w:t>provide</w:t>
      </w:r>
      <w:r w:rsidR="006320F1">
        <w:rPr>
          <w:spacing w:val="-8"/>
        </w:rPr>
        <w:t xml:space="preserve"> </w:t>
      </w:r>
      <w:r w:rsidR="00A4443C">
        <w:rPr>
          <w:spacing w:val="-8"/>
        </w:rPr>
        <w:t>the journal entry detail</w:t>
      </w:r>
      <w:r w:rsidR="003059E8">
        <w:rPr>
          <w:spacing w:val="-8"/>
        </w:rPr>
        <w:t xml:space="preserve"> (DR/CR) </w:t>
      </w:r>
      <w:r w:rsidR="00A4443C">
        <w:rPr>
          <w:spacing w:val="-8"/>
        </w:rPr>
        <w:t>as posted to the general ledger</w:t>
      </w:r>
      <w:r w:rsidR="003059E8">
        <w:rPr>
          <w:spacing w:val="-8"/>
        </w:rPr>
        <w:t xml:space="preserve"> for each asset </w:t>
      </w:r>
      <w:r w:rsidR="00833618">
        <w:rPr>
          <w:spacing w:val="-8"/>
        </w:rPr>
        <w:t>based on the asset account codes (org/objects) for types 1, 2, 5 and 6 existing on the asset when the asset transactions are created</w:t>
      </w:r>
      <w:r w:rsidR="00F5424C">
        <w:rPr>
          <w:spacing w:val="-8"/>
        </w:rPr>
        <w:t xml:space="preserve">. </w:t>
      </w:r>
      <w:r w:rsidR="00833618">
        <w:rPr>
          <w:spacing w:val="-8"/>
        </w:rPr>
        <w:t xml:space="preserve">  </w:t>
      </w:r>
      <w:r w:rsidR="0029771C">
        <w:rPr>
          <w:spacing w:val="-8"/>
        </w:rPr>
        <w:t xml:space="preserve">If changes are made to the key fields for Acquisition cost and Status and a history transaction record is NOT created, such differences will become evident </w:t>
      </w:r>
      <w:r w:rsidR="00D2527E">
        <w:rPr>
          <w:spacing w:val="-8"/>
        </w:rPr>
        <w:t xml:space="preserve">when verifying </w:t>
      </w:r>
      <w:r w:rsidR="0029771C">
        <w:rPr>
          <w:spacing w:val="-8"/>
        </w:rPr>
        <w:t>this report</w:t>
      </w:r>
      <w:r w:rsidR="00D2527E">
        <w:rPr>
          <w:spacing w:val="-8"/>
        </w:rPr>
        <w:t xml:space="preserve">. </w:t>
      </w:r>
    </w:p>
    <w:p w:rsidR="00E82942" w:rsidRDefault="00E82942">
      <w:pPr>
        <w:pStyle w:val="BodyText"/>
        <w:rPr>
          <w:spacing w:val="-8"/>
        </w:rPr>
      </w:pPr>
    </w:p>
    <w:p w:rsidR="00A36ADD" w:rsidRDefault="00A36ADD">
      <w:pPr>
        <w:pStyle w:val="Heading1"/>
      </w:pPr>
      <w:bookmarkStart w:id="16" w:name="_Toc410025331"/>
      <w:bookmarkStart w:id="17" w:name="_Toc373219325"/>
    </w:p>
    <w:p w:rsidR="00A36ADD" w:rsidRDefault="00A36ADD" w:rsidP="00A36ADD"/>
    <w:p w:rsidR="00E82942" w:rsidRDefault="00045167">
      <w:pPr>
        <w:pStyle w:val="Heading1"/>
      </w:pPr>
      <w:r>
        <w:br w:type="page"/>
      </w:r>
      <w:bookmarkStart w:id="18" w:name="_Toc205360696"/>
      <w:r w:rsidR="00E82942">
        <w:lastRenderedPageBreak/>
        <w:t xml:space="preserve">CHECKLIST </w:t>
      </w:r>
      <w:r w:rsidR="009740BD">
        <w:t>TO PRODUCE</w:t>
      </w:r>
      <w:r w:rsidR="00E82942">
        <w:t xml:space="preserve"> THE </w:t>
      </w:r>
      <w:r w:rsidR="003961E9">
        <w:t>DEPRECIATION SCHEDULE</w:t>
      </w:r>
      <w:r w:rsidR="00E82942">
        <w:t xml:space="preserve"> REPORT</w:t>
      </w:r>
      <w:bookmarkEnd w:id="16"/>
      <w:bookmarkEnd w:id="18"/>
    </w:p>
    <w:p w:rsidR="0076399E" w:rsidRDefault="00BA5C73" w:rsidP="0076399E">
      <w:pPr>
        <w:pStyle w:val="listnumbering1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77470</wp:posOffset>
                </wp:positionV>
                <wp:extent cx="257175" cy="200025"/>
                <wp:effectExtent l="0" t="0" r="0" b="0"/>
                <wp:wrapNone/>
                <wp:docPr id="1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2.5pt;margin-top:6.1pt;width:20.25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" o:allowincell="f" strokeweight="1pt"/>
            </w:pict>
          </mc:Fallback>
        </mc:AlternateContent>
      </w:r>
      <w:r w:rsidR="0076399E">
        <w:t>Reconcile the Fixed Asset module to the General Ledger.</w:t>
      </w:r>
    </w:p>
    <w:p w:rsidR="0076399E" w:rsidRDefault="00BA5C73" w:rsidP="0076399E">
      <w:pPr>
        <w:pStyle w:val="listnumbering1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64770</wp:posOffset>
                </wp:positionV>
                <wp:extent cx="257175" cy="200025"/>
                <wp:effectExtent l="0" t="0" r="0" b="0"/>
                <wp:wrapNone/>
                <wp:docPr id="1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2.5pt;margin-top:5.1pt;width:20.2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" o:allowincell="f" strokeweight="1pt"/>
            </w:pict>
          </mc:Fallback>
        </mc:AlternateContent>
      </w:r>
      <w:r w:rsidR="0076399E">
        <w:t>Generate the Depreciation Schedule Report.</w:t>
      </w:r>
    </w:p>
    <w:p w:rsidR="0076399E" w:rsidRDefault="00BA5C73" w:rsidP="0076399E">
      <w:pPr>
        <w:pStyle w:val="listnumbering1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46990</wp:posOffset>
                </wp:positionV>
                <wp:extent cx="257175" cy="200025"/>
                <wp:effectExtent l="0" t="0" r="0" b="0"/>
                <wp:wrapNone/>
                <wp:docPr id="1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2.5pt;margin-top:3.7pt;width:20.2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" o:allowincell="f" strokeweight="1pt"/>
            </w:pict>
          </mc:Fallback>
        </mc:AlternateContent>
      </w:r>
      <w:r w:rsidR="0076399E">
        <w:t>Verify the Current Year Depreciation total.</w:t>
      </w:r>
    </w:p>
    <w:p w:rsidR="00D63DEB" w:rsidRPr="00E30F02" w:rsidRDefault="0076399E" w:rsidP="0076399E">
      <w:pPr>
        <w:pStyle w:val="listnumbering1"/>
        <w:numPr>
          <w:ilvl w:val="0"/>
          <w:numId w:val="2"/>
        </w:numPr>
      </w:pPr>
      <w:r>
        <w:t>Verify the LTD Accumulated Depreciation total</w:t>
      </w:r>
      <w:r w:rsidR="00BA5C7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77470</wp:posOffset>
                </wp:positionV>
                <wp:extent cx="257175" cy="200025"/>
                <wp:effectExtent l="0" t="0" r="0" b="0"/>
                <wp:wrapNone/>
                <wp:docPr id="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.5pt;margin-top:6.1pt;width:20.25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" o:allowincell="f" strokeweight="1pt"/>
            </w:pict>
          </mc:Fallback>
        </mc:AlternateContent>
      </w:r>
      <w:r w:rsidR="00E30F02" w:rsidRPr="00E30F02">
        <w:t>.</w:t>
      </w:r>
    </w:p>
    <w:p w:rsidR="00E82942" w:rsidRDefault="00BA5C73" w:rsidP="003B2908">
      <w:pPr>
        <w:pStyle w:val="listnumbering1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57150</wp:posOffset>
                </wp:positionV>
                <wp:extent cx="257175" cy="200025"/>
                <wp:effectExtent l="0" t="0" r="0" b="0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.05pt;margin-top:4.5pt;width:20.2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" strokeweight="1pt"/>
            </w:pict>
          </mc:Fallback>
        </mc:AlternateContent>
      </w:r>
      <w:r w:rsidR="0076399E">
        <w:rPr>
          <w:noProof/>
        </w:rPr>
        <w:t>Verify the Acquisition Cost total.</w:t>
      </w:r>
    </w:p>
    <w:p w:rsidR="00E82942" w:rsidRDefault="0076399E">
      <w:pPr>
        <w:pStyle w:val="Heading1"/>
      </w:pPr>
      <w:bookmarkStart w:id="19" w:name="_Toc205360697"/>
      <w:bookmarkStart w:id="20" w:name="_Toc373219326"/>
      <w:bookmarkEnd w:id="17"/>
      <w:r>
        <w:t>RECONCILE THE FIXED ASSET MODULE TO THE GENERAL LEDGER</w:t>
      </w:r>
      <w:bookmarkEnd w:id="19"/>
    </w:p>
    <w:p w:rsidR="002E24F5" w:rsidRDefault="008412C1" w:rsidP="002E24F5">
      <w:pPr>
        <w:rPr>
          <w:sz w:val="24"/>
        </w:rPr>
      </w:pPr>
      <w:r>
        <w:rPr>
          <w:sz w:val="24"/>
        </w:rPr>
        <w:t>I</w:t>
      </w:r>
      <w:r w:rsidR="002E24F5">
        <w:rPr>
          <w:sz w:val="24"/>
        </w:rPr>
        <w:t xml:space="preserve">t is required </w:t>
      </w:r>
      <w:r w:rsidR="00114E15">
        <w:rPr>
          <w:sz w:val="24"/>
        </w:rPr>
        <w:t>to</w:t>
      </w:r>
      <w:r w:rsidR="002E24F5">
        <w:rPr>
          <w:sz w:val="24"/>
        </w:rPr>
        <w:t xml:space="preserve"> reconcil</w:t>
      </w:r>
      <w:r w:rsidR="00114E15">
        <w:rPr>
          <w:sz w:val="24"/>
        </w:rPr>
        <w:t>e</w:t>
      </w:r>
      <w:r w:rsidR="002E24F5">
        <w:rPr>
          <w:sz w:val="24"/>
        </w:rPr>
        <w:t xml:space="preserve"> </w:t>
      </w:r>
      <w:r w:rsidR="00114E15">
        <w:rPr>
          <w:sz w:val="24"/>
        </w:rPr>
        <w:t>the Fixed Asset module to the Ge</w:t>
      </w:r>
      <w:r w:rsidR="002E24F5">
        <w:rPr>
          <w:sz w:val="24"/>
        </w:rPr>
        <w:t xml:space="preserve">neral </w:t>
      </w:r>
      <w:r w:rsidR="00114E15">
        <w:rPr>
          <w:sz w:val="24"/>
        </w:rPr>
        <w:t>L</w:t>
      </w:r>
      <w:r w:rsidR="002E24F5">
        <w:rPr>
          <w:sz w:val="24"/>
        </w:rPr>
        <w:t xml:space="preserve">edger module </w:t>
      </w:r>
      <w:r w:rsidR="00BA4E84">
        <w:rPr>
          <w:sz w:val="24"/>
        </w:rPr>
        <w:t xml:space="preserve">to </w:t>
      </w:r>
      <w:r w:rsidR="002E24F5">
        <w:rPr>
          <w:sz w:val="24"/>
        </w:rPr>
        <w:t>the Fixed Asset balance sheet accounts</w:t>
      </w:r>
      <w:r w:rsidR="002E148C" w:rsidRPr="002E148C">
        <w:rPr>
          <w:sz w:val="24"/>
        </w:rPr>
        <w:t xml:space="preserve"> </w:t>
      </w:r>
      <w:r w:rsidR="002E148C">
        <w:rPr>
          <w:sz w:val="24"/>
        </w:rPr>
        <w:t>to verify the amounts reported on the Fixed Assets Depreciation Schedule</w:t>
      </w:r>
      <w:r w:rsidR="002E24F5">
        <w:rPr>
          <w:sz w:val="24"/>
        </w:rPr>
        <w:t xml:space="preserve">.  </w:t>
      </w:r>
    </w:p>
    <w:p w:rsidR="00F645D2" w:rsidRDefault="00F645D2" w:rsidP="00A83775">
      <w:pPr>
        <w:rPr>
          <w:sz w:val="24"/>
        </w:rPr>
      </w:pPr>
    </w:p>
    <w:p w:rsidR="00F645D2" w:rsidRPr="00F645D2" w:rsidRDefault="00F645D2" w:rsidP="00A83775">
      <w:pPr>
        <w:rPr>
          <w:b/>
          <w:sz w:val="24"/>
        </w:rPr>
      </w:pPr>
      <w:r w:rsidRPr="00F645D2">
        <w:rPr>
          <w:b/>
          <w:sz w:val="24"/>
        </w:rPr>
        <w:t xml:space="preserve">NOTE:   This is part of the </w:t>
      </w:r>
      <w:r w:rsidR="008D0DC8">
        <w:rPr>
          <w:b/>
          <w:sz w:val="24"/>
        </w:rPr>
        <w:t xml:space="preserve">recommended </w:t>
      </w:r>
      <w:r w:rsidRPr="00F645D2">
        <w:rPr>
          <w:b/>
          <w:sz w:val="24"/>
        </w:rPr>
        <w:t>process for Fixed Assets</w:t>
      </w:r>
      <w:r w:rsidR="008D0DC8">
        <w:rPr>
          <w:b/>
          <w:sz w:val="24"/>
        </w:rPr>
        <w:t xml:space="preserve"> at the e</w:t>
      </w:r>
      <w:r w:rsidR="008D0DC8" w:rsidRPr="00F645D2">
        <w:rPr>
          <w:b/>
          <w:sz w:val="24"/>
        </w:rPr>
        <w:t xml:space="preserve">nd of </w:t>
      </w:r>
      <w:r w:rsidR="008D0DC8">
        <w:rPr>
          <w:b/>
          <w:sz w:val="24"/>
        </w:rPr>
        <w:t>y</w:t>
      </w:r>
      <w:r w:rsidR="008D0DC8" w:rsidRPr="00F645D2">
        <w:rPr>
          <w:b/>
          <w:sz w:val="24"/>
        </w:rPr>
        <w:t>ear</w:t>
      </w:r>
      <w:r w:rsidR="002E24F5">
        <w:rPr>
          <w:b/>
          <w:sz w:val="24"/>
        </w:rPr>
        <w:t>. I</w:t>
      </w:r>
      <w:r w:rsidRPr="00F645D2">
        <w:rPr>
          <w:b/>
          <w:sz w:val="24"/>
        </w:rPr>
        <w:t>t is not necessary to recreate the report</w:t>
      </w:r>
      <w:r w:rsidR="00114E15">
        <w:rPr>
          <w:b/>
          <w:sz w:val="24"/>
        </w:rPr>
        <w:t xml:space="preserve"> unless</w:t>
      </w:r>
      <w:r w:rsidRPr="00F645D2">
        <w:rPr>
          <w:b/>
          <w:sz w:val="24"/>
        </w:rPr>
        <w:t xml:space="preserve"> additional Fixed Asset transaction</w:t>
      </w:r>
      <w:r>
        <w:rPr>
          <w:b/>
          <w:sz w:val="24"/>
        </w:rPr>
        <w:t>s</w:t>
      </w:r>
      <w:r w:rsidRPr="00F645D2">
        <w:rPr>
          <w:b/>
          <w:sz w:val="24"/>
        </w:rPr>
        <w:t xml:space="preserve"> have been processed</w:t>
      </w:r>
      <w:r>
        <w:rPr>
          <w:b/>
          <w:sz w:val="24"/>
        </w:rPr>
        <w:t xml:space="preserve"> for the </w:t>
      </w:r>
      <w:r w:rsidR="002E24F5">
        <w:rPr>
          <w:b/>
          <w:sz w:val="24"/>
        </w:rPr>
        <w:t xml:space="preserve">report </w:t>
      </w:r>
      <w:r>
        <w:rPr>
          <w:b/>
          <w:sz w:val="24"/>
        </w:rPr>
        <w:t>year</w:t>
      </w:r>
      <w:r w:rsidRPr="00F645D2">
        <w:rPr>
          <w:b/>
          <w:sz w:val="24"/>
        </w:rPr>
        <w:t>.</w:t>
      </w:r>
    </w:p>
    <w:p w:rsidR="00A83775" w:rsidRDefault="00A83775" w:rsidP="00A83775">
      <w:pPr>
        <w:rPr>
          <w:sz w:val="24"/>
        </w:rPr>
      </w:pPr>
    </w:p>
    <w:p w:rsidR="00044B9F" w:rsidRPr="00044B9F" w:rsidRDefault="004A5DA4" w:rsidP="004A5DA4">
      <w:pPr>
        <w:rPr>
          <w:sz w:val="24"/>
        </w:rPr>
      </w:pPr>
      <w:r>
        <w:rPr>
          <w:sz w:val="24"/>
        </w:rPr>
        <w:t xml:space="preserve">To Generate a </w:t>
      </w:r>
      <w:r w:rsidR="00A83775">
        <w:rPr>
          <w:sz w:val="24"/>
        </w:rPr>
        <w:t xml:space="preserve">Fixed Assets History by GL Account </w:t>
      </w:r>
      <w:r>
        <w:rPr>
          <w:sz w:val="24"/>
        </w:rPr>
        <w:t>re</w:t>
      </w:r>
      <w:r w:rsidR="00A83775">
        <w:rPr>
          <w:sz w:val="24"/>
        </w:rPr>
        <w:t>port</w:t>
      </w:r>
      <w:r>
        <w:rPr>
          <w:sz w:val="24"/>
        </w:rPr>
        <w:t>, Select:</w:t>
      </w:r>
      <w:r w:rsidR="00044B9F" w:rsidRPr="00044B9F">
        <w:rPr>
          <w:sz w:val="24"/>
        </w:rPr>
        <w:t xml:space="preserve">  </w:t>
      </w:r>
    </w:p>
    <w:p w:rsidR="00BA4E84" w:rsidRDefault="00BA4E84" w:rsidP="00D86F16">
      <w:pPr>
        <w:rPr>
          <w:sz w:val="24"/>
        </w:rPr>
      </w:pPr>
      <w:r>
        <w:rPr>
          <w:sz w:val="24"/>
        </w:rPr>
        <w:t>Select:</w:t>
      </w:r>
    </w:p>
    <w:p w:rsidR="00044B9F" w:rsidRPr="00D52D4A" w:rsidRDefault="00D52D4A" w:rsidP="00D52D4A">
      <w:pPr>
        <w:rPr>
          <w:i/>
          <w:sz w:val="24"/>
        </w:rPr>
      </w:pPr>
      <w:r>
        <w:rPr>
          <w:i/>
          <w:sz w:val="24"/>
        </w:rPr>
        <w:t>Financials &gt; Fixed Assets &gt; Inquiries and Reports &gt; Asset History by GL Account</w:t>
      </w:r>
    </w:p>
    <w:p w:rsidR="00044B9F" w:rsidRPr="00044B9F" w:rsidRDefault="00044B9F" w:rsidP="00D86F16">
      <w:pPr>
        <w:numPr>
          <w:ilvl w:val="0"/>
          <w:numId w:val="25"/>
        </w:numPr>
        <w:rPr>
          <w:sz w:val="24"/>
        </w:rPr>
      </w:pPr>
      <w:r w:rsidRPr="00044B9F">
        <w:rPr>
          <w:sz w:val="24"/>
        </w:rPr>
        <w:t xml:space="preserve">Select </w:t>
      </w:r>
      <w:r w:rsidRPr="00633BFC">
        <w:rPr>
          <w:b/>
          <w:sz w:val="24"/>
        </w:rPr>
        <w:t>Seg</w:t>
      </w:r>
      <w:r w:rsidR="00633BFC">
        <w:rPr>
          <w:b/>
          <w:sz w:val="24"/>
        </w:rPr>
        <w:t xml:space="preserve"> F</w:t>
      </w:r>
      <w:r w:rsidRPr="00633BFC">
        <w:rPr>
          <w:b/>
          <w:sz w:val="24"/>
        </w:rPr>
        <w:t>ind</w:t>
      </w:r>
      <w:r w:rsidRPr="00044B9F">
        <w:rPr>
          <w:sz w:val="24"/>
        </w:rPr>
        <w:t xml:space="preserve"> </w:t>
      </w:r>
    </w:p>
    <w:p w:rsidR="00044B9F" w:rsidRPr="00044B9F" w:rsidRDefault="00044B9F" w:rsidP="00D86F16">
      <w:pPr>
        <w:numPr>
          <w:ilvl w:val="1"/>
          <w:numId w:val="25"/>
        </w:numPr>
        <w:rPr>
          <w:sz w:val="24"/>
        </w:rPr>
      </w:pPr>
      <w:r w:rsidRPr="00044B9F">
        <w:rPr>
          <w:sz w:val="24"/>
        </w:rPr>
        <w:t xml:space="preserve">Enter </w:t>
      </w:r>
      <w:r w:rsidRPr="00633BFC">
        <w:rPr>
          <w:b/>
          <w:sz w:val="24"/>
        </w:rPr>
        <w:t>62*</w:t>
      </w:r>
      <w:r w:rsidRPr="00044B9F">
        <w:rPr>
          <w:sz w:val="24"/>
        </w:rPr>
        <w:t xml:space="preserve"> in </w:t>
      </w:r>
      <w:r w:rsidR="00633BFC">
        <w:rPr>
          <w:sz w:val="24"/>
        </w:rPr>
        <w:t xml:space="preserve">the </w:t>
      </w:r>
      <w:r w:rsidRPr="00633BFC">
        <w:rPr>
          <w:sz w:val="24"/>
          <w:u w:val="single"/>
        </w:rPr>
        <w:t>Object</w:t>
      </w:r>
      <w:r w:rsidRPr="00044B9F">
        <w:rPr>
          <w:sz w:val="24"/>
        </w:rPr>
        <w:t xml:space="preserve">  field </w:t>
      </w:r>
    </w:p>
    <w:p w:rsidR="00044B9F" w:rsidRPr="00044B9F" w:rsidRDefault="00044B9F" w:rsidP="00D86F16">
      <w:pPr>
        <w:numPr>
          <w:ilvl w:val="2"/>
          <w:numId w:val="25"/>
        </w:numPr>
        <w:rPr>
          <w:sz w:val="24"/>
        </w:rPr>
      </w:pPr>
      <w:r w:rsidRPr="00044B9F">
        <w:rPr>
          <w:sz w:val="24"/>
        </w:rPr>
        <w:t xml:space="preserve">Select </w:t>
      </w:r>
      <w:r w:rsidR="00D52D4A">
        <w:rPr>
          <w:noProof/>
          <w:sz w:val="24"/>
        </w:rPr>
        <w:drawing>
          <wp:inline distT="0" distB="0" distL="0" distR="0" wp14:anchorId="2B6B0B1E" wp14:editId="44964EF9">
            <wp:extent cx="209579" cy="17147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06F8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B9F">
        <w:rPr>
          <w:sz w:val="24"/>
        </w:rPr>
        <w:t xml:space="preserve"> </w:t>
      </w:r>
    </w:p>
    <w:p w:rsidR="00044B9F" w:rsidRDefault="00044B9F" w:rsidP="00D86F16">
      <w:pPr>
        <w:numPr>
          <w:ilvl w:val="1"/>
          <w:numId w:val="25"/>
        </w:numPr>
        <w:rPr>
          <w:sz w:val="24"/>
        </w:rPr>
      </w:pPr>
      <w:r w:rsidRPr="00044B9F">
        <w:rPr>
          <w:sz w:val="24"/>
        </w:rPr>
        <w:t xml:space="preserve">Select </w:t>
      </w:r>
      <w:r w:rsidRPr="00633BFC">
        <w:rPr>
          <w:b/>
          <w:sz w:val="24"/>
        </w:rPr>
        <w:t>Define</w:t>
      </w:r>
    </w:p>
    <w:p w:rsidR="00044B9F" w:rsidRPr="00044B9F" w:rsidRDefault="00044B9F" w:rsidP="00D86F16">
      <w:pPr>
        <w:numPr>
          <w:ilvl w:val="2"/>
          <w:numId w:val="25"/>
        </w:numPr>
        <w:rPr>
          <w:sz w:val="24"/>
        </w:rPr>
      </w:pPr>
      <w:r w:rsidRPr="00044B9F">
        <w:rPr>
          <w:sz w:val="24"/>
        </w:rPr>
        <w:t xml:space="preserve">Enter </w:t>
      </w:r>
      <w:r w:rsidR="00D52D4A">
        <w:rPr>
          <w:b/>
          <w:sz w:val="24"/>
        </w:rPr>
        <w:t>2002/01-20X</w:t>
      </w:r>
      <w:r w:rsidR="00D86F16" w:rsidRPr="00633BFC">
        <w:rPr>
          <w:b/>
          <w:sz w:val="24"/>
        </w:rPr>
        <w:t>X</w:t>
      </w:r>
      <w:r w:rsidRPr="00633BFC">
        <w:rPr>
          <w:b/>
          <w:sz w:val="24"/>
        </w:rPr>
        <w:t>/13</w:t>
      </w:r>
      <w:r w:rsidRPr="00044B9F">
        <w:rPr>
          <w:sz w:val="24"/>
        </w:rPr>
        <w:t xml:space="preserve"> in </w:t>
      </w:r>
      <w:r w:rsidRPr="00633BFC">
        <w:rPr>
          <w:sz w:val="24"/>
          <w:u w:val="single"/>
        </w:rPr>
        <w:t>Y</w:t>
      </w:r>
      <w:r w:rsidR="00633BFC">
        <w:rPr>
          <w:sz w:val="24"/>
          <w:u w:val="single"/>
        </w:rPr>
        <w:t>ea</w:t>
      </w:r>
      <w:r w:rsidRPr="00633BFC">
        <w:rPr>
          <w:sz w:val="24"/>
          <w:u w:val="single"/>
        </w:rPr>
        <w:t>r/</w:t>
      </w:r>
      <w:r w:rsidR="00633BFC">
        <w:rPr>
          <w:sz w:val="24"/>
          <w:u w:val="single"/>
        </w:rPr>
        <w:t>p</w:t>
      </w:r>
      <w:r w:rsidRPr="00633BFC">
        <w:rPr>
          <w:sz w:val="24"/>
          <w:u w:val="single"/>
        </w:rPr>
        <w:t xml:space="preserve">eriod </w:t>
      </w:r>
      <w:r w:rsidRPr="00633BFC">
        <w:rPr>
          <w:sz w:val="24"/>
        </w:rPr>
        <w:t>field</w:t>
      </w:r>
      <w:r w:rsidR="00D86F16" w:rsidRPr="00633BFC">
        <w:rPr>
          <w:sz w:val="24"/>
        </w:rPr>
        <w:t xml:space="preserve"> </w:t>
      </w:r>
      <w:r w:rsidR="00D86F16">
        <w:rPr>
          <w:sz w:val="24"/>
        </w:rPr>
        <w:t xml:space="preserve"> (where X</w:t>
      </w:r>
      <w:r w:rsidR="00D52D4A">
        <w:rPr>
          <w:sz w:val="24"/>
        </w:rPr>
        <w:t>X</w:t>
      </w:r>
      <w:r w:rsidR="00D86F16">
        <w:rPr>
          <w:sz w:val="24"/>
        </w:rPr>
        <w:t>=fiscal year reporting through)</w:t>
      </w:r>
    </w:p>
    <w:p w:rsidR="00044B9F" w:rsidRDefault="00044B9F" w:rsidP="00D86F16">
      <w:pPr>
        <w:numPr>
          <w:ilvl w:val="2"/>
          <w:numId w:val="25"/>
        </w:numPr>
        <w:rPr>
          <w:sz w:val="24"/>
        </w:rPr>
      </w:pPr>
      <w:r w:rsidRPr="00044B9F">
        <w:rPr>
          <w:sz w:val="24"/>
        </w:rPr>
        <w:t xml:space="preserve">Enter </w:t>
      </w:r>
      <w:r w:rsidRPr="00633BFC">
        <w:rPr>
          <w:b/>
          <w:sz w:val="24"/>
        </w:rPr>
        <w:t>07</w:t>
      </w:r>
      <w:r w:rsidR="00633BFC" w:rsidRPr="00633BFC">
        <w:rPr>
          <w:b/>
          <w:sz w:val="24"/>
        </w:rPr>
        <w:t>/</w:t>
      </w:r>
      <w:r w:rsidRPr="00633BFC">
        <w:rPr>
          <w:b/>
          <w:sz w:val="24"/>
        </w:rPr>
        <w:t>01/2001</w:t>
      </w:r>
      <w:r w:rsidRPr="00044B9F">
        <w:rPr>
          <w:sz w:val="24"/>
        </w:rPr>
        <w:t xml:space="preserve"> to </w:t>
      </w:r>
      <w:r w:rsidR="001542EE" w:rsidRPr="00633BFC">
        <w:rPr>
          <w:b/>
          <w:sz w:val="24"/>
        </w:rPr>
        <w:t>CURRENT DATE</w:t>
      </w:r>
      <w:r w:rsidR="001542EE">
        <w:rPr>
          <w:sz w:val="24"/>
        </w:rPr>
        <w:t xml:space="preserve"> </w:t>
      </w:r>
      <w:r w:rsidRPr="00044B9F">
        <w:rPr>
          <w:sz w:val="24"/>
        </w:rPr>
        <w:t xml:space="preserve">in </w:t>
      </w:r>
      <w:r w:rsidR="001542EE">
        <w:rPr>
          <w:sz w:val="24"/>
        </w:rPr>
        <w:t xml:space="preserve">the </w:t>
      </w:r>
      <w:r w:rsidRPr="00633BFC">
        <w:rPr>
          <w:sz w:val="24"/>
          <w:u w:val="single"/>
        </w:rPr>
        <w:t xml:space="preserve">Effective </w:t>
      </w:r>
      <w:r w:rsidR="00633BFC">
        <w:rPr>
          <w:sz w:val="24"/>
          <w:u w:val="single"/>
        </w:rPr>
        <w:t>d</w:t>
      </w:r>
      <w:r w:rsidRPr="00633BFC">
        <w:rPr>
          <w:sz w:val="24"/>
          <w:u w:val="single"/>
        </w:rPr>
        <w:t>ate</w:t>
      </w:r>
      <w:r w:rsidRPr="00044B9F">
        <w:rPr>
          <w:sz w:val="24"/>
        </w:rPr>
        <w:t xml:space="preserve"> field</w:t>
      </w:r>
      <w:r w:rsidR="001542EE">
        <w:rPr>
          <w:sz w:val="24"/>
        </w:rPr>
        <w:t>s</w:t>
      </w:r>
    </w:p>
    <w:p w:rsidR="00044B9F" w:rsidRPr="00044B9F" w:rsidRDefault="00044B9F" w:rsidP="00D86F16">
      <w:pPr>
        <w:numPr>
          <w:ilvl w:val="2"/>
          <w:numId w:val="25"/>
        </w:numPr>
        <w:rPr>
          <w:sz w:val="24"/>
        </w:rPr>
      </w:pPr>
      <w:r w:rsidRPr="00044B9F">
        <w:rPr>
          <w:sz w:val="24"/>
        </w:rPr>
        <w:lastRenderedPageBreak/>
        <w:t xml:space="preserve">Check the </w:t>
      </w:r>
      <w:r w:rsidR="0023161E">
        <w:rPr>
          <w:sz w:val="24"/>
        </w:rPr>
        <w:t xml:space="preserve">following </w:t>
      </w:r>
      <w:r w:rsidRPr="00044B9F">
        <w:rPr>
          <w:sz w:val="24"/>
        </w:rPr>
        <w:t>boxes</w:t>
      </w:r>
      <w:r w:rsidR="0023161E">
        <w:rPr>
          <w:sz w:val="24"/>
        </w:rPr>
        <w:t>:</w:t>
      </w:r>
      <w:r w:rsidRPr="00044B9F">
        <w:rPr>
          <w:sz w:val="24"/>
        </w:rPr>
        <w:t xml:space="preserve"> </w:t>
      </w:r>
    </w:p>
    <w:p w:rsidR="00D34C23" w:rsidRPr="00CB1D7F" w:rsidRDefault="00D34C23" w:rsidP="00D86F16">
      <w:pPr>
        <w:numPr>
          <w:ilvl w:val="3"/>
          <w:numId w:val="25"/>
        </w:numPr>
        <w:rPr>
          <w:sz w:val="24"/>
        </w:rPr>
      </w:pPr>
      <w:r w:rsidRPr="00CB1D7F">
        <w:rPr>
          <w:sz w:val="24"/>
        </w:rPr>
        <w:t xml:space="preserve">All boxes within “Status” </w:t>
      </w:r>
      <w:r w:rsidR="009871AD" w:rsidRPr="00CB1D7F">
        <w:rPr>
          <w:sz w:val="24"/>
        </w:rPr>
        <w:t xml:space="preserve">and “Type” </w:t>
      </w:r>
      <w:r w:rsidRPr="00CB1D7F">
        <w:rPr>
          <w:sz w:val="24"/>
        </w:rPr>
        <w:t>section</w:t>
      </w:r>
      <w:r w:rsidR="009871AD" w:rsidRPr="00CB1D7F">
        <w:rPr>
          <w:sz w:val="24"/>
        </w:rPr>
        <w:t>s</w:t>
      </w:r>
      <w:r w:rsidRPr="00CB1D7F">
        <w:rPr>
          <w:sz w:val="24"/>
        </w:rPr>
        <w:t xml:space="preserve"> of screen</w:t>
      </w:r>
    </w:p>
    <w:p w:rsidR="00044B9F" w:rsidRPr="00CB1D7F" w:rsidRDefault="00044B9F" w:rsidP="00D86F16">
      <w:pPr>
        <w:numPr>
          <w:ilvl w:val="3"/>
          <w:numId w:val="25"/>
        </w:numPr>
        <w:rPr>
          <w:sz w:val="24"/>
        </w:rPr>
      </w:pPr>
      <w:r w:rsidRPr="00CB1D7F">
        <w:rPr>
          <w:sz w:val="24"/>
        </w:rPr>
        <w:t xml:space="preserve">Totals by </w:t>
      </w:r>
      <w:r w:rsidR="001542EE" w:rsidRPr="00CB1D7F">
        <w:rPr>
          <w:sz w:val="24"/>
        </w:rPr>
        <w:t>a</w:t>
      </w:r>
      <w:r w:rsidRPr="00CB1D7F">
        <w:rPr>
          <w:sz w:val="24"/>
        </w:rPr>
        <w:t>ccount</w:t>
      </w:r>
    </w:p>
    <w:p w:rsidR="00044B9F" w:rsidRPr="00CB1D7F" w:rsidRDefault="00044B9F" w:rsidP="00D86F16">
      <w:pPr>
        <w:numPr>
          <w:ilvl w:val="3"/>
          <w:numId w:val="25"/>
        </w:numPr>
        <w:rPr>
          <w:sz w:val="24"/>
        </w:rPr>
      </w:pPr>
      <w:r w:rsidRPr="00CB1D7F">
        <w:rPr>
          <w:sz w:val="24"/>
        </w:rPr>
        <w:t xml:space="preserve">Totals </w:t>
      </w:r>
      <w:r w:rsidR="001542EE" w:rsidRPr="00CB1D7F">
        <w:rPr>
          <w:sz w:val="24"/>
        </w:rPr>
        <w:t>o</w:t>
      </w:r>
      <w:r w:rsidRPr="00CB1D7F">
        <w:rPr>
          <w:sz w:val="24"/>
        </w:rPr>
        <w:t>nly</w:t>
      </w:r>
    </w:p>
    <w:p w:rsidR="00AC7D7E" w:rsidRDefault="00044B9F" w:rsidP="00D86F16">
      <w:pPr>
        <w:numPr>
          <w:ilvl w:val="2"/>
          <w:numId w:val="25"/>
        </w:numPr>
        <w:rPr>
          <w:sz w:val="24"/>
        </w:rPr>
      </w:pPr>
      <w:r w:rsidRPr="00044B9F">
        <w:rPr>
          <w:sz w:val="24"/>
        </w:rPr>
        <w:t xml:space="preserve">Select </w:t>
      </w:r>
      <w:r w:rsidR="00234D3C">
        <w:rPr>
          <w:noProof/>
          <w:sz w:val="24"/>
        </w:rPr>
        <w:drawing>
          <wp:inline distT="0" distB="0" distL="0" distR="0" wp14:anchorId="55606E76" wp14:editId="6F7A940F">
            <wp:extent cx="209579" cy="1714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06F8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D7E">
        <w:rPr>
          <w:sz w:val="24"/>
        </w:rPr>
        <w:t xml:space="preserve">   (the screen should look as follows)</w:t>
      </w:r>
    </w:p>
    <w:p w:rsidR="00AC7D7E" w:rsidRPr="00044B9F" w:rsidRDefault="002A045C" w:rsidP="00AC7D7E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C8EF291" wp14:editId="22FC8CE7">
            <wp:extent cx="5514975" cy="3438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0C1D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324" cy="343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7E" w:rsidRDefault="00AC7D7E" w:rsidP="00AC7D7E">
      <w:pPr>
        <w:ind w:left="360"/>
        <w:rPr>
          <w:sz w:val="24"/>
        </w:rPr>
      </w:pPr>
    </w:p>
    <w:p w:rsidR="00044B9F" w:rsidRPr="00044B9F" w:rsidRDefault="00044B9F" w:rsidP="00D86F16">
      <w:pPr>
        <w:numPr>
          <w:ilvl w:val="1"/>
          <w:numId w:val="25"/>
        </w:numPr>
        <w:rPr>
          <w:sz w:val="24"/>
        </w:rPr>
      </w:pPr>
      <w:r w:rsidRPr="00044B9F">
        <w:rPr>
          <w:sz w:val="24"/>
        </w:rPr>
        <w:t xml:space="preserve">Select </w:t>
      </w:r>
      <w:r w:rsidRPr="001542EE">
        <w:rPr>
          <w:b/>
          <w:sz w:val="24"/>
        </w:rPr>
        <w:t>Process</w:t>
      </w:r>
    </w:p>
    <w:p w:rsidR="00044B9F" w:rsidRPr="00044B9F" w:rsidRDefault="00044B9F" w:rsidP="00D86F16">
      <w:pPr>
        <w:numPr>
          <w:ilvl w:val="1"/>
          <w:numId w:val="25"/>
        </w:numPr>
        <w:rPr>
          <w:sz w:val="24"/>
        </w:rPr>
      </w:pPr>
      <w:r w:rsidRPr="00044B9F">
        <w:rPr>
          <w:sz w:val="24"/>
        </w:rPr>
        <w:t xml:space="preserve">Select </w:t>
      </w:r>
      <w:r w:rsidRPr="001542EE">
        <w:rPr>
          <w:b/>
          <w:sz w:val="24"/>
        </w:rPr>
        <w:t>Excel</w:t>
      </w:r>
      <w:r w:rsidRPr="00044B9F">
        <w:rPr>
          <w:sz w:val="24"/>
        </w:rPr>
        <w:t xml:space="preserve"> </w:t>
      </w:r>
      <w:r w:rsidR="00F37772">
        <w:rPr>
          <w:noProof/>
          <w:sz w:val="24"/>
        </w:rPr>
        <w:drawing>
          <wp:inline distT="0" distB="0" distL="0" distR="0" wp14:anchorId="4DB646CB" wp14:editId="64C6C185">
            <wp:extent cx="200053" cy="20957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4FA6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B9F">
        <w:rPr>
          <w:sz w:val="24"/>
        </w:rPr>
        <w:t>Output icon</w:t>
      </w:r>
    </w:p>
    <w:p w:rsidR="00044B9F" w:rsidRDefault="00044B9F" w:rsidP="00D86F16">
      <w:pPr>
        <w:numPr>
          <w:ilvl w:val="0"/>
          <w:numId w:val="25"/>
        </w:numPr>
        <w:rPr>
          <w:sz w:val="24"/>
        </w:rPr>
      </w:pPr>
      <w:r w:rsidRPr="00044B9F">
        <w:rPr>
          <w:sz w:val="24"/>
        </w:rPr>
        <w:t xml:space="preserve">Calculate (in column H) the </w:t>
      </w:r>
      <w:r w:rsidR="001542EE">
        <w:rPr>
          <w:sz w:val="24"/>
        </w:rPr>
        <w:t xml:space="preserve">Net of </w:t>
      </w:r>
      <w:r w:rsidRPr="00044B9F">
        <w:rPr>
          <w:sz w:val="24"/>
        </w:rPr>
        <w:t>Debit</w:t>
      </w:r>
      <w:r w:rsidR="001542EE">
        <w:rPr>
          <w:sz w:val="24"/>
        </w:rPr>
        <w:t xml:space="preserve"> Amt</w:t>
      </w:r>
      <w:r w:rsidRPr="00044B9F">
        <w:rPr>
          <w:sz w:val="24"/>
        </w:rPr>
        <w:t xml:space="preserve">/Credit </w:t>
      </w:r>
      <w:r w:rsidR="001542EE">
        <w:rPr>
          <w:sz w:val="24"/>
        </w:rPr>
        <w:t>Amt (per</w:t>
      </w:r>
      <w:r w:rsidRPr="00044B9F">
        <w:rPr>
          <w:sz w:val="24"/>
        </w:rPr>
        <w:t xml:space="preserve"> org/object</w:t>
      </w:r>
      <w:r w:rsidR="001542EE">
        <w:rPr>
          <w:sz w:val="24"/>
        </w:rPr>
        <w:t>)</w:t>
      </w:r>
      <w:r w:rsidRPr="00044B9F">
        <w:rPr>
          <w:sz w:val="24"/>
        </w:rPr>
        <w:t xml:space="preserve"> </w:t>
      </w:r>
      <w:r w:rsidR="001542EE">
        <w:rPr>
          <w:sz w:val="24"/>
        </w:rPr>
        <w:t>in the spreadsheet</w:t>
      </w:r>
      <w:r w:rsidRPr="00044B9F">
        <w:rPr>
          <w:sz w:val="24"/>
        </w:rPr>
        <w:t>.</w:t>
      </w:r>
    </w:p>
    <w:p w:rsidR="00044B9F" w:rsidRPr="00044B9F" w:rsidRDefault="001542EE" w:rsidP="00D86F16">
      <w:pPr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Find the </w:t>
      </w:r>
      <w:r w:rsidR="00D86F16">
        <w:rPr>
          <w:sz w:val="24"/>
        </w:rPr>
        <w:t>Balance Sheet accounts in the General Ledger</w:t>
      </w:r>
      <w:r>
        <w:rPr>
          <w:sz w:val="24"/>
        </w:rPr>
        <w:t xml:space="preserve"> for the asset balance sheet org/objects</w:t>
      </w:r>
      <w:r w:rsidR="00D86F16">
        <w:rPr>
          <w:sz w:val="24"/>
        </w:rPr>
        <w:t xml:space="preserve">. </w:t>
      </w:r>
      <w:r w:rsidR="00D86F16" w:rsidRPr="001542EE">
        <w:rPr>
          <w:i/>
          <w:sz w:val="24"/>
        </w:rPr>
        <w:t xml:space="preserve"> If the year has been closed then process the Balance Sheet for funds 8-84 otherwise </w:t>
      </w:r>
      <w:r w:rsidR="00044B9F" w:rsidRPr="001542EE">
        <w:rPr>
          <w:i/>
          <w:sz w:val="24"/>
        </w:rPr>
        <w:t>Go to the GL Account Inquiry to find the GL balances as follows</w:t>
      </w:r>
    </w:p>
    <w:p w:rsidR="00CD57A7" w:rsidRDefault="00CD57A7" w:rsidP="002A3FDF">
      <w:pPr>
        <w:rPr>
          <w:sz w:val="24"/>
        </w:rPr>
      </w:pPr>
    </w:p>
    <w:p w:rsidR="002A3FDF" w:rsidRDefault="002A3FDF" w:rsidP="002A3FDF">
      <w:pPr>
        <w:rPr>
          <w:sz w:val="24"/>
        </w:rPr>
      </w:pPr>
      <w:r>
        <w:rPr>
          <w:sz w:val="24"/>
        </w:rPr>
        <w:lastRenderedPageBreak/>
        <w:t>Select:</w:t>
      </w:r>
    </w:p>
    <w:p w:rsidR="00044B9F" w:rsidRPr="00044B9F" w:rsidRDefault="002A3FDF" w:rsidP="002A3FDF">
      <w:pPr>
        <w:rPr>
          <w:sz w:val="24"/>
        </w:rPr>
      </w:pPr>
      <w:r>
        <w:rPr>
          <w:i/>
          <w:sz w:val="24"/>
        </w:rPr>
        <w:t>Financials &gt; General Ledger Menu &gt; Inquiries and Reports &gt; Account Inquiry</w:t>
      </w:r>
      <w:r w:rsidR="00044B9F" w:rsidRPr="00044B9F">
        <w:rPr>
          <w:sz w:val="24"/>
        </w:rPr>
        <w:tab/>
      </w:r>
      <w:r w:rsidR="00044B9F" w:rsidRPr="00044B9F">
        <w:rPr>
          <w:sz w:val="24"/>
        </w:rPr>
        <w:tab/>
      </w:r>
    </w:p>
    <w:p w:rsidR="00044B9F" w:rsidRPr="00044B9F" w:rsidRDefault="00044B9F" w:rsidP="00044B9F">
      <w:pPr>
        <w:numPr>
          <w:ilvl w:val="2"/>
          <w:numId w:val="24"/>
        </w:numPr>
        <w:rPr>
          <w:sz w:val="24"/>
        </w:rPr>
      </w:pPr>
      <w:r w:rsidRPr="00044B9F">
        <w:rPr>
          <w:sz w:val="24"/>
        </w:rPr>
        <w:t>Find on org=8* and object=62*</w:t>
      </w:r>
    </w:p>
    <w:p w:rsidR="00044B9F" w:rsidRPr="00044B9F" w:rsidRDefault="00044B9F" w:rsidP="00044B9F">
      <w:pPr>
        <w:numPr>
          <w:ilvl w:val="2"/>
          <w:numId w:val="24"/>
        </w:numPr>
        <w:rPr>
          <w:sz w:val="24"/>
        </w:rPr>
      </w:pPr>
      <w:r w:rsidRPr="00044B9F">
        <w:rPr>
          <w:sz w:val="24"/>
        </w:rPr>
        <w:t xml:space="preserve">Select </w:t>
      </w:r>
      <w:r w:rsidR="00234D3C">
        <w:rPr>
          <w:noProof/>
          <w:sz w:val="24"/>
        </w:rPr>
        <w:drawing>
          <wp:inline distT="0" distB="0" distL="0" distR="0" wp14:anchorId="37FAFB1C" wp14:editId="32803B50">
            <wp:extent cx="209579" cy="1714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06F8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9F" w:rsidRDefault="001542EE" w:rsidP="00D86F16">
      <w:pPr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Enter </w:t>
      </w:r>
      <w:r w:rsidRPr="00044B9F">
        <w:rPr>
          <w:sz w:val="24"/>
        </w:rPr>
        <w:t xml:space="preserve">(in column </w:t>
      </w:r>
      <w:r>
        <w:rPr>
          <w:sz w:val="24"/>
        </w:rPr>
        <w:t>I</w:t>
      </w:r>
      <w:r w:rsidRPr="00044B9F">
        <w:rPr>
          <w:sz w:val="24"/>
        </w:rPr>
        <w:t>)</w:t>
      </w:r>
      <w:r w:rsidR="00044B9F" w:rsidRPr="00044B9F">
        <w:rPr>
          <w:sz w:val="24"/>
        </w:rPr>
        <w:t xml:space="preserve"> the </w:t>
      </w:r>
      <w:r w:rsidR="00D86F16">
        <w:rPr>
          <w:sz w:val="24"/>
        </w:rPr>
        <w:t xml:space="preserve">General Ledger amounts from the Balance Sheet or the </w:t>
      </w:r>
      <w:r w:rsidR="00044B9F" w:rsidRPr="00044B9F">
        <w:rPr>
          <w:sz w:val="24"/>
        </w:rPr>
        <w:t>GL Account Inquiry (memo field) balances per org/object.</w:t>
      </w:r>
    </w:p>
    <w:p w:rsidR="00FD1F02" w:rsidRDefault="00D86F16" w:rsidP="00D86F16">
      <w:pPr>
        <w:numPr>
          <w:ilvl w:val="0"/>
          <w:numId w:val="25"/>
        </w:numPr>
        <w:rPr>
          <w:sz w:val="24"/>
        </w:rPr>
      </w:pPr>
      <w:r>
        <w:rPr>
          <w:sz w:val="24"/>
        </w:rPr>
        <w:t>Calculate any differences between the Fixed Asset and General Ledger amounts in column J.</w:t>
      </w:r>
    </w:p>
    <w:p w:rsidR="003A1C55" w:rsidRDefault="003A1C55" w:rsidP="003A1C55">
      <w:pPr>
        <w:rPr>
          <w:sz w:val="24"/>
        </w:rPr>
      </w:pPr>
    </w:p>
    <w:p w:rsidR="003A1C55" w:rsidRDefault="003A1C55" w:rsidP="003A1C55">
      <w:pPr>
        <w:rPr>
          <w:sz w:val="24"/>
        </w:rPr>
        <w:sectPr w:rsidR="003A1C55" w:rsidSect="00197057">
          <w:footerReference w:type="default" r:id="rId18"/>
          <w:footerReference w:type="first" r:id="rId19"/>
          <w:pgSz w:w="12240" w:h="15840"/>
          <w:pgMar w:top="1440" w:right="1440" w:bottom="1440" w:left="1800" w:header="720" w:footer="720" w:gutter="0"/>
          <w:cols w:space="720"/>
          <w:titlePg/>
          <w:docGrid w:linePitch="299"/>
        </w:sectPr>
      </w:pPr>
    </w:p>
    <w:p w:rsidR="00E82942" w:rsidRDefault="00E82942">
      <w:pPr>
        <w:pStyle w:val="Heading1"/>
      </w:pPr>
      <w:bookmarkStart w:id="21" w:name="_Toc373219327"/>
      <w:bookmarkStart w:id="22" w:name="_Toc205360698"/>
      <w:bookmarkEnd w:id="20"/>
      <w:r>
        <w:lastRenderedPageBreak/>
        <w:t xml:space="preserve">GENERATING THE </w:t>
      </w:r>
      <w:r w:rsidR="004857FD">
        <w:t>FIXED ASSETS DEPRECIATION SCHEDULE</w:t>
      </w:r>
      <w:bookmarkEnd w:id="21"/>
      <w:bookmarkEnd w:id="22"/>
    </w:p>
    <w:p w:rsidR="00E82942" w:rsidRDefault="004857FD">
      <w:pPr>
        <w:pStyle w:val="BodyText"/>
      </w:pPr>
      <w:r>
        <w:t>Process the Fixed Assets Depreciation Schedule as follows:</w:t>
      </w:r>
      <w:r w:rsidR="00E82942">
        <w:t xml:space="preserve">  </w:t>
      </w:r>
    </w:p>
    <w:p w:rsidR="00E82942" w:rsidRPr="006D2224" w:rsidRDefault="006D2224" w:rsidP="006D2224">
      <w:pPr>
        <w:pStyle w:val="menuopt5"/>
        <w:ind w:left="0" w:firstLine="0"/>
        <w:rPr>
          <w:i/>
        </w:rPr>
      </w:pPr>
      <w:r>
        <w:rPr>
          <w:i/>
        </w:rPr>
        <w:t>Financials &gt; Fixed Assets &gt; Inquiries and Reports &gt; Asset Depreciation Schedule</w:t>
      </w:r>
    </w:p>
    <w:p w:rsidR="00E82942" w:rsidRDefault="00E82942">
      <w:pPr>
        <w:pStyle w:val="BodyText"/>
      </w:pPr>
      <w:r w:rsidRPr="00E77C84">
        <w:rPr>
          <w:i/>
        </w:rPr>
        <w:t>The following screen is displayed</w:t>
      </w:r>
      <w:r>
        <w:t>:</w:t>
      </w:r>
    </w:p>
    <w:p w:rsidR="00C2758D" w:rsidRDefault="00E435E8" w:rsidP="00045167">
      <w:pPr>
        <w:ind w:left="720" w:firstLine="720"/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4324350" cy="3200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0DCD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8D" w:rsidRDefault="00C2758D">
      <w:pPr>
        <w:rPr>
          <w:sz w:val="16"/>
        </w:rPr>
      </w:pPr>
    </w:p>
    <w:p w:rsidR="00E82942" w:rsidRDefault="00E82942" w:rsidP="00633BFC">
      <w:pPr>
        <w:pStyle w:val="listnumbering1"/>
        <w:numPr>
          <w:ilvl w:val="0"/>
          <w:numId w:val="28"/>
        </w:numPr>
      </w:pPr>
      <w:r>
        <w:t xml:space="preserve">Select </w:t>
      </w:r>
      <w:r w:rsidR="00633BFC">
        <w:rPr>
          <w:b/>
        </w:rPr>
        <w:t>Seg F</w:t>
      </w:r>
      <w:r>
        <w:rPr>
          <w:b/>
        </w:rPr>
        <w:t>in</w:t>
      </w:r>
      <w:r w:rsidR="00633BFC">
        <w:rPr>
          <w:b/>
        </w:rPr>
        <w:t>d</w:t>
      </w:r>
      <w:r>
        <w:t xml:space="preserve"> </w:t>
      </w:r>
    </w:p>
    <w:p w:rsidR="00633BFC" w:rsidRDefault="00633BFC" w:rsidP="00633BFC">
      <w:pPr>
        <w:pStyle w:val="listnumbering1"/>
        <w:numPr>
          <w:ilvl w:val="1"/>
          <w:numId w:val="28"/>
        </w:numPr>
      </w:pPr>
      <w:r>
        <w:t xml:space="preserve">Enter </w:t>
      </w:r>
      <w:r w:rsidRPr="00633BFC">
        <w:rPr>
          <w:b/>
        </w:rPr>
        <w:t>0740</w:t>
      </w:r>
      <w:r>
        <w:rPr>
          <w:b/>
        </w:rPr>
        <w:t xml:space="preserve"> </w:t>
      </w:r>
      <w:r>
        <w:t xml:space="preserve">in the </w:t>
      </w:r>
      <w:r w:rsidR="00FD1F02" w:rsidRPr="00FD1F02">
        <w:rPr>
          <w:u w:val="single"/>
        </w:rPr>
        <w:t>O</w:t>
      </w:r>
      <w:r w:rsidRPr="00FD1F02">
        <w:rPr>
          <w:u w:val="single"/>
        </w:rPr>
        <w:t>bject</w:t>
      </w:r>
      <w:r>
        <w:t xml:space="preserve"> code field </w:t>
      </w:r>
    </w:p>
    <w:p w:rsidR="00633BFC" w:rsidRPr="00044B9F" w:rsidRDefault="00633BFC" w:rsidP="00633BFC">
      <w:pPr>
        <w:numPr>
          <w:ilvl w:val="1"/>
          <w:numId w:val="28"/>
        </w:numPr>
        <w:rPr>
          <w:sz w:val="24"/>
        </w:rPr>
      </w:pPr>
      <w:r w:rsidRPr="00044B9F">
        <w:rPr>
          <w:sz w:val="24"/>
        </w:rPr>
        <w:t xml:space="preserve">Select </w:t>
      </w:r>
      <w:r w:rsidR="00E435E8">
        <w:rPr>
          <w:noProof/>
          <w:sz w:val="24"/>
        </w:rPr>
        <w:drawing>
          <wp:inline distT="0" distB="0" distL="0" distR="0">
            <wp:extent cx="181000" cy="161948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0A80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B9F">
        <w:rPr>
          <w:sz w:val="24"/>
        </w:rPr>
        <w:t xml:space="preserve"> </w:t>
      </w:r>
    </w:p>
    <w:p w:rsidR="00633BFC" w:rsidRDefault="00633BFC" w:rsidP="00633BFC">
      <w:pPr>
        <w:numPr>
          <w:ilvl w:val="0"/>
          <w:numId w:val="28"/>
        </w:numPr>
        <w:rPr>
          <w:sz w:val="24"/>
        </w:rPr>
      </w:pPr>
      <w:r w:rsidRPr="00044B9F">
        <w:rPr>
          <w:sz w:val="24"/>
        </w:rPr>
        <w:t xml:space="preserve">Select </w:t>
      </w:r>
      <w:r w:rsidRPr="00633BFC">
        <w:rPr>
          <w:b/>
          <w:sz w:val="24"/>
        </w:rPr>
        <w:t>Define</w:t>
      </w:r>
    </w:p>
    <w:p w:rsidR="00FD1F02" w:rsidRDefault="00E82942" w:rsidP="00633BFC">
      <w:pPr>
        <w:pStyle w:val="listnumbering1"/>
        <w:numPr>
          <w:ilvl w:val="0"/>
          <w:numId w:val="28"/>
        </w:numPr>
      </w:pPr>
      <w:r>
        <w:t xml:space="preserve">Enter </w:t>
      </w:r>
      <w:r w:rsidR="00C2758D">
        <w:t xml:space="preserve">the </w:t>
      </w:r>
      <w:r w:rsidR="00C2758D" w:rsidRPr="00FD1F02">
        <w:rPr>
          <w:b/>
        </w:rPr>
        <w:t>fiscal year</w:t>
      </w:r>
      <w:r w:rsidR="00C2758D">
        <w:t xml:space="preserve"> </w:t>
      </w:r>
      <w:r>
        <w:t xml:space="preserve">in the </w:t>
      </w:r>
      <w:r w:rsidRPr="00FD1F02">
        <w:rPr>
          <w:u w:val="single"/>
        </w:rPr>
        <w:t>Fiscal Year for report</w:t>
      </w:r>
      <w:r>
        <w:rPr>
          <w:b/>
        </w:rPr>
        <w:t xml:space="preserve"> </w:t>
      </w:r>
      <w:r>
        <w:t xml:space="preserve">field. </w:t>
      </w:r>
    </w:p>
    <w:p w:rsidR="00E82942" w:rsidRDefault="00FD1F02" w:rsidP="00FD1F02">
      <w:pPr>
        <w:pStyle w:val="listnumbering1"/>
        <w:ind w:left="0" w:firstLine="0"/>
      </w:pPr>
      <w:r>
        <w:tab/>
        <w:t xml:space="preserve">NOTE: </w:t>
      </w:r>
      <w:r w:rsidR="00E82942">
        <w:t xml:space="preserve"> </w:t>
      </w:r>
      <w:r w:rsidR="00C2758D">
        <w:t xml:space="preserve">The </w:t>
      </w:r>
      <w:r>
        <w:t xml:space="preserve">report </w:t>
      </w:r>
      <w:r w:rsidR="00C2758D">
        <w:t xml:space="preserve">can be run for </w:t>
      </w:r>
      <w:r>
        <w:t>the current or two</w:t>
      </w:r>
      <w:r w:rsidR="00C2758D">
        <w:t xml:space="preserve"> prior years.</w:t>
      </w:r>
    </w:p>
    <w:p w:rsidR="00FD1F02" w:rsidRPr="00FD1F02" w:rsidRDefault="00FD1F02" w:rsidP="00FD1F02">
      <w:pPr>
        <w:pStyle w:val="listnumbering1"/>
        <w:numPr>
          <w:ilvl w:val="1"/>
          <w:numId w:val="28"/>
        </w:numPr>
      </w:pPr>
      <w:r>
        <w:t xml:space="preserve">Enter </w:t>
      </w:r>
      <w:r w:rsidRPr="00FD1F02">
        <w:rPr>
          <w:u w:val="single"/>
        </w:rPr>
        <w:t>Sequence report by</w:t>
      </w:r>
      <w:r>
        <w:t xml:space="preserve"> fields</w:t>
      </w:r>
      <w:r w:rsidRPr="00FD1F02">
        <w:rPr>
          <w:b/>
        </w:rPr>
        <w:t xml:space="preserve"> </w:t>
      </w:r>
      <w:r w:rsidRPr="00FD1F02">
        <w:t>as follows</w:t>
      </w:r>
      <w:r>
        <w:rPr>
          <w:b/>
        </w:rPr>
        <w:t xml:space="preserve">: </w:t>
      </w:r>
    </w:p>
    <w:p w:rsidR="00FD1F02" w:rsidRDefault="00FD1F02" w:rsidP="00FD1F02">
      <w:pPr>
        <w:pStyle w:val="listnumbering1"/>
        <w:numPr>
          <w:ilvl w:val="2"/>
          <w:numId w:val="28"/>
        </w:numPr>
      </w:pPr>
      <w:r w:rsidRPr="00FD1F02">
        <w:rPr>
          <w:b/>
        </w:rPr>
        <w:t>1</w:t>
      </w:r>
      <w:r>
        <w:t xml:space="preserve"> in </w:t>
      </w:r>
      <w:r w:rsidRPr="00FD1F02">
        <w:rPr>
          <w:i/>
        </w:rPr>
        <w:t>Asset Type</w:t>
      </w:r>
      <w:r>
        <w:t xml:space="preserve"> </w:t>
      </w:r>
    </w:p>
    <w:p w:rsidR="00FD1F02" w:rsidRDefault="00FD1F02" w:rsidP="00FD1F02">
      <w:pPr>
        <w:pStyle w:val="listnumbering1"/>
        <w:numPr>
          <w:ilvl w:val="2"/>
          <w:numId w:val="28"/>
        </w:numPr>
      </w:pPr>
      <w:r w:rsidRPr="00FD1F02">
        <w:rPr>
          <w:b/>
        </w:rPr>
        <w:t>2</w:t>
      </w:r>
      <w:r>
        <w:t xml:space="preserve"> in </w:t>
      </w:r>
      <w:r w:rsidRPr="00FD1F02">
        <w:rPr>
          <w:i/>
        </w:rPr>
        <w:t>Class</w:t>
      </w:r>
      <w:r>
        <w:t xml:space="preserve">  </w:t>
      </w:r>
    </w:p>
    <w:p w:rsidR="00973F5F" w:rsidRDefault="00973F5F" w:rsidP="00FD1F02">
      <w:pPr>
        <w:pStyle w:val="listnumbering1"/>
        <w:numPr>
          <w:ilvl w:val="0"/>
          <w:numId w:val="28"/>
        </w:numPr>
      </w:pPr>
      <w:r>
        <w:t xml:space="preserve">Select </w:t>
      </w:r>
      <w:r>
        <w:rPr>
          <w:noProof/>
        </w:rPr>
        <w:drawing>
          <wp:inline distT="0" distB="0" distL="0" distR="0" wp14:anchorId="08F85ACD" wp14:editId="3AC012EF">
            <wp:extent cx="181000" cy="16194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0A80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42" w:rsidRDefault="00C81A5A" w:rsidP="00FD1F02">
      <w:pPr>
        <w:pStyle w:val="listnumbering1"/>
        <w:numPr>
          <w:ilvl w:val="0"/>
          <w:numId w:val="28"/>
        </w:numPr>
      </w:pPr>
      <w:r>
        <w:lastRenderedPageBreak/>
        <w:t xml:space="preserve">Select </w:t>
      </w:r>
      <w:r w:rsidR="00FD1F02" w:rsidRPr="00FD1F02">
        <w:rPr>
          <w:b/>
        </w:rPr>
        <w:t>Process</w:t>
      </w:r>
    </w:p>
    <w:p w:rsidR="00AA4FC1" w:rsidRDefault="00AA4FC1" w:rsidP="00937D45">
      <w:pPr>
        <w:pStyle w:val="listnumbering1"/>
        <w:ind w:left="0" w:firstLine="0"/>
      </w:pPr>
      <w:r>
        <w:t xml:space="preserve">Note: The </w:t>
      </w:r>
      <w:r w:rsidR="00D97088">
        <w:t>Object Codes</w:t>
      </w:r>
      <w:r w:rsidR="00CF2F9F">
        <w:t xml:space="preserve"> tab</w:t>
      </w:r>
      <w:r w:rsidR="00D97088">
        <w:t xml:space="preserve"> </w:t>
      </w:r>
      <w:r w:rsidR="00CF2F9F">
        <w:t>does NOT need to be selected.  Th</w:t>
      </w:r>
      <w:r w:rsidR="00BA7396">
        <w:t xml:space="preserve">is information was </w:t>
      </w:r>
      <w:r w:rsidR="00D97088">
        <w:t>already preset</w:t>
      </w:r>
      <w:r w:rsidR="00CF2F9F">
        <w:t xml:space="preserve"> </w:t>
      </w:r>
      <w:r w:rsidR="00D97088">
        <w:t xml:space="preserve">with </w:t>
      </w:r>
      <w:r>
        <w:t xml:space="preserve">the KDE asset balance sheet accounts </w:t>
      </w:r>
      <w:r w:rsidR="00E753F2">
        <w:t>and does NO</w:t>
      </w:r>
      <w:r w:rsidR="00D97088">
        <w:t>T require entry.  The Balance sheet object codes are used to calculate each asset’s LTD Accumulated depreciation balance based on the asset</w:t>
      </w:r>
      <w:r w:rsidR="005A059B">
        <w:t>’s</w:t>
      </w:r>
      <w:r w:rsidR="00D97088">
        <w:t xml:space="preserve"> history transactions through the fiscal year specified on the report.</w:t>
      </w:r>
    </w:p>
    <w:p w:rsidR="007E2766" w:rsidRDefault="00451F01" w:rsidP="001254D6">
      <w:pPr>
        <w:pStyle w:val="listnumbering1"/>
        <w:numPr>
          <w:ilvl w:val="0"/>
          <w:numId w:val="28"/>
        </w:numPr>
      </w:pPr>
      <w:r>
        <w:t xml:space="preserve">Select </w:t>
      </w:r>
      <w:r w:rsidRPr="00AF4A9A">
        <w:rPr>
          <w:b/>
        </w:rPr>
        <w:t>File</w:t>
      </w:r>
      <w:r>
        <w:t xml:space="preserve"> and Output </w:t>
      </w:r>
      <w:r w:rsidR="00173522">
        <w:t xml:space="preserve">or click on </w:t>
      </w:r>
      <w:r w:rsidR="00173522">
        <w:rPr>
          <w:noProof/>
        </w:rPr>
        <w:drawing>
          <wp:inline distT="0" distB="0" distL="0" distR="0">
            <wp:extent cx="190527" cy="20957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0E13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522">
        <w:t xml:space="preserve"> to print, </w:t>
      </w:r>
      <w:r w:rsidR="00173522">
        <w:rPr>
          <w:noProof/>
        </w:rPr>
        <w:drawing>
          <wp:inline distT="0" distB="0" distL="0" distR="0">
            <wp:extent cx="209579" cy="20005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0223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522">
        <w:t xml:space="preserve"> to display, </w:t>
      </w:r>
      <w:r w:rsidR="00173522">
        <w:rPr>
          <w:noProof/>
        </w:rPr>
        <w:drawing>
          <wp:inline distT="0" distB="0" distL="0" distR="0">
            <wp:extent cx="200053" cy="20957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05F0C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522">
        <w:t xml:space="preserve"> for PDF version</w:t>
      </w:r>
      <w:r w:rsidR="00813281">
        <w:t xml:space="preserve">, </w:t>
      </w:r>
      <w:r w:rsidR="00813281">
        <w:rPr>
          <w:noProof/>
        </w:rPr>
        <w:drawing>
          <wp:inline distT="0" distB="0" distL="0" distR="0">
            <wp:extent cx="209579" cy="20957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02901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522">
        <w:t xml:space="preserve"> </w:t>
      </w:r>
      <w:r w:rsidR="00813281">
        <w:t xml:space="preserve">for Excel version </w:t>
      </w:r>
      <w:r w:rsidR="00173522">
        <w:t xml:space="preserve">or </w:t>
      </w:r>
      <w:r w:rsidR="00173522">
        <w:rPr>
          <w:noProof/>
        </w:rPr>
        <w:drawing>
          <wp:inline distT="0" distB="0" distL="0" distR="0">
            <wp:extent cx="190527" cy="22863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09E10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281">
        <w:t>to save the report.</w:t>
      </w:r>
      <w:r w:rsidR="0029771C">
        <w:t>.</w:t>
      </w:r>
      <w:r w:rsidR="007E2766">
        <w:t xml:space="preserve">  </w:t>
      </w:r>
    </w:p>
    <w:p w:rsidR="00846E3C" w:rsidRDefault="00BA7396" w:rsidP="00BA7396">
      <w:pPr>
        <w:pStyle w:val="listnumbering1"/>
        <w:ind w:left="0" w:firstLine="0"/>
      </w:pPr>
      <w:r w:rsidRPr="00882BFF">
        <w:rPr>
          <w:b/>
        </w:rPr>
        <w:t xml:space="preserve">NOTE:  </w:t>
      </w:r>
      <w:r w:rsidR="00846E3C" w:rsidRPr="00882BFF">
        <w:rPr>
          <w:b/>
        </w:rPr>
        <w:t xml:space="preserve">It is recommended to </w:t>
      </w:r>
      <w:r w:rsidR="00114E15" w:rsidRPr="00882BFF">
        <w:rPr>
          <w:b/>
        </w:rPr>
        <w:t>produce an</w:t>
      </w:r>
      <w:r w:rsidRPr="00882BFF">
        <w:rPr>
          <w:b/>
        </w:rPr>
        <w:t xml:space="preserve"> </w:t>
      </w:r>
      <w:r w:rsidR="00846E3C" w:rsidRPr="00882BFF">
        <w:rPr>
          <w:b/>
        </w:rPr>
        <w:t xml:space="preserve">EXCEL </w:t>
      </w:r>
      <w:r w:rsidRPr="00882BFF">
        <w:rPr>
          <w:b/>
        </w:rPr>
        <w:t xml:space="preserve">version of the </w:t>
      </w:r>
      <w:r w:rsidR="00846E3C" w:rsidRPr="00882BFF">
        <w:rPr>
          <w:b/>
        </w:rPr>
        <w:t xml:space="preserve">report to assist </w:t>
      </w:r>
      <w:r w:rsidRPr="00882BFF">
        <w:rPr>
          <w:b/>
        </w:rPr>
        <w:t xml:space="preserve">in </w:t>
      </w:r>
      <w:r w:rsidR="00846E3C" w:rsidRPr="00882BFF">
        <w:rPr>
          <w:b/>
        </w:rPr>
        <w:t>verifying the data.  For example, sorting by status and confirm</w:t>
      </w:r>
      <w:r w:rsidR="00882BFF" w:rsidRPr="00882BFF">
        <w:rPr>
          <w:b/>
        </w:rPr>
        <w:t>ing</w:t>
      </w:r>
      <w:r w:rsidR="00846E3C" w:rsidRPr="00882BFF">
        <w:rPr>
          <w:b/>
        </w:rPr>
        <w:t xml:space="preserve"> the conditions of assets appearing on the report as identified below under “Things to verify.</w:t>
      </w:r>
      <w:r w:rsidR="00846E3C">
        <w:t>”</w:t>
      </w:r>
    </w:p>
    <w:p w:rsidR="00451F01" w:rsidRDefault="002115EE" w:rsidP="007E2766">
      <w:pPr>
        <w:pStyle w:val="listnumbering1"/>
        <w:ind w:left="0" w:firstLine="0"/>
        <w:rPr>
          <w:i/>
        </w:rPr>
      </w:pPr>
      <w:r>
        <w:rPr>
          <w:i/>
        </w:rPr>
        <w:t>Sample</w:t>
      </w:r>
      <w:r w:rsidR="00863512">
        <w:rPr>
          <w:i/>
        </w:rPr>
        <w:t>:</w:t>
      </w:r>
    </w:p>
    <w:p w:rsidR="00863512" w:rsidRPr="00C931C0" w:rsidRDefault="002115EE" w:rsidP="007E2766">
      <w:pPr>
        <w:pStyle w:val="listnumbering1"/>
        <w:ind w:left="0" w:firstLine="0"/>
        <w:rPr>
          <w:i/>
        </w:rPr>
      </w:pPr>
      <w:r>
        <w:rPr>
          <w:i/>
          <w:noProof/>
        </w:rPr>
        <w:drawing>
          <wp:inline distT="0" distB="0" distL="0" distR="0">
            <wp:extent cx="5943600" cy="20154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4AD2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66" w:rsidRDefault="007E2766" w:rsidP="007E2766">
      <w:pPr>
        <w:pStyle w:val="listnumbering1"/>
        <w:ind w:left="0" w:firstLine="0"/>
      </w:pPr>
    </w:p>
    <w:p w:rsidR="00E77C84" w:rsidRDefault="00E77C84">
      <w:pPr>
        <w:pStyle w:val="Heading1"/>
        <w:sectPr w:rsidR="00E77C84">
          <w:headerReference w:type="default" r:id="rId28"/>
          <w:footerReference w:type="default" r:id="rId2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E82942" w:rsidRDefault="0015161D">
      <w:pPr>
        <w:pStyle w:val="Heading1"/>
      </w:pPr>
      <w:bookmarkStart w:id="23" w:name="_Toc205360699"/>
      <w:r>
        <w:lastRenderedPageBreak/>
        <w:t xml:space="preserve">VERIFYING </w:t>
      </w:r>
      <w:r w:rsidR="00AF4A9A">
        <w:t>THE REPORT</w:t>
      </w:r>
      <w:bookmarkEnd w:id="23"/>
    </w:p>
    <w:p w:rsidR="00E930CB" w:rsidRDefault="00BA33F4" w:rsidP="00E930CB">
      <w:pPr>
        <w:rPr>
          <w:sz w:val="24"/>
          <w:szCs w:val="24"/>
        </w:rPr>
      </w:pPr>
      <w:r>
        <w:rPr>
          <w:sz w:val="24"/>
          <w:szCs w:val="24"/>
        </w:rPr>
        <w:t xml:space="preserve">This report does </w:t>
      </w:r>
      <w:r w:rsidRPr="00E930CB"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reflect any GEN or GRV journal entries posted to the fixed asset accounts.</w:t>
      </w:r>
      <w:r w:rsidR="00E930CB" w:rsidRPr="00E930CB">
        <w:rPr>
          <w:i/>
          <w:sz w:val="24"/>
          <w:szCs w:val="24"/>
        </w:rPr>
        <w:t xml:space="preserve"> </w:t>
      </w:r>
      <w:r w:rsidR="00E930CB" w:rsidRPr="00E930CB">
        <w:rPr>
          <w:sz w:val="24"/>
          <w:szCs w:val="24"/>
        </w:rPr>
        <w:t xml:space="preserve">Assets will </w:t>
      </w:r>
      <w:r w:rsidR="00E930CB" w:rsidRPr="00E930CB">
        <w:rPr>
          <w:b/>
          <w:sz w:val="24"/>
          <w:szCs w:val="24"/>
        </w:rPr>
        <w:t>NOT</w:t>
      </w:r>
      <w:r w:rsidR="00E930CB" w:rsidRPr="00E930CB">
        <w:rPr>
          <w:sz w:val="24"/>
          <w:szCs w:val="24"/>
        </w:rPr>
        <w:t xml:space="preserve"> appear if they have zero balances for the both the current year deprecation and LTD Accumulated depreciation for the year reported</w:t>
      </w:r>
      <w:r w:rsidR="00E930CB">
        <w:rPr>
          <w:sz w:val="24"/>
          <w:szCs w:val="24"/>
        </w:rPr>
        <w:t xml:space="preserve">.  </w:t>
      </w:r>
      <w:r w:rsidR="00BA7396">
        <w:rPr>
          <w:sz w:val="24"/>
          <w:szCs w:val="24"/>
        </w:rPr>
        <w:t>Differences between the fixed asset master records and the fixed asset history records will become evident in the following verification process.</w:t>
      </w:r>
    </w:p>
    <w:p w:rsidR="00BA33F4" w:rsidRPr="00BA33F4" w:rsidRDefault="00BA33F4" w:rsidP="00BA33F4"/>
    <w:p w:rsidR="00E82942" w:rsidRDefault="00F75D5B" w:rsidP="00BA33F4">
      <w:pPr>
        <w:pStyle w:val="Heading2"/>
      </w:pPr>
      <w:bookmarkStart w:id="24" w:name="_Toc205360700"/>
      <w:r>
        <w:t>REPORT YEAR - C</w:t>
      </w:r>
      <w:r w:rsidR="00AF4A9A">
        <w:t>URRENT YEAR DEPRECI</w:t>
      </w:r>
      <w:r w:rsidR="00475068">
        <w:t>A</w:t>
      </w:r>
      <w:r w:rsidR="00AF4A9A">
        <w:t>TION</w:t>
      </w:r>
      <w:bookmarkEnd w:id="24"/>
    </w:p>
    <w:p w:rsidR="0029771C" w:rsidRDefault="00114E15" w:rsidP="002B4E57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AF4A9A">
        <w:rPr>
          <w:sz w:val="24"/>
          <w:szCs w:val="24"/>
        </w:rPr>
        <w:t xml:space="preserve">urrent year deprecation amounts reported are </w:t>
      </w:r>
      <w:r w:rsidR="00B224E5">
        <w:rPr>
          <w:sz w:val="24"/>
          <w:szCs w:val="24"/>
        </w:rPr>
        <w:t>Fixed A</w:t>
      </w:r>
      <w:r w:rsidR="00AF4A9A">
        <w:rPr>
          <w:sz w:val="24"/>
          <w:szCs w:val="24"/>
        </w:rPr>
        <w:t xml:space="preserve">sset history transactions posted to the object code 0740 as specified during the </w:t>
      </w:r>
      <w:r w:rsidR="00F96E82">
        <w:rPr>
          <w:sz w:val="24"/>
          <w:szCs w:val="24"/>
        </w:rPr>
        <w:t>“</w:t>
      </w:r>
      <w:r w:rsidR="00AF4A9A">
        <w:rPr>
          <w:sz w:val="24"/>
          <w:szCs w:val="24"/>
        </w:rPr>
        <w:t>Seg Find</w:t>
      </w:r>
      <w:r w:rsidR="00F96E82">
        <w:rPr>
          <w:sz w:val="24"/>
          <w:szCs w:val="24"/>
        </w:rPr>
        <w:t>”</w:t>
      </w:r>
      <w:r w:rsidR="00AF4A9A">
        <w:rPr>
          <w:sz w:val="24"/>
          <w:szCs w:val="24"/>
        </w:rPr>
        <w:t xml:space="preserve"> process for the report</w:t>
      </w:r>
      <w:r w:rsidR="00F96E82">
        <w:rPr>
          <w:sz w:val="24"/>
          <w:szCs w:val="24"/>
        </w:rPr>
        <w:t>ed year</w:t>
      </w:r>
      <w:r w:rsidR="00AF4A9A">
        <w:rPr>
          <w:sz w:val="24"/>
          <w:szCs w:val="24"/>
        </w:rPr>
        <w:t xml:space="preserve">. </w:t>
      </w:r>
      <w:r w:rsidR="002B4E57">
        <w:rPr>
          <w:sz w:val="24"/>
          <w:szCs w:val="24"/>
        </w:rPr>
        <w:t>The Current Year activity for object code=0740 should be equal to the total amount of Depreciation expense posted to the General Ledger from the Fixed Asset module.</w:t>
      </w:r>
      <w:r w:rsidR="00B224E5">
        <w:rPr>
          <w:sz w:val="24"/>
          <w:szCs w:val="24"/>
        </w:rPr>
        <w:t xml:space="preserve">  The report does NOT reflect GEN or GRV journal entries posted to the 0740 object code.</w:t>
      </w:r>
      <w:r w:rsidR="002B4E57">
        <w:rPr>
          <w:sz w:val="24"/>
          <w:szCs w:val="24"/>
        </w:rPr>
        <w:t xml:space="preserve">   </w:t>
      </w:r>
    </w:p>
    <w:p w:rsidR="0029771C" w:rsidRDefault="0029771C" w:rsidP="002B4E57">
      <w:pPr>
        <w:rPr>
          <w:sz w:val="24"/>
          <w:szCs w:val="24"/>
        </w:rPr>
      </w:pPr>
    </w:p>
    <w:p w:rsidR="002B4E57" w:rsidRPr="00442E92" w:rsidRDefault="00C5582A" w:rsidP="00442E92">
      <w:pPr>
        <w:pStyle w:val="BodyText"/>
      </w:pPr>
      <w:r w:rsidRPr="00442E92">
        <w:t>T</w:t>
      </w:r>
      <w:r w:rsidR="002B4E57" w:rsidRPr="00442E92">
        <w:t xml:space="preserve">hings to </w:t>
      </w:r>
      <w:r w:rsidRPr="00442E92">
        <w:t>verify</w:t>
      </w:r>
      <w:r w:rsidR="002B4E57" w:rsidRPr="00442E92">
        <w:t>:</w:t>
      </w:r>
    </w:p>
    <w:p w:rsidR="00BB6D9F" w:rsidRDefault="0094097A" w:rsidP="002B4E57">
      <w:pPr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Assets listed with </w:t>
      </w:r>
      <w:r w:rsidR="00D00186">
        <w:rPr>
          <w:sz w:val="24"/>
          <w:szCs w:val="24"/>
        </w:rPr>
        <w:t xml:space="preserve">$0 current year depreciation should </w:t>
      </w:r>
      <w:r w:rsidR="00882BFF">
        <w:rPr>
          <w:sz w:val="24"/>
          <w:szCs w:val="24"/>
        </w:rPr>
        <w:t xml:space="preserve">ONLY be </w:t>
      </w:r>
      <w:r w:rsidR="00BB6D9F">
        <w:rPr>
          <w:sz w:val="24"/>
          <w:szCs w:val="24"/>
        </w:rPr>
        <w:t xml:space="preserve">Active </w:t>
      </w:r>
      <w:r w:rsidR="00882BFF">
        <w:rPr>
          <w:sz w:val="24"/>
          <w:szCs w:val="24"/>
        </w:rPr>
        <w:t xml:space="preserve">assets </w:t>
      </w:r>
      <w:r w:rsidR="00BB6D9F">
        <w:rPr>
          <w:sz w:val="24"/>
          <w:szCs w:val="24"/>
        </w:rPr>
        <w:t>(</w:t>
      </w:r>
      <w:r w:rsidR="00BC4ABB">
        <w:rPr>
          <w:sz w:val="24"/>
          <w:szCs w:val="24"/>
        </w:rPr>
        <w:t xml:space="preserve">Status </w:t>
      </w:r>
      <w:r w:rsidR="00FF5710">
        <w:rPr>
          <w:sz w:val="24"/>
          <w:szCs w:val="24"/>
        </w:rPr>
        <w:t>A under column</w:t>
      </w:r>
      <w:r w:rsidR="00BC4ABB">
        <w:rPr>
          <w:sz w:val="24"/>
          <w:szCs w:val="24"/>
        </w:rPr>
        <w:t xml:space="preserve"> E</w:t>
      </w:r>
      <w:r w:rsidR="00FF5710">
        <w:rPr>
          <w:sz w:val="24"/>
          <w:szCs w:val="24"/>
        </w:rPr>
        <w:t xml:space="preserve"> </w:t>
      </w:r>
      <w:r w:rsidR="00BC4ABB">
        <w:rPr>
          <w:sz w:val="24"/>
          <w:szCs w:val="24"/>
        </w:rPr>
        <w:t>(</w:t>
      </w:r>
      <w:r w:rsidR="00FF5710">
        <w:rPr>
          <w:sz w:val="24"/>
          <w:szCs w:val="24"/>
        </w:rPr>
        <w:t xml:space="preserve">labeled </w:t>
      </w:r>
      <w:r w:rsidR="00BB6D9F">
        <w:rPr>
          <w:sz w:val="24"/>
          <w:szCs w:val="24"/>
        </w:rPr>
        <w:t>S</w:t>
      </w:r>
      <w:r w:rsidR="00BC4ABB">
        <w:rPr>
          <w:sz w:val="24"/>
          <w:szCs w:val="24"/>
        </w:rPr>
        <w:t>)</w:t>
      </w:r>
      <w:r w:rsidR="00FF5710">
        <w:rPr>
          <w:sz w:val="24"/>
          <w:szCs w:val="24"/>
        </w:rPr>
        <w:t xml:space="preserve"> of the printed report</w:t>
      </w:r>
      <w:r w:rsidR="00BB6D9F">
        <w:rPr>
          <w:sz w:val="24"/>
          <w:szCs w:val="24"/>
        </w:rPr>
        <w:t>)</w:t>
      </w:r>
      <w:r w:rsidR="00BA7396">
        <w:rPr>
          <w:sz w:val="24"/>
          <w:szCs w:val="24"/>
        </w:rPr>
        <w:t xml:space="preserve"> AND </w:t>
      </w:r>
      <w:r w:rsidR="00BB6D9F">
        <w:rPr>
          <w:sz w:val="24"/>
          <w:szCs w:val="24"/>
        </w:rPr>
        <w:t>have</w:t>
      </w:r>
      <w:r w:rsidR="00B224E5">
        <w:rPr>
          <w:sz w:val="24"/>
          <w:szCs w:val="24"/>
        </w:rPr>
        <w:t xml:space="preserve"> a </w:t>
      </w:r>
      <w:r w:rsidR="0029771C">
        <w:rPr>
          <w:sz w:val="24"/>
          <w:szCs w:val="24"/>
        </w:rPr>
        <w:t xml:space="preserve">balance in </w:t>
      </w:r>
      <w:r w:rsidR="00BA7396">
        <w:rPr>
          <w:sz w:val="24"/>
          <w:szCs w:val="24"/>
        </w:rPr>
        <w:t xml:space="preserve">the </w:t>
      </w:r>
      <w:r w:rsidR="00AF4A9A">
        <w:rPr>
          <w:sz w:val="24"/>
          <w:szCs w:val="24"/>
        </w:rPr>
        <w:t>L</w:t>
      </w:r>
      <w:r w:rsidR="00BA7396">
        <w:rPr>
          <w:sz w:val="24"/>
          <w:szCs w:val="24"/>
        </w:rPr>
        <w:t>ife-</w:t>
      </w:r>
      <w:r w:rsidR="00AF4A9A">
        <w:rPr>
          <w:sz w:val="24"/>
          <w:szCs w:val="24"/>
        </w:rPr>
        <w:t>T</w:t>
      </w:r>
      <w:r w:rsidR="00BA7396">
        <w:rPr>
          <w:sz w:val="24"/>
          <w:szCs w:val="24"/>
        </w:rPr>
        <w:t>o-</w:t>
      </w:r>
      <w:r w:rsidR="00AF4A9A">
        <w:rPr>
          <w:sz w:val="24"/>
          <w:szCs w:val="24"/>
        </w:rPr>
        <w:t>D</w:t>
      </w:r>
      <w:r w:rsidR="00BA7396">
        <w:rPr>
          <w:sz w:val="24"/>
          <w:szCs w:val="24"/>
        </w:rPr>
        <w:t>ate</w:t>
      </w:r>
      <w:r w:rsidR="00AF4A9A">
        <w:rPr>
          <w:sz w:val="24"/>
          <w:szCs w:val="24"/>
        </w:rPr>
        <w:t xml:space="preserve"> </w:t>
      </w:r>
      <w:r w:rsidR="00BA7396">
        <w:rPr>
          <w:sz w:val="24"/>
          <w:szCs w:val="24"/>
        </w:rPr>
        <w:t>D</w:t>
      </w:r>
      <w:r w:rsidR="00AF4A9A">
        <w:rPr>
          <w:sz w:val="24"/>
          <w:szCs w:val="24"/>
        </w:rPr>
        <w:t xml:space="preserve">epreciation </w:t>
      </w:r>
      <w:r w:rsidR="00BA7396">
        <w:rPr>
          <w:sz w:val="24"/>
          <w:szCs w:val="24"/>
        </w:rPr>
        <w:t>column</w:t>
      </w:r>
      <w:r w:rsidR="0029771C">
        <w:rPr>
          <w:sz w:val="24"/>
          <w:szCs w:val="24"/>
        </w:rPr>
        <w:t xml:space="preserve"> </w:t>
      </w:r>
      <w:r w:rsidR="00AF4A9A">
        <w:rPr>
          <w:sz w:val="24"/>
          <w:szCs w:val="24"/>
        </w:rPr>
        <w:t>for the report year</w:t>
      </w:r>
      <w:r w:rsidR="00BB6D9F">
        <w:rPr>
          <w:sz w:val="24"/>
          <w:szCs w:val="24"/>
        </w:rPr>
        <w:t>.</w:t>
      </w:r>
    </w:p>
    <w:p w:rsidR="00F16AC7" w:rsidRDefault="00B224E5" w:rsidP="00F16AC7">
      <w:pPr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Retired assets (Reported as </w:t>
      </w:r>
      <w:r w:rsidR="00BB6D9F">
        <w:rPr>
          <w:sz w:val="24"/>
          <w:szCs w:val="24"/>
        </w:rPr>
        <w:t>R</w:t>
      </w:r>
      <w:r>
        <w:rPr>
          <w:sz w:val="24"/>
          <w:szCs w:val="24"/>
        </w:rPr>
        <w:t xml:space="preserve"> under Column </w:t>
      </w:r>
      <w:r w:rsidR="00BC4ABB">
        <w:rPr>
          <w:sz w:val="24"/>
          <w:szCs w:val="24"/>
        </w:rPr>
        <w:t>E</w:t>
      </w:r>
      <w:r>
        <w:rPr>
          <w:sz w:val="24"/>
          <w:szCs w:val="24"/>
        </w:rPr>
        <w:t>)</w:t>
      </w:r>
      <w:r w:rsidR="00F16AC7" w:rsidRPr="00F16AC7">
        <w:rPr>
          <w:sz w:val="24"/>
          <w:szCs w:val="24"/>
        </w:rPr>
        <w:t xml:space="preserve"> </w:t>
      </w:r>
      <w:r w:rsidR="00F16AC7">
        <w:rPr>
          <w:sz w:val="24"/>
          <w:szCs w:val="24"/>
        </w:rPr>
        <w:t>appear</w:t>
      </w:r>
      <w:r w:rsidR="00B40E5A">
        <w:rPr>
          <w:sz w:val="24"/>
          <w:szCs w:val="24"/>
        </w:rPr>
        <w:t>ing</w:t>
      </w:r>
      <w:r w:rsidR="00F16AC7">
        <w:rPr>
          <w:sz w:val="24"/>
          <w:szCs w:val="24"/>
        </w:rPr>
        <w:t xml:space="preserve"> </w:t>
      </w:r>
      <w:r w:rsidR="00D00186">
        <w:rPr>
          <w:sz w:val="24"/>
          <w:szCs w:val="24"/>
        </w:rPr>
        <w:t xml:space="preserve">on the report </w:t>
      </w:r>
      <w:r w:rsidR="00B40E5A">
        <w:rPr>
          <w:sz w:val="24"/>
          <w:szCs w:val="24"/>
        </w:rPr>
        <w:t xml:space="preserve">should </w:t>
      </w:r>
      <w:r w:rsidR="00D00186">
        <w:rPr>
          <w:sz w:val="24"/>
          <w:szCs w:val="24"/>
        </w:rPr>
        <w:t>ha</w:t>
      </w:r>
      <w:r w:rsidR="00B40E5A">
        <w:rPr>
          <w:sz w:val="24"/>
          <w:szCs w:val="24"/>
        </w:rPr>
        <w:t>ve</w:t>
      </w:r>
      <w:r w:rsidR="00D00186">
        <w:rPr>
          <w:sz w:val="24"/>
          <w:szCs w:val="24"/>
        </w:rPr>
        <w:t xml:space="preserve"> </w:t>
      </w:r>
      <w:r w:rsidR="00F16AC7">
        <w:rPr>
          <w:sz w:val="24"/>
          <w:szCs w:val="24"/>
        </w:rPr>
        <w:t>current year depreciation</w:t>
      </w:r>
      <w:r w:rsidR="00D00186">
        <w:rPr>
          <w:sz w:val="24"/>
          <w:szCs w:val="24"/>
        </w:rPr>
        <w:t xml:space="preserve"> </w:t>
      </w:r>
      <w:r w:rsidR="00882BFF">
        <w:rPr>
          <w:sz w:val="24"/>
          <w:szCs w:val="24"/>
        </w:rPr>
        <w:t>and</w:t>
      </w:r>
      <w:r w:rsidR="00D00186">
        <w:rPr>
          <w:sz w:val="24"/>
          <w:szCs w:val="24"/>
        </w:rPr>
        <w:t xml:space="preserve"> </w:t>
      </w:r>
      <w:r w:rsidR="00F16AC7">
        <w:rPr>
          <w:sz w:val="24"/>
          <w:szCs w:val="24"/>
        </w:rPr>
        <w:t xml:space="preserve">$0 </w:t>
      </w:r>
      <w:r w:rsidR="00D00186">
        <w:rPr>
          <w:sz w:val="24"/>
          <w:szCs w:val="24"/>
        </w:rPr>
        <w:t xml:space="preserve">in the </w:t>
      </w:r>
      <w:r w:rsidR="00BA7396">
        <w:rPr>
          <w:sz w:val="24"/>
          <w:szCs w:val="24"/>
        </w:rPr>
        <w:t>Life-To-Date</w:t>
      </w:r>
      <w:r w:rsidR="00F16AC7">
        <w:rPr>
          <w:sz w:val="24"/>
          <w:szCs w:val="24"/>
        </w:rPr>
        <w:t xml:space="preserve"> </w:t>
      </w:r>
      <w:r w:rsidR="00114E15">
        <w:rPr>
          <w:sz w:val="24"/>
          <w:szCs w:val="24"/>
        </w:rPr>
        <w:t>D</w:t>
      </w:r>
      <w:r w:rsidR="00F16AC7">
        <w:rPr>
          <w:sz w:val="24"/>
          <w:szCs w:val="24"/>
        </w:rPr>
        <w:t xml:space="preserve">epreciation </w:t>
      </w:r>
      <w:r w:rsidR="00D00186">
        <w:rPr>
          <w:sz w:val="24"/>
          <w:szCs w:val="24"/>
        </w:rPr>
        <w:t>column</w:t>
      </w:r>
      <w:r w:rsidR="00F16AC7">
        <w:rPr>
          <w:sz w:val="24"/>
          <w:szCs w:val="24"/>
        </w:rPr>
        <w:t>.</w:t>
      </w:r>
    </w:p>
    <w:p w:rsidR="00BA33F4" w:rsidRPr="00AF4A9A" w:rsidRDefault="0029771C" w:rsidP="002B4E57">
      <w:pPr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Total of Current Year Deprecation should = </w:t>
      </w:r>
      <w:r w:rsidR="00FF5710">
        <w:rPr>
          <w:sz w:val="24"/>
          <w:szCs w:val="24"/>
        </w:rPr>
        <w:t xml:space="preserve">GL Inquiry for </w:t>
      </w:r>
      <w:r>
        <w:rPr>
          <w:sz w:val="24"/>
          <w:szCs w:val="24"/>
        </w:rPr>
        <w:t xml:space="preserve">object code 0740 totals for </w:t>
      </w:r>
      <w:r w:rsidR="002E287D">
        <w:rPr>
          <w:sz w:val="24"/>
          <w:szCs w:val="24"/>
        </w:rPr>
        <w:t>Asset Funds</w:t>
      </w:r>
      <w:r>
        <w:rPr>
          <w:sz w:val="24"/>
          <w:szCs w:val="24"/>
        </w:rPr>
        <w:t xml:space="preserve"> for the report year.</w:t>
      </w:r>
    </w:p>
    <w:p w:rsidR="00E82942" w:rsidRDefault="00475068" w:rsidP="00F75D5B">
      <w:pPr>
        <w:pStyle w:val="Heading2"/>
      </w:pPr>
      <w:bookmarkStart w:id="25" w:name="_Toc205360701"/>
      <w:r>
        <w:t>L</w:t>
      </w:r>
      <w:r w:rsidR="00F75D5B">
        <w:t>IFE-</w:t>
      </w:r>
      <w:r>
        <w:t>T</w:t>
      </w:r>
      <w:r w:rsidR="00F75D5B">
        <w:t>O-</w:t>
      </w:r>
      <w:r>
        <w:t>D</w:t>
      </w:r>
      <w:r w:rsidR="00F75D5B">
        <w:t>ATE</w:t>
      </w:r>
      <w:r>
        <w:t xml:space="preserve"> DEPRECIATION</w:t>
      </w:r>
      <w:bookmarkEnd w:id="25"/>
    </w:p>
    <w:p w:rsidR="00C5582A" w:rsidRPr="00861F25" w:rsidRDefault="00F75D5B" w:rsidP="00861F25">
      <w:pPr>
        <w:rPr>
          <w:sz w:val="24"/>
          <w:szCs w:val="24"/>
        </w:rPr>
      </w:pPr>
      <w:r w:rsidRPr="00C5582A">
        <w:rPr>
          <w:sz w:val="24"/>
          <w:szCs w:val="24"/>
        </w:rPr>
        <w:t xml:space="preserve">Life-To-Date (LTD) Depreciation or LTD Accumulated Depreciation amounts reported </w:t>
      </w:r>
      <w:r w:rsidR="0015161D" w:rsidRPr="00C5582A">
        <w:rPr>
          <w:sz w:val="24"/>
          <w:szCs w:val="24"/>
        </w:rPr>
        <w:t xml:space="preserve">are the </w:t>
      </w:r>
      <w:r w:rsidRPr="00C5582A">
        <w:rPr>
          <w:sz w:val="24"/>
          <w:szCs w:val="24"/>
        </w:rPr>
        <w:t xml:space="preserve">asset history transactions posted to the </w:t>
      </w:r>
      <w:r w:rsidR="00880A72">
        <w:rPr>
          <w:sz w:val="24"/>
          <w:szCs w:val="24"/>
        </w:rPr>
        <w:t>Fixed A</w:t>
      </w:r>
      <w:r w:rsidRPr="00C5582A">
        <w:rPr>
          <w:sz w:val="24"/>
          <w:szCs w:val="24"/>
        </w:rPr>
        <w:t>sset balance sheet object codes</w:t>
      </w:r>
      <w:r w:rsidR="00880A72">
        <w:rPr>
          <w:sz w:val="24"/>
          <w:szCs w:val="24"/>
        </w:rPr>
        <w:t xml:space="preserve"> (62?2) through</w:t>
      </w:r>
      <w:r w:rsidR="0015161D" w:rsidRPr="00C5582A">
        <w:rPr>
          <w:sz w:val="24"/>
          <w:szCs w:val="24"/>
        </w:rPr>
        <w:t xml:space="preserve"> the </w:t>
      </w:r>
      <w:r w:rsidRPr="00C5582A">
        <w:rPr>
          <w:sz w:val="24"/>
          <w:szCs w:val="24"/>
        </w:rPr>
        <w:t>report</w:t>
      </w:r>
      <w:r w:rsidR="0015161D" w:rsidRPr="00C5582A">
        <w:rPr>
          <w:sz w:val="24"/>
          <w:szCs w:val="24"/>
        </w:rPr>
        <w:t xml:space="preserve"> year</w:t>
      </w:r>
      <w:r w:rsidRPr="00C5582A">
        <w:rPr>
          <w:sz w:val="24"/>
          <w:szCs w:val="24"/>
        </w:rPr>
        <w:t xml:space="preserve">. </w:t>
      </w:r>
    </w:p>
    <w:p w:rsidR="00C5582A" w:rsidRPr="00C5582A" w:rsidRDefault="00C5582A">
      <w:pPr>
        <w:pStyle w:val="BodyText"/>
        <w:rPr>
          <w:szCs w:val="24"/>
        </w:rPr>
      </w:pPr>
      <w:r>
        <w:rPr>
          <w:szCs w:val="24"/>
        </w:rPr>
        <w:t>Things to verify:</w:t>
      </w:r>
    </w:p>
    <w:p w:rsidR="00F16AC7" w:rsidRDefault="00BC4ABB" w:rsidP="00F16AC7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Assets with $</w:t>
      </w:r>
      <w:r w:rsidR="00AF5D37"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in the </w:t>
      </w:r>
      <w:r w:rsidR="00AF5D37">
        <w:rPr>
          <w:sz w:val="24"/>
          <w:szCs w:val="24"/>
        </w:rPr>
        <w:t xml:space="preserve">LTD Depreciation should ONLY </w:t>
      </w:r>
      <w:r w:rsidR="00B40E5A">
        <w:rPr>
          <w:sz w:val="24"/>
          <w:szCs w:val="24"/>
        </w:rPr>
        <w:t>be</w:t>
      </w:r>
      <w:r w:rsidR="00AF5D37">
        <w:rPr>
          <w:sz w:val="24"/>
          <w:szCs w:val="24"/>
        </w:rPr>
        <w:t xml:space="preserve"> </w:t>
      </w:r>
      <w:r w:rsidR="00880A72">
        <w:rPr>
          <w:sz w:val="24"/>
          <w:szCs w:val="24"/>
        </w:rPr>
        <w:t>R</w:t>
      </w:r>
      <w:r w:rsidR="00AF5D37">
        <w:rPr>
          <w:sz w:val="24"/>
          <w:szCs w:val="24"/>
        </w:rPr>
        <w:t xml:space="preserve">etired </w:t>
      </w:r>
      <w:r w:rsidR="00B40E5A">
        <w:rPr>
          <w:sz w:val="24"/>
          <w:szCs w:val="24"/>
        </w:rPr>
        <w:t xml:space="preserve">assets </w:t>
      </w:r>
      <w:r w:rsidR="00880A72">
        <w:rPr>
          <w:sz w:val="24"/>
          <w:szCs w:val="24"/>
        </w:rPr>
        <w:t>with final depreciation expense for the report year.</w:t>
      </w:r>
    </w:p>
    <w:p w:rsidR="00C5582A" w:rsidRDefault="00BC4ABB" w:rsidP="00C5582A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 n</w:t>
      </w:r>
      <w:r w:rsidR="00B40E5A">
        <w:rPr>
          <w:sz w:val="24"/>
          <w:szCs w:val="24"/>
        </w:rPr>
        <w:t>egative</w:t>
      </w:r>
      <w:r w:rsidR="00B40E5A" w:rsidRPr="00F16AC7">
        <w:rPr>
          <w:sz w:val="24"/>
          <w:szCs w:val="24"/>
        </w:rPr>
        <w:t xml:space="preserve"> </w:t>
      </w:r>
      <w:r w:rsidR="00B40E5A">
        <w:rPr>
          <w:sz w:val="24"/>
          <w:szCs w:val="24"/>
        </w:rPr>
        <w:t>LTD Depreciation</w:t>
      </w:r>
      <w:r w:rsidR="00B40E5A" w:rsidRPr="00F16AC7">
        <w:rPr>
          <w:sz w:val="24"/>
          <w:szCs w:val="24"/>
        </w:rPr>
        <w:t xml:space="preserve"> </w:t>
      </w:r>
      <w:r w:rsidR="00B40E5A">
        <w:rPr>
          <w:sz w:val="24"/>
          <w:szCs w:val="24"/>
        </w:rPr>
        <w:t xml:space="preserve">is incorrect and </w:t>
      </w:r>
      <w:r w:rsidR="00B67ED2">
        <w:rPr>
          <w:sz w:val="24"/>
          <w:szCs w:val="24"/>
        </w:rPr>
        <w:t xml:space="preserve">should </w:t>
      </w:r>
      <w:r w:rsidR="00C5582A" w:rsidRPr="00F16AC7">
        <w:rPr>
          <w:sz w:val="24"/>
          <w:szCs w:val="24"/>
        </w:rPr>
        <w:t>be correct</w:t>
      </w:r>
      <w:r w:rsidR="00B40E5A">
        <w:rPr>
          <w:sz w:val="24"/>
          <w:szCs w:val="24"/>
        </w:rPr>
        <w:t>ed</w:t>
      </w:r>
      <w:r w:rsidR="00C5582A">
        <w:rPr>
          <w:sz w:val="24"/>
          <w:szCs w:val="24"/>
        </w:rPr>
        <w:t>.</w:t>
      </w:r>
    </w:p>
    <w:p w:rsidR="00114679" w:rsidRDefault="00C5582A" w:rsidP="00C5582A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Total of Life-To-Date Depreciation should =</w:t>
      </w:r>
      <w:r w:rsidR="00FF5710">
        <w:rPr>
          <w:sz w:val="24"/>
          <w:szCs w:val="24"/>
        </w:rPr>
        <w:t xml:space="preserve">GL Inquiry </w:t>
      </w:r>
      <w:r>
        <w:rPr>
          <w:sz w:val="24"/>
          <w:szCs w:val="24"/>
        </w:rPr>
        <w:t xml:space="preserve">object code 62?2 for </w:t>
      </w:r>
      <w:r w:rsidR="00374795">
        <w:rPr>
          <w:sz w:val="24"/>
          <w:szCs w:val="24"/>
        </w:rPr>
        <w:t xml:space="preserve">Asset Funds </w:t>
      </w:r>
      <w:r>
        <w:rPr>
          <w:sz w:val="24"/>
          <w:szCs w:val="24"/>
        </w:rPr>
        <w:t>for the report year.</w:t>
      </w:r>
    </w:p>
    <w:p w:rsidR="00C5582A" w:rsidRPr="00AF4A9A" w:rsidRDefault="00C5582A" w:rsidP="00114679">
      <w:pPr>
        <w:rPr>
          <w:sz w:val="24"/>
          <w:szCs w:val="24"/>
        </w:rPr>
      </w:pPr>
    </w:p>
    <w:p w:rsidR="00E82942" w:rsidRDefault="00CA08D1" w:rsidP="00CA08D1">
      <w:pPr>
        <w:pStyle w:val="Heading2"/>
      </w:pPr>
      <w:bookmarkStart w:id="26" w:name="_Toc205360702"/>
      <w:r>
        <w:t>ACQUISITION COST TOTAL</w:t>
      </w:r>
      <w:bookmarkEnd w:id="26"/>
    </w:p>
    <w:p w:rsidR="00114679" w:rsidRDefault="00114679" w:rsidP="00CA08D1">
      <w:pPr>
        <w:rPr>
          <w:sz w:val="24"/>
          <w:szCs w:val="24"/>
        </w:rPr>
      </w:pPr>
      <w:r>
        <w:rPr>
          <w:sz w:val="24"/>
          <w:szCs w:val="24"/>
        </w:rPr>
        <w:t xml:space="preserve">Acquisition cost </w:t>
      </w:r>
      <w:r w:rsidRPr="00C5582A">
        <w:rPr>
          <w:sz w:val="24"/>
          <w:szCs w:val="24"/>
        </w:rPr>
        <w:t xml:space="preserve">amounts reported are </w:t>
      </w:r>
      <w:r w:rsidR="00905478">
        <w:rPr>
          <w:sz w:val="24"/>
          <w:szCs w:val="24"/>
        </w:rPr>
        <w:t xml:space="preserve">pulled </w:t>
      </w:r>
      <w:r>
        <w:rPr>
          <w:sz w:val="24"/>
          <w:szCs w:val="24"/>
        </w:rPr>
        <w:t xml:space="preserve">directly from the </w:t>
      </w:r>
      <w:r w:rsidRPr="00114679">
        <w:rPr>
          <w:sz w:val="24"/>
          <w:szCs w:val="24"/>
        </w:rPr>
        <w:t>Fixed Asset Master File Maintenance or Asset Inquiry</w:t>
      </w:r>
      <w:r w:rsidR="00374795">
        <w:rPr>
          <w:sz w:val="24"/>
          <w:szCs w:val="24"/>
        </w:rPr>
        <w:t xml:space="preserve">. </w:t>
      </w:r>
      <w:r w:rsidRPr="00114679">
        <w:rPr>
          <w:sz w:val="24"/>
          <w:szCs w:val="24"/>
        </w:rPr>
        <w:t xml:space="preserve"> </w:t>
      </w:r>
      <w:r w:rsidR="00374795">
        <w:rPr>
          <w:sz w:val="24"/>
          <w:szCs w:val="24"/>
        </w:rPr>
        <w:t>T</w:t>
      </w:r>
      <w:r>
        <w:rPr>
          <w:sz w:val="24"/>
          <w:szCs w:val="24"/>
        </w:rPr>
        <w:t>herefore</w:t>
      </w:r>
      <w:r w:rsidR="00374795">
        <w:rPr>
          <w:sz w:val="24"/>
          <w:szCs w:val="24"/>
        </w:rPr>
        <w:t>,</w:t>
      </w:r>
      <w:r>
        <w:rPr>
          <w:sz w:val="24"/>
          <w:szCs w:val="24"/>
        </w:rPr>
        <w:t xml:space="preserve"> any differences between the master file and the </w:t>
      </w:r>
      <w:r w:rsidRPr="00C5582A">
        <w:rPr>
          <w:sz w:val="24"/>
          <w:szCs w:val="24"/>
        </w:rPr>
        <w:t xml:space="preserve">asset history transactions posted </w:t>
      </w:r>
      <w:r>
        <w:rPr>
          <w:sz w:val="24"/>
          <w:szCs w:val="24"/>
        </w:rPr>
        <w:t xml:space="preserve">for the acquisition cost will appear when verifying this total.  </w:t>
      </w:r>
      <w:r w:rsidR="00905478">
        <w:rPr>
          <w:sz w:val="24"/>
          <w:szCs w:val="24"/>
        </w:rPr>
        <w:t>Once</w:t>
      </w:r>
      <w:r w:rsidR="00AF5D37">
        <w:rPr>
          <w:sz w:val="24"/>
          <w:szCs w:val="24"/>
        </w:rPr>
        <w:t xml:space="preserve"> the Fixed Asset master file matches the Fixed Asset History transaction records, </w:t>
      </w:r>
      <w:r w:rsidR="001F6928">
        <w:rPr>
          <w:sz w:val="24"/>
          <w:szCs w:val="24"/>
        </w:rPr>
        <w:t xml:space="preserve">then </w:t>
      </w:r>
      <w:r w:rsidR="00D776D5">
        <w:rPr>
          <w:sz w:val="24"/>
          <w:szCs w:val="24"/>
        </w:rPr>
        <w:t>reconciliation</w:t>
      </w:r>
      <w:r w:rsidR="001F6928">
        <w:rPr>
          <w:sz w:val="24"/>
          <w:szCs w:val="24"/>
        </w:rPr>
        <w:t xml:space="preserve"> is possible to verify the total depreciable assets reported on the Depreciation Schedule for the report year.  </w:t>
      </w:r>
    </w:p>
    <w:p w:rsidR="00607CC6" w:rsidRDefault="00607CC6" w:rsidP="00CA08D1">
      <w:pPr>
        <w:rPr>
          <w:sz w:val="24"/>
          <w:szCs w:val="24"/>
        </w:rPr>
      </w:pPr>
    </w:p>
    <w:p w:rsidR="004E48BD" w:rsidRPr="00607CC6" w:rsidRDefault="004E48BD" w:rsidP="006B4D31">
      <w:pPr>
        <w:rPr>
          <w:sz w:val="24"/>
        </w:rPr>
      </w:pPr>
      <w:r w:rsidRPr="00607CC6">
        <w:rPr>
          <w:sz w:val="24"/>
        </w:rPr>
        <w:t>Things to verify:</w:t>
      </w:r>
    </w:p>
    <w:p w:rsidR="004E48BD" w:rsidRDefault="00607CC6" w:rsidP="00607CC6">
      <w:pPr>
        <w:numPr>
          <w:ilvl w:val="0"/>
          <w:numId w:val="35"/>
        </w:numPr>
        <w:rPr>
          <w:sz w:val="24"/>
          <w:szCs w:val="24"/>
        </w:rPr>
      </w:pPr>
      <w:r w:rsidRPr="00607CC6">
        <w:rPr>
          <w:sz w:val="24"/>
          <w:szCs w:val="24"/>
        </w:rPr>
        <w:t xml:space="preserve">Assets </w:t>
      </w:r>
      <w:r w:rsidR="00391B43">
        <w:rPr>
          <w:sz w:val="24"/>
          <w:szCs w:val="24"/>
        </w:rPr>
        <w:t xml:space="preserve">appearing on the report </w:t>
      </w:r>
      <w:r w:rsidR="00B40E5A">
        <w:rPr>
          <w:sz w:val="24"/>
          <w:szCs w:val="24"/>
        </w:rPr>
        <w:t>w</w:t>
      </w:r>
      <w:r w:rsidRPr="00607CC6">
        <w:rPr>
          <w:sz w:val="24"/>
          <w:szCs w:val="24"/>
        </w:rPr>
        <w:t xml:space="preserve">ith </w:t>
      </w:r>
      <w:r w:rsidR="00C34BE4">
        <w:rPr>
          <w:sz w:val="24"/>
          <w:szCs w:val="24"/>
        </w:rPr>
        <w:t xml:space="preserve">a </w:t>
      </w:r>
      <w:r w:rsidR="004E48BD">
        <w:rPr>
          <w:sz w:val="24"/>
          <w:szCs w:val="24"/>
        </w:rPr>
        <w:t>sub-class</w:t>
      </w:r>
      <w:r w:rsidR="00C34BE4">
        <w:rPr>
          <w:sz w:val="24"/>
          <w:szCs w:val="24"/>
        </w:rPr>
        <w:t xml:space="preserve"> of </w:t>
      </w:r>
      <w:r w:rsidR="004E48BD">
        <w:rPr>
          <w:sz w:val="24"/>
          <w:szCs w:val="24"/>
        </w:rPr>
        <w:t xml:space="preserve">110 </w:t>
      </w:r>
      <w:r w:rsidR="00B40E5A">
        <w:rPr>
          <w:sz w:val="24"/>
          <w:szCs w:val="24"/>
        </w:rPr>
        <w:t xml:space="preserve">or 610 </w:t>
      </w:r>
      <w:r w:rsidR="004E48BD">
        <w:rPr>
          <w:sz w:val="24"/>
          <w:szCs w:val="24"/>
        </w:rPr>
        <w:t xml:space="preserve">need to be corrected </w:t>
      </w:r>
      <w:r w:rsidR="00B40E5A">
        <w:rPr>
          <w:sz w:val="24"/>
          <w:szCs w:val="24"/>
        </w:rPr>
        <w:t>as</w:t>
      </w:r>
      <w:r w:rsidR="004E48BD">
        <w:rPr>
          <w:sz w:val="24"/>
          <w:szCs w:val="24"/>
        </w:rPr>
        <w:t xml:space="preserve"> </w:t>
      </w:r>
      <w:r w:rsidR="00B40E5A">
        <w:rPr>
          <w:sz w:val="24"/>
          <w:szCs w:val="24"/>
        </w:rPr>
        <w:t xml:space="preserve">they should </w:t>
      </w:r>
      <w:r w:rsidR="00391B43">
        <w:rPr>
          <w:sz w:val="24"/>
          <w:szCs w:val="24"/>
        </w:rPr>
        <w:t>NOT</w:t>
      </w:r>
      <w:r w:rsidR="00B40E5A">
        <w:rPr>
          <w:sz w:val="24"/>
          <w:szCs w:val="24"/>
        </w:rPr>
        <w:t xml:space="preserve"> have</w:t>
      </w:r>
      <w:r w:rsidR="004E48BD">
        <w:rPr>
          <w:sz w:val="24"/>
          <w:szCs w:val="24"/>
        </w:rPr>
        <w:t xml:space="preserve"> depreciat</w:t>
      </w:r>
      <w:r w:rsidR="00B40E5A">
        <w:rPr>
          <w:sz w:val="24"/>
          <w:szCs w:val="24"/>
        </w:rPr>
        <w:t>ion</w:t>
      </w:r>
      <w:r w:rsidR="004E48BD">
        <w:rPr>
          <w:sz w:val="24"/>
          <w:szCs w:val="24"/>
        </w:rPr>
        <w:t xml:space="preserve">.  </w:t>
      </w:r>
      <w:r w:rsidR="004E48BD" w:rsidRPr="00B40E5A">
        <w:rPr>
          <w:i/>
          <w:sz w:val="24"/>
          <w:szCs w:val="24"/>
        </w:rPr>
        <w:t xml:space="preserve">This may happen if the asset is coded </w:t>
      </w:r>
      <w:r w:rsidR="00C34BE4" w:rsidRPr="00B40E5A">
        <w:rPr>
          <w:i/>
          <w:sz w:val="24"/>
          <w:szCs w:val="24"/>
        </w:rPr>
        <w:t>in</w:t>
      </w:r>
      <w:r w:rsidR="00B40E5A">
        <w:rPr>
          <w:i/>
          <w:sz w:val="24"/>
          <w:szCs w:val="24"/>
        </w:rPr>
        <w:t xml:space="preserve">correctly to </w:t>
      </w:r>
      <w:r w:rsidR="00C34BE4" w:rsidRPr="00B40E5A">
        <w:rPr>
          <w:i/>
          <w:sz w:val="24"/>
          <w:szCs w:val="24"/>
        </w:rPr>
        <w:t>either</w:t>
      </w:r>
      <w:r w:rsidR="00B40E5A" w:rsidRPr="00B40E5A">
        <w:rPr>
          <w:i/>
          <w:sz w:val="24"/>
          <w:szCs w:val="24"/>
        </w:rPr>
        <w:t xml:space="preserve"> </w:t>
      </w:r>
      <w:r w:rsidR="00B40E5A">
        <w:rPr>
          <w:i/>
          <w:sz w:val="24"/>
          <w:szCs w:val="24"/>
        </w:rPr>
        <w:t xml:space="preserve">the </w:t>
      </w:r>
      <w:r w:rsidR="00B40E5A" w:rsidRPr="00B40E5A">
        <w:rPr>
          <w:i/>
          <w:sz w:val="24"/>
          <w:szCs w:val="24"/>
        </w:rPr>
        <w:t>wrong sub-class code or to the wrong org/object codes</w:t>
      </w:r>
      <w:r w:rsidR="00C34BE4" w:rsidRPr="00B40E5A">
        <w:rPr>
          <w:i/>
          <w:sz w:val="24"/>
          <w:szCs w:val="24"/>
        </w:rPr>
        <w:t xml:space="preserve"> </w:t>
      </w:r>
      <w:r w:rsidR="00B40E5A">
        <w:rPr>
          <w:i/>
          <w:sz w:val="24"/>
          <w:szCs w:val="24"/>
        </w:rPr>
        <w:t>or the Flag to depreciate is Y on the asset.</w:t>
      </w:r>
      <w:r w:rsidR="00C34BE4" w:rsidRPr="00B40E5A">
        <w:rPr>
          <w:i/>
          <w:sz w:val="24"/>
          <w:szCs w:val="24"/>
        </w:rPr>
        <w:t xml:space="preserve">  A</w:t>
      </w:r>
      <w:r w:rsidR="004E48BD" w:rsidRPr="00B40E5A">
        <w:rPr>
          <w:i/>
          <w:sz w:val="24"/>
          <w:szCs w:val="24"/>
        </w:rPr>
        <w:t xml:space="preserve"> </w:t>
      </w:r>
      <w:r w:rsidR="00B40E5A">
        <w:rPr>
          <w:i/>
          <w:sz w:val="24"/>
          <w:szCs w:val="24"/>
        </w:rPr>
        <w:t>correction is required and should be posted</w:t>
      </w:r>
      <w:r w:rsidR="004E48BD" w:rsidRPr="00B40E5A">
        <w:rPr>
          <w:i/>
          <w:sz w:val="24"/>
          <w:szCs w:val="24"/>
        </w:rPr>
        <w:t xml:space="preserve"> to the report year</w:t>
      </w:r>
      <w:r w:rsidR="00C34BE4" w:rsidRPr="00B40E5A">
        <w:rPr>
          <w:i/>
          <w:sz w:val="24"/>
          <w:szCs w:val="24"/>
        </w:rPr>
        <w:t xml:space="preserve"> (period 13) to </w:t>
      </w:r>
      <w:r w:rsidR="00B40E5A">
        <w:rPr>
          <w:i/>
          <w:sz w:val="24"/>
          <w:szCs w:val="24"/>
        </w:rPr>
        <w:t>reverse</w:t>
      </w:r>
      <w:r w:rsidR="00C34BE4" w:rsidRPr="00B40E5A">
        <w:rPr>
          <w:i/>
          <w:sz w:val="24"/>
          <w:szCs w:val="24"/>
        </w:rPr>
        <w:t xml:space="preserve"> the </w:t>
      </w:r>
      <w:r w:rsidR="00B40E5A">
        <w:rPr>
          <w:i/>
          <w:sz w:val="24"/>
          <w:szCs w:val="24"/>
        </w:rPr>
        <w:t>expense</w:t>
      </w:r>
      <w:r w:rsidR="00C34BE4" w:rsidRPr="00B40E5A">
        <w:rPr>
          <w:i/>
          <w:sz w:val="24"/>
          <w:szCs w:val="24"/>
        </w:rPr>
        <w:t xml:space="preserve"> or to the correct </w:t>
      </w:r>
      <w:r w:rsidR="001065AC">
        <w:rPr>
          <w:i/>
          <w:sz w:val="24"/>
          <w:szCs w:val="24"/>
        </w:rPr>
        <w:t xml:space="preserve">the </w:t>
      </w:r>
      <w:r w:rsidR="00C34BE4" w:rsidRPr="00B40E5A">
        <w:rPr>
          <w:i/>
          <w:sz w:val="24"/>
          <w:szCs w:val="24"/>
        </w:rPr>
        <w:t>org/object and sub-class codes.</w:t>
      </w:r>
      <w:r w:rsidR="004E48BD" w:rsidRPr="00B40E5A">
        <w:rPr>
          <w:i/>
          <w:sz w:val="24"/>
          <w:szCs w:val="24"/>
        </w:rPr>
        <w:t xml:space="preserve"> </w:t>
      </w:r>
      <w:r w:rsidR="00C34BE4" w:rsidRPr="00B40E5A">
        <w:rPr>
          <w:i/>
          <w:sz w:val="24"/>
          <w:szCs w:val="24"/>
        </w:rPr>
        <w:t>Then reprocess the report</w:t>
      </w:r>
      <w:r w:rsidR="00C34BE4">
        <w:rPr>
          <w:sz w:val="24"/>
          <w:szCs w:val="24"/>
        </w:rPr>
        <w:t>.</w:t>
      </w:r>
    </w:p>
    <w:p w:rsidR="00754471" w:rsidRPr="00C524B6" w:rsidRDefault="00607CC6" w:rsidP="00754471">
      <w:pPr>
        <w:numPr>
          <w:ilvl w:val="0"/>
          <w:numId w:val="35"/>
        </w:numPr>
        <w:rPr>
          <w:b/>
          <w:sz w:val="24"/>
        </w:rPr>
      </w:pPr>
      <w:r>
        <w:rPr>
          <w:sz w:val="24"/>
          <w:szCs w:val="24"/>
        </w:rPr>
        <w:t xml:space="preserve">Total of Acquisition cost </w:t>
      </w:r>
      <w:r w:rsidR="00DE08F4">
        <w:rPr>
          <w:sz w:val="24"/>
          <w:szCs w:val="24"/>
        </w:rPr>
        <w:t xml:space="preserve">on the report </w:t>
      </w:r>
      <w:r>
        <w:rPr>
          <w:sz w:val="24"/>
          <w:szCs w:val="24"/>
        </w:rPr>
        <w:t xml:space="preserve">should = </w:t>
      </w:r>
      <w:r w:rsidR="00DE08F4">
        <w:rPr>
          <w:sz w:val="24"/>
          <w:szCs w:val="24"/>
        </w:rPr>
        <w:t xml:space="preserve">calculated Depreciable asset total which is the totals </w:t>
      </w:r>
      <w:r w:rsidR="001065AC">
        <w:rPr>
          <w:sz w:val="24"/>
          <w:szCs w:val="24"/>
        </w:rPr>
        <w:t>of</w:t>
      </w:r>
      <w:r w:rsidR="00DE08F4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bject codes </w:t>
      </w:r>
      <w:r w:rsidR="001065AC">
        <w:rPr>
          <w:sz w:val="24"/>
          <w:szCs w:val="24"/>
        </w:rPr>
        <w:t>=</w:t>
      </w:r>
      <w:r>
        <w:rPr>
          <w:sz w:val="24"/>
          <w:szCs w:val="24"/>
        </w:rPr>
        <w:t xml:space="preserve"> 62?</w:t>
      </w:r>
      <w:r w:rsidR="001065AC">
        <w:rPr>
          <w:sz w:val="24"/>
          <w:szCs w:val="24"/>
        </w:rPr>
        <w:t xml:space="preserve">1 excluding </w:t>
      </w:r>
      <w:r w:rsidR="00C34BE4">
        <w:rPr>
          <w:sz w:val="24"/>
          <w:szCs w:val="24"/>
        </w:rPr>
        <w:t>land</w:t>
      </w:r>
      <w:r w:rsidR="001065AC">
        <w:rPr>
          <w:sz w:val="24"/>
          <w:szCs w:val="24"/>
        </w:rPr>
        <w:t xml:space="preserve"> and CWIP</w:t>
      </w:r>
      <w:r w:rsidR="00C34BE4">
        <w:rPr>
          <w:sz w:val="24"/>
          <w:szCs w:val="24"/>
        </w:rPr>
        <w:t xml:space="preserve"> (object </w:t>
      </w:r>
      <w:r w:rsidR="001065AC">
        <w:rPr>
          <w:sz w:val="24"/>
          <w:szCs w:val="24"/>
        </w:rPr>
        <w:t xml:space="preserve">codes </w:t>
      </w:r>
      <w:r w:rsidR="00C34BE4">
        <w:rPr>
          <w:sz w:val="24"/>
          <w:szCs w:val="24"/>
        </w:rPr>
        <w:t>6201</w:t>
      </w:r>
      <w:r w:rsidR="001065AC">
        <w:rPr>
          <w:sz w:val="24"/>
          <w:szCs w:val="24"/>
        </w:rPr>
        <w:t xml:space="preserve"> and 6261</w:t>
      </w:r>
      <w:r w:rsidR="00C34BE4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="00754471">
        <w:rPr>
          <w:b/>
          <w:sz w:val="24"/>
          <w:szCs w:val="24"/>
        </w:rPr>
        <w:t>SEE STEPS BELOW TO VERIFY ACQUISITION COST ON THE REPORT.</w:t>
      </w:r>
    </w:p>
    <w:p w:rsidR="00754471" w:rsidRPr="00C524B6" w:rsidRDefault="00754471" w:rsidP="00754471">
      <w:pPr>
        <w:rPr>
          <w:sz w:val="24"/>
        </w:rPr>
      </w:pPr>
      <w:r>
        <w:rPr>
          <w:sz w:val="24"/>
        </w:rPr>
        <w:t>Calculation as follows to verify Acquisition Cost total:</w:t>
      </w:r>
    </w:p>
    <w:p w:rsidR="00754471" w:rsidRDefault="00754471" w:rsidP="002115EE">
      <w:pPr>
        <w:pStyle w:val="NoSpacing"/>
      </w:pPr>
      <w:r w:rsidRPr="00E77C84">
        <w:rPr>
          <w:b/>
        </w:rPr>
        <w:t>Depreciable Asset total</w:t>
      </w:r>
      <w:r>
        <w:t xml:space="preserve">: </w:t>
      </w:r>
      <w:r>
        <w:tab/>
        <w:t>General Ledger or FA History net-62?1</w:t>
      </w:r>
    </w:p>
    <w:p w:rsidR="00754471" w:rsidRDefault="00754471" w:rsidP="002115EE">
      <w:pPr>
        <w:pStyle w:val="NoSpacing"/>
      </w:pPr>
      <w:r>
        <w:tab/>
      </w:r>
      <w:r>
        <w:tab/>
      </w:r>
      <w:r>
        <w:tab/>
      </w:r>
      <w:r>
        <w:tab/>
      </w:r>
      <w:r w:rsidRPr="002B4175">
        <w:t>Less net land (6201)</w:t>
      </w:r>
    </w:p>
    <w:p w:rsidR="00754471" w:rsidRPr="004E48BD" w:rsidRDefault="00754471" w:rsidP="002115EE">
      <w:pPr>
        <w:pStyle w:val="NoSpacing"/>
        <w:rPr>
          <w:u w:val="single"/>
        </w:rPr>
      </w:pPr>
      <w:r>
        <w:tab/>
      </w:r>
      <w:r>
        <w:tab/>
      </w:r>
      <w:r>
        <w:tab/>
      </w:r>
      <w:r w:rsidRPr="00E77C84">
        <w:tab/>
      </w:r>
      <w:r w:rsidRPr="002B4175">
        <w:rPr>
          <w:u w:val="single"/>
        </w:rPr>
        <w:t>Less Construction Work In Progress (6261)</w:t>
      </w:r>
    </w:p>
    <w:p w:rsidR="00754471" w:rsidRPr="007F0924" w:rsidRDefault="00754471" w:rsidP="002115EE">
      <w:pPr>
        <w:pStyle w:val="NoSpacing"/>
      </w:pPr>
      <w:r>
        <w:tab/>
      </w:r>
      <w:r>
        <w:tab/>
      </w:r>
      <w:r>
        <w:tab/>
      </w:r>
      <w:r>
        <w:tab/>
      </w:r>
      <w:r w:rsidRPr="007F0924">
        <w:t>Depreciable Asset total  = A</w:t>
      </w:r>
    </w:p>
    <w:p w:rsidR="00754471" w:rsidRDefault="00754471" w:rsidP="00754471">
      <w:pPr>
        <w:rPr>
          <w:sz w:val="24"/>
        </w:rPr>
      </w:pPr>
    </w:p>
    <w:p w:rsidR="00B54F0E" w:rsidRPr="00B54F0E" w:rsidRDefault="00754471" w:rsidP="00B54F0E">
      <w:pPr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Calculate the Total Asset History Acquisition cost by subtracting the </w:t>
      </w:r>
      <w:r w:rsidRPr="00B65EC0">
        <w:rPr>
          <w:b/>
          <w:sz w:val="24"/>
        </w:rPr>
        <w:t>Report</w:t>
      </w:r>
      <w:r>
        <w:rPr>
          <w:sz w:val="24"/>
        </w:rPr>
        <w:t xml:space="preserve"> </w:t>
      </w:r>
      <w:r w:rsidRPr="00416A43">
        <w:rPr>
          <w:b/>
          <w:sz w:val="24"/>
        </w:rPr>
        <w:t>Total</w:t>
      </w:r>
      <w:r>
        <w:rPr>
          <w:sz w:val="24"/>
        </w:rPr>
        <w:t xml:space="preserve"> of the Credi</w:t>
      </w:r>
      <w:r w:rsidR="00230CE5">
        <w:rPr>
          <w:sz w:val="24"/>
        </w:rPr>
        <w:t xml:space="preserve">t amount from the Debit amount </w:t>
      </w:r>
      <w:r>
        <w:rPr>
          <w:sz w:val="24"/>
        </w:rPr>
        <w:t>for the sum of object codes 62?1. (See Appendix A.)</w:t>
      </w:r>
    </w:p>
    <w:p w:rsidR="00754471" w:rsidRDefault="00754471" w:rsidP="00754471">
      <w:pPr>
        <w:numPr>
          <w:ilvl w:val="0"/>
          <w:numId w:val="34"/>
        </w:numPr>
        <w:rPr>
          <w:sz w:val="24"/>
        </w:rPr>
      </w:pPr>
      <w:r>
        <w:rPr>
          <w:sz w:val="24"/>
        </w:rPr>
        <w:lastRenderedPageBreak/>
        <w:t xml:space="preserve">Subtract from the Total Asset History Acquisition cost </w:t>
      </w:r>
      <w:r w:rsidRPr="00127EEA">
        <w:rPr>
          <w:i/>
          <w:sz w:val="24"/>
        </w:rPr>
        <w:t>(calculated in the previous step)</w:t>
      </w:r>
      <w:r>
        <w:rPr>
          <w:sz w:val="24"/>
        </w:rPr>
        <w:t xml:space="preserve"> the Net of Debit and Credit for non-depreciable assets which would include the following:</w:t>
      </w:r>
    </w:p>
    <w:p w:rsidR="00B54F0E" w:rsidRDefault="00754471" w:rsidP="00B54F0E">
      <w:pPr>
        <w:pStyle w:val="NoSpacing"/>
        <w:numPr>
          <w:ilvl w:val="1"/>
          <w:numId w:val="34"/>
        </w:numPr>
      </w:pPr>
      <w:r>
        <w:t>Land (object code 6201)</w:t>
      </w:r>
    </w:p>
    <w:p w:rsidR="00B54F0E" w:rsidRDefault="00754471" w:rsidP="00B54F0E">
      <w:pPr>
        <w:pStyle w:val="NoSpacing"/>
        <w:numPr>
          <w:ilvl w:val="1"/>
          <w:numId w:val="34"/>
        </w:numPr>
      </w:pPr>
      <w:r>
        <w:t>Construction Work in Progress (object code 6261)</w:t>
      </w:r>
    </w:p>
    <w:p w:rsidR="00754471" w:rsidRDefault="00432BCF" w:rsidP="00B54F0E">
      <w:pPr>
        <w:pStyle w:val="NoSpacing"/>
        <w:numPr>
          <w:ilvl w:val="1"/>
          <w:numId w:val="34"/>
        </w:numPr>
      </w:pPr>
      <w:r>
        <w:t>This provides a total for non-</w:t>
      </w:r>
      <w:r w:rsidR="00754471">
        <w:t>depreciable assets.</w:t>
      </w:r>
    </w:p>
    <w:p w:rsidR="00B54F0E" w:rsidRDefault="00B54F0E" w:rsidP="00B54F0E">
      <w:pPr>
        <w:pStyle w:val="NoSpacing"/>
        <w:ind w:left="720"/>
      </w:pPr>
    </w:p>
    <w:p w:rsidR="002E7E73" w:rsidRPr="009009D9" w:rsidRDefault="00754471" w:rsidP="00114679">
      <w:pPr>
        <w:numPr>
          <w:ilvl w:val="0"/>
          <w:numId w:val="34"/>
        </w:numPr>
        <w:rPr>
          <w:sz w:val="24"/>
        </w:rPr>
      </w:pPr>
      <w:r>
        <w:rPr>
          <w:sz w:val="24"/>
        </w:rPr>
        <w:t>Compare th</w:t>
      </w:r>
      <w:r w:rsidR="00470C5D">
        <w:rPr>
          <w:sz w:val="24"/>
        </w:rPr>
        <w:t xml:space="preserve">is calculated </w:t>
      </w:r>
      <w:r>
        <w:rPr>
          <w:sz w:val="24"/>
        </w:rPr>
        <w:t xml:space="preserve">Depreciable </w:t>
      </w:r>
      <w:r w:rsidR="00470C5D">
        <w:rPr>
          <w:sz w:val="24"/>
        </w:rPr>
        <w:t>A</w:t>
      </w:r>
      <w:r>
        <w:rPr>
          <w:sz w:val="24"/>
        </w:rPr>
        <w:t>sset</w:t>
      </w:r>
      <w:r w:rsidR="00470C5D">
        <w:rPr>
          <w:sz w:val="24"/>
        </w:rPr>
        <w:t xml:space="preserve"> total (A) </w:t>
      </w:r>
      <w:r>
        <w:rPr>
          <w:sz w:val="24"/>
        </w:rPr>
        <w:t xml:space="preserve">to the </w:t>
      </w:r>
      <w:r w:rsidRPr="00470C5D">
        <w:rPr>
          <w:sz w:val="24"/>
          <w:u w:val="single"/>
        </w:rPr>
        <w:t>Active Total</w:t>
      </w:r>
      <w:r>
        <w:rPr>
          <w:sz w:val="24"/>
        </w:rPr>
        <w:t xml:space="preserve"> of the Acquisition Cost column on the Depreciation Schedule</w:t>
      </w:r>
      <w:r w:rsidR="0024313B">
        <w:rPr>
          <w:sz w:val="24"/>
        </w:rPr>
        <w:t xml:space="preserve"> as shown below. </w:t>
      </w:r>
      <w:r w:rsidR="0072096E">
        <w:rPr>
          <w:sz w:val="24"/>
        </w:rPr>
        <w:t xml:space="preserve"> </w:t>
      </w:r>
    </w:p>
    <w:p w:rsidR="00D776D5" w:rsidRPr="00C931C0" w:rsidRDefault="00D776D5" w:rsidP="00114679">
      <w:pPr>
        <w:rPr>
          <w:b/>
        </w:rPr>
      </w:pPr>
      <w:r w:rsidRPr="00C931C0">
        <w:rPr>
          <w:i/>
          <w:sz w:val="24"/>
        </w:rPr>
        <w:t>Depreciation Schedule report total page</w:t>
      </w:r>
    </w:p>
    <w:p w:rsidR="0072096E" w:rsidRPr="009009D9" w:rsidRDefault="00BA5C73" w:rsidP="0072096E">
      <w:r>
        <w:rPr>
          <w:noProof/>
        </w:rPr>
        <w:drawing>
          <wp:inline distT="0" distB="0" distL="0" distR="0">
            <wp:extent cx="5943600" cy="2238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13B" w:rsidRDefault="00470C5D" w:rsidP="00470C5D">
      <w:pPr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Any differences will need to be investigated. </w:t>
      </w:r>
    </w:p>
    <w:p w:rsidR="0024313B" w:rsidRDefault="00470C5D" w:rsidP="00396EF1">
      <w:pPr>
        <w:pStyle w:val="NoSpacing"/>
        <w:numPr>
          <w:ilvl w:val="1"/>
          <w:numId w:val="34"/>
        </w:numPr>
      </w:pPr>
      <w:r>
        <w:t xml:space="preserve">Determine if any land assets (sub-class 110) or Construction Work in Progress or CWIP (sub-class 610) are included on the report, this is due to an error and needs to be corrected via adjustments.  </w:t>
      </w:r>
    </w:p>
    <w:p w:rsidR="00470C5D" w:rsidRPr="00396EF1" w:rsidRDefault="00470C5D" w:rsidP="00396EF1">
      <w:pPr>
        <w:pStyle w:val="NoSpacing"/>
        <w:numPr>
          <w:ilvl w:val="1"/>
          <w:numId w:val="34"/>
        </w:numPr>
      </w:pPr>
      <w:r>
        <w:t xml:space="preserve">Subtract </w:t>
      </w:r>
      <w:r w:rsidR="0024313B">
        <w:t>any sub-class 110 or 610 asset acquisition costs</w:t>
      </w:r>
      <w:r>
        <w:t xml:space="preserve"> </w:t>
      </w:r>
      <w:r w:rsidR="0024313B">
        <w:t xml:space="preserve">from </w:t>
      </w:r>
      <w:r>
        <w:t>the Active Total.</w:t>
      </w:r>
    </w:p>
    <w:p w:rsidR="004E48BD" w:rsidRPr="007F0924" w:rsidRDefault="00E77C84" w:rsidP="00B06AEC">
      <w:pPr>
        <w:pStyle w:val="NoSpacing"/>
      </w:pPr>
      <w:r>
        <w:rPr>
          <w:b/>
        </w:rPr>
        <w:t xml:space="preserve">Adjusted </w:t>
      </w:r>
      <w:r w:rsidRPr="00E77C84">
        <w:rPr>
          <w:b/>
        </w:rPr>
        <w:t xml:space="preserve">Active </w:t>
      </w:r>
      <w:r>
        <w:rPr>
          <w:b/>
        </w:rPr>
        <w:t>Total:</w:t>
      </w:r>
      <w:r w:rsidR="00B83834">
        <w:rPr>
          <w:b/>
        </w:rPr>
        <w:t xml:space="preserve"> </w:t>
      </w:r>
      <w:r w:rsidR="00B83834">
        <w:rPr>
          <w:b/>
        </w:rPr>
        <w:tab/>
      </w:r>
      <w:r w:rsidR="00B06AEC">
        <w:rPr>
          <w:b/>
        </w:rPr>
        <w:tab/>
      </w:r>
      <w:r>
        <w:t xml:space="preserve">Active Total on the report </w:t>
      </w:r>
      <w:r w:rsidR="002B4175">
        <w:t>(</w:t>
      </w:r>
      <w:r>
        <w:t>Report total less</w:t>
      </w:r>
      <w:r w:rsidR="002B4175">
        <w:t xml:space="preserve"> Retired)</w:t>
      </w:r>
    </w:p>
    <w:p w:rsidR="004E48BD" w:rsidRDefault="00B83834" w:rsidP="00B06AEC">
      <w:pPr>
        <w:pStyle w:val="NoSpacing"/>
        <w:rPr>
          <w:u w:val="single"/>
        </w:rPr>
      </w:pPr>
      <w:r w:rsidRPr="00B83834">
        <w:tab/>
      </w:r>
      <w:r w:rsidRPr="00B83834">
        <w:tab/>
      </w:r>
      <w:r w:rsidRPr="00B83834">
        <w:tab/>
      </w:r>
      <w:r w:rsidRPr="00B83834">
        <w:tab/>
      </w:r>
      <w:r w:rsidR="004E48BD" w:rsidRPr="007F0924">
        <w:rPr>
          <w:u w:val="single"/>
        </w:rPr>
        <w:t xml:space="preserve">Less any land </w:t>
      </w:r>
      <w:r w:rsidR="00C931C0">
        <w:rPr>
          <w:u w:val="single"/>
        </w:rPr>
        <w:t xml:space="preserve">or CWIP </w:t>
      </w:r>
      <w:r w:rsidR="004E48BD" w:rsidRPr="007F0924">
        <w:rPr>
          <w:u w:val="single"/>
        </w:rPr>
        <w:t>included in the report</w:t>
      </w:r>
      <w:r w:rsidR="007F0924" w:rsidRPr="007F0924">
        <w:rPr>
          <w:u w:val="single"/>
        </w:rPr>
        <w:t xml:space="preserve"> </w:t>
      </w:r>
      <w:r w:rsidR="00E77BDA">
        <w:rPr>
          <w:u w:val="single"/>
        </w:rPr>
        <w:t>(subclass 110</w:t>
      </w:r>
      <w:r>
        <w:rPr>
          <w:u w:val="single"/>
        </w:rPr>
        <w:t xml:space="preserve"> or 610</w:t>
      </w:r>
      <w:r w:rsidR="00E77BDA">
        <w:rPr>
          <w:u w:val="single"/>
        </w:rPr>
        <w:t>)</w:t>
      </w:r>
    </w:p>
    <w:p w:rsidR="0072096E" w:rsidRPr="00396EF1" w:rsidRDefault="00B83834" w:rsidP="00396EF1">
      <w:pPr>
        <w:pStyle w:val="NoSpacing"/>
      </w:pPr>
      <w:r>
        <w:tab/>
      </w:r>
      <w:r>
        <w:tab/>
      </w:r>
      <w:r>
        <w:tab/>
      </w:r>
      <w:r>
        <w:tab/>
        <w:t xml:space="preserve">Adjusted </w:t>
      </w:r>
      <w:r w:rsidR="00B06AEC">
        <w:t xml:space="preserve">Active totals on the report </w:t>
      </w:r>
      <w:r w:rsidR="007F0924" w:rsidRPr="007F0924">
        <w:t>= B</w:t>
      </w:r>
    </w:p>
    <w:p w:rsidR="0024313B" w:rsidRDefault="007F0924" w:rsidP="00C931C0">
      <w:pPr>
        <w:numPr>
          <w:ilvl w:val="0"/>
          <w:numId w:val="34"/>
        </w:numPr>
        <w:rPr>
          <w:sz w:val="24"/>
        </w:rPr>
      </w:pPr>
      <w:r>
        <w:rPr>
          <w:sz w:val="24"/>
        </w:rPr>
        <w:t xml:space="preserve">Compare </w:t>
      </w:r>
      <w:r w:rsidRPr="007F0924">
        <w:rPr>
          <w:sz w:val="24"/>
        </w:rPr>
        <w:t xml:space="preserve">A </w:t>
      </w:r>
      <w:r>
        <w:rPr>
          <w:sz w:val="24"/>
        </w:rPr>
        <w:t>to</w:t>
      </w:r>
      <w:r w:rsidRPr="007F0924">
        <w:rPr>
          <w:sz w:val="24"/>
        </w:rPr>
        <w:t xml:space="preserve"> B</w:t>
      </w:r>
      <w:r>
        <w:rPr>
          <w:sz w:val="24"/>
        </w:rPr>
        <w:t xml:space="preserve"> as calculated above</w:t>
      </w:r>
      <w:r w:rsidR="00B83834">
        <w:rPr>
          <w:sz w:val="24"/>
        </w:rPr>
        <w:t>:</w:t>
      </w:r>
      <w:r w:rsidR="006118C2">
        <w:rPr>
          <w:sz w:val="24"/>
        </w:rPr>
        <w:t xml:space="preserve"> </w:t>
      </w:r>
      <w:r w:rsidR="00B83834" w:rsidRPr="00E77C84">
        <w:rPr>
          <w:b/>
          <w:sz w:val="24"/>
        </w:rPr>
        <w:t>Depreciable Asset total</w:t>
      </w:r>
      <w:r w:rsidR="00B83834">
        <w:rPr>
          <w:sz w:val="24"/>
        </w:rPr>
        <w:t xml:space="preserve"> to </w:t>
      </w:r>
      <w:r w:rsidR="00B83834">
        <w:rPr>
          <w:b/>
          <w:sz w:val="24"/>
        </w:rPr>
        <w:t xml:space="preserve">Adjusted </w:t>
      </w:r>
      <w:r w:rsidR="00B83834" w:rsidRPr="00E77C84">
        <w:rPr>
          <w:b/>
          <w:sz w:val="24"/>
        </w:rPr>
        <w:t xml:space="preserve">Active </w:t>
      </w:r>
      <w:r w:rsidR="00B83834">
        <w:rPr>
          <w:b/>
          <w:sz w:val="24"/>
        </w:rPr>
        <w:t>Total.</w:t>
      </w:r>
      <w:r w:rsidR="00B83834">
        <w:rPr>
          <w:sz w:val="24"/>
        </w:rPr>
        <w:t xml:space="preserve"> </w:t>
      </w:r>
      <w:r w:rsidR="00E77BDA">
        <w:rPr>
          <w:sz w:val="24"/>
        </w:rPr>
        <w:t>Differences can occur due to the Acquisition cost History total not equal to the actual Acquisition cost on the report</w:t>
      </w:r>
      <w:r w:rsidR="006118C2">
        <w:rPr>
          <w:sz w:val="24"/>
        </w:rPr>
        <w:t xml:space="preserve"> that is pulled from the asset master</w:t>
      </w:r>
      <w:r w:rsidR="00E77BDA">
        <w:rPr>
          <w:sz w:val="24"/>
        </w:rPr>
        <w:t>.</w:t>
      </w:r>
      <w:r w:rsidR="00B83834">
        <w:rPr>
          <w:sz w:val="24"/>
        </w:rPr>
        <w:t xml:space="preserve">  If this is the case, then begin by comparing totals by Governmental and Proprietary and then by sub-class totals to determine where the difference exists.  </w:t>
      </w:r>
    </w:p>
    <w:p w:rsidR="00F16E72" w:rsidRDefault="00531887" w:rsidP="00C931C0">
      <w:pPr>
        <w:numPr>
          <w:ilvl w:val="0"/>
          <w:numId w:val="34"/>
        </w:numPr>
        <w:rPr>
          <w:sz w:val="24"/>
        </w:rPr>
        <w:sectPr w:rsidR="00F16E72">
          <w:pgSz w:w="12240" w:h="15840" w:code="1"/>
          <w:pgMar w:top="1440" w:right="1440" w:bottom="1440" w:left="1440" w:header="720" w:footer="720" w:gutter="0"/>
          <w:cols w:space="720"/>
        </w:sectPr>
      </w:pPr>
      <w:r>
        <w:rPr>
          <w:sz w:val="24"/>
        </w:rPr>
        <w:t>Make the necessary corrections</w:t>
      </w:r>
      <w:r w:rsidR="0024313B">
        <w:rPr>
          <w:sz w:val="24"/>
        </w:rPr>
        <w:t xml:space="preserve"> and post to period 13</w:t>
      </w:r>
      <w:r>
        <w:rPr>
          <w:sz w:val="24"/>
        </w:rPr>
        <w:t xml:space="preserve"> and reprocess the report.</w:t>
      </w:r>
    </w:p>
    <w:p w:rsidR="00470C5D" w:rsidRDefault="00572040" w:rsidP="00470C5D">
      <w:pPr>
        <w:pStyle w:val="Heading1"/>
      </w:pPr>
      <w:r>
        <w:lastRenderedPageBreak/>
        <w:tab/>
      </w:r>
      <w:r>
        <w:tab/>
      </w:r>
      <w:r>
        <w:tab/>
      </w:r>
      <w:r>
        <w:tab/>
      </w:r>
      <w:r>
        <w:tab/>
      </w:r>
      <w:bookmarkStart w:id="27" w:name="_Toc205360703"/>
      <w:r w:rsidR="00470C5D">
        <w:t>APPENDIX A</w:t>
      </w:r>
      <w:bookmarkEnd w:id="27"/>
    </w:p>
    <w:p w:rsidR="00470C5D" w:rsidRPr="00572040" w:rsidRDefault="00470C5D" w:rsidP="00470C5D">
      <w:pPr>
        <w:pStyle w:val="Heading2"/>
        <w:rPr>
          <w:caps/>
          <w:sz w:val="24"/>
          <w:szCs w:val="24"/>
        </w:rPr>
      </w:pPr>
      <w:bookmarkStart w:id="28" w:name="_Toc205360704"/>
      <w:r w:rsidRPr="00572040">
        <w:rPr>
          <w:caps/>
          <w:sz w:val="24"/>
          <w:szCs w:val="24"/>
        </w:rPr>
        <w:t>Generating a Fixed Asset History Report for Total Acquisition Cost</w:t>
      </w:r>
      <w:bookmarkEnd w:id="28"/>
    </w:p>
    <w:p w:rsidR="00E77BDA" w:rsidRDefault="00E77BDA" w:rsidP="00F16E72">
      <w:pPr>
        <w:rPr>
          <w:sz w:val="24"/>
        </w:rPr>
      </w:pPr>
    </w:p>
    <w:p w:rsidR="00F16E72" w:rsidRDefault="00CD696E" w:rsidP="00B10DE1">
      <w:pPr>
        <w:pStyle w:val="NoSpacing"/>
      </w:pPr>
      <w:r>
        <w:t>Select:</w:t>
      </w:r>
    </w:p>
    <w:p w:rsidR="00F16E72" w:rsidRPr="00CD696E" w:rsidRDefault="00CD696E" w:rsidP="00B10DE1">
      <w:pPr>
        <w:pStyle w:val="NoSpacing"/>
        <w:rPr>
          <w:i/>
        </w:rPr>
      </w:pPr>
      <w:r>
        <w:rPr>
          <w:i/>
        </w:rPr>
        <w:t>Financials &gt; Fixed Assets &gt; Inquiries and Reports &gt; Asset History by GL Account</w:t>
      </w:r>
    </w:p>
    <w:p w:rsidR="00F16E72" w:rsidRPr="00044B9F" w:rsidRDefault="00F16E72" w:rsidP="00470C5D">
      <w:pPr>
        <w:numPr>
          <w:ilvl w:val="0"/>
          <w:numId w:val="36"/>
        </w:numPr>
        <w:rPr>
          <w:sz w:val="24"/>
        </w:rPr>
      </w:pPr>
      <w:r w:rsidRPr="00044B9F">
        <w:rPr>
          <w:sz w:val="24"/>
        </w:rPr>
        <w:t xml:space="preserve">Select </w:t>
      </w:r>
      <w:r w:rsidRPr="00633BFC">
        <w:rPr>
          <w:b/>
          <w:sz w:val="24"/>
        </w:rPr>
        <w:t>S</w:t>
      </w:r>
      <w:r w:rsidR="00B40BFA">
        <w:rPr>
          <w:b/>
          <w:sz w:val="24"/>
        </w:rPr>
        <w:t>e</w:t>
      </w:r>
      <w:r w:rsidRPr="00633BFC">
        <w:rPr>
          <w:b/>
          <w:sz w:val="24"/>
        </w:rPr>
        <w:t>g</w:t>
      </w:r>
      <w:r>
        <w:rPr>
          <w:b/>
          <w:sz w:val="24"/>
        </w:rPr>
        <w:t xml:space="preserve"> F</w:t>
      </w:r>
      <w:r w:rsidRPr="00633BFC">
        <w:rPr>
          <w:b/>
          <w:sz w:val="24"/>
        </w:rPr>
        <w:t>ind</w:t>
      </w:r>
      <w:r w:rsidRPr="00044B9F">
        <w:rPr>
          <w:sz w:val="24"/>
        </w:rPr>
        <w:t xml:space="preserve"> </w:t>
      </w:r>
    </w:p>
    <w:p w:rsidR="00F16E72" w:rsidRPr="00044B9F" w:rsidRDefault="00F16E72" w:rsidP="00F16E72">
      <w:pPr>
        <w:numPr>
          <w:ilvl w:val="1"/>
          <w:numId w:val="36"/>
        </w:numPr>
        <w:rPr>
          <w:sz w:val="24"/>
        </w:rPr>
      </w:pPr>
      <w:r w:rsidRPr="00044B9F">
        <w:rPr>
          <w:sz w:val="24"/>
        </w:rPr>
        <w:t xml:space="preserve">Enter </w:t>
      </w:r>
      <w:r w:rsidRPr="00633BFC">
        <w:rPr>
          <w:b/>
          <w:sz w:val="24"/>
        </w:rPr>
        <w:t>62</w:t>
      </w:r>
      <w:r>
        <w:rPr>
          <w:b/>
          <w:sz w:val="24"/>
        </w:rPr>
        <w:t>?1</w:t>
      </w:r>
      <w:r w:rsidRPr="00044B9F">
        <w:rPr>
          <w:sz w:val="24"/>
        </w:rPr>
        <w:t xml:space="preserve"> in </w:t>
      </w:r>
      <w:r>
        <w:rPr>
          <w:sz w:val="24"/>
        </w:rPr>
        <w:t xml:space="preserve">the </w:t>
      </w:r>
      <w:r w:rsidRPr="00633BFC">
        <w:rPr>
          <w:sz w:val="24"/>
          <w:u w:val="single"/>
        </w:rPr>
        <w:t>Object</w:t>
      </w:r>
      <w:r w:rsidR="00941FD2">
        <w:rPr>
          <w:sz w:val="24"/>
        </w:rPr>
        <w:t xml:space="preserve"> </w:t>
      </w:r>
      <w:r w:rsidRPr="00044B9F">
        <w:rPr>
          <w:sz w:val="24"/>
        </w:rPr>
        <w:t xml:space="preserve">field </w:t>
      </w:r>
    </w:p>
    <w:p w:rsidR="00F16E72" w:rsidRPr="00044B9F" w:rsidRDefault="00F16E72" w:rsidP="00F16E72">
      <w:pPr>
        <w:numPr>
          <w:ilvl w:val="2"/>
          <w:numId w:val="36"/>
        </w:numPr>
        <w:rPr>
          <w:sz w:val="24"/>
        </w:rPr>
      </w:pPr>
      <w:r w:rsidRPr="00044B9F">
        <w:rPr>
          <w:sz w:val="24"/>
        </w:rPr>
        <w:t xml:space="preserve">Select </w:t>
      </w:r>
      <w:r w:rsidR="00B10DE1">
        <w:rPr>
          <w:noProof/>
        </w:rPr>
        <w:drawing>
          <wp:inline distT="0" distB="0" distL="0" distR="0" wp14:anchorId="24B9B9C9" wp14:editId="04191729">
            <wp:extent cx="181000" cy="16194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0A80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B9F">
        <w:rPr>
          <w:sz w:val="24"/>
        </w:rPr>
        <w:t xml:space="preserve"> </w:t>
      </w:r>
    </w:p>
    <w:p w:rsidR="00F16E72" w:rsidRDefault="00F16E72" w:rsidP="00F16E72">
      <w:pPr>
        <w:numPr>
          <w:ilvl w:val="1"/>
          <w:numId w:val="36"/>
        </w:numPr>
        <w:rPr>
          <w:sz w:val="24"/>
        </w:rPr>
      </w:pPr>
      <w:r w:rsidRPr="00044B9F">
        <w:rPr>
          <w:sz w:val="24"/>
        </w:rPr>
        <w:t xml:space="preserve">Select </w:t>
      </w:r>
      <w:r w:rsidRPr="00633BFC">
        <w:rPr>
          <w:b/>
          <w:sz w:val="24"/>
        </w:rPr>
        <w:t>Define</w:t>
      </w:r>
    </w:p>
    <w:p w:rsidR="00F16E72" w:rsidRPr="00044B9F" w:rsidRDefault="00F16E72" w:rsidP="00F16E72">
      <w:pPr>
        <w:numPr>
          <w:ilvl w:val="2"/>
          <w:numId w:val="36"/>
        </w:numPr>
        <w:rPr>
          <w:sz w:val="24"/>
        </w:rPr>
      </w:pPr>
      <w:r w:rsidRPr="00044B9F">
        <w:rPr>
          <w:sz w:val="24"/>
        </w:rPr>
        <w:t xml:space="preserve">Enter </w:t>
      </w:r>
      <w:r w:rsidR="00B10DE1">
        <w:rPr>
          <w:b/>
          <w:sz w:val="24"/>
        </w:rPr>
        <w:t>2002/01-20X</w:t>
      </w:r>
      <w:r w:rsidRPr="00633BFC">
        <w:rPr>
          <w:b/>
          <w:sz w:val="24"/>
        </w:rPr>
        <w:t>X/13</w:t>
      </w:r>
      <w:r w:rsidRPr="00044B9F">
        <w:rPr>
          <w:sz w:val="24"/>
        </w:rPr>
        <w:t xml:space="preserve"> in </w:t>
      </w:r>
      <w:r w:rsidRPr="00633BFC">
        <w:rPr>
          <w:sz w:val="24"/>
          <w:u w:val="single"/>
        </w:rPr>
        <w:t>Y</w:t>
      </w:r>
      <w:r>
        <w:rPr>
          <w:sz w:val="24"/>
          <w:u w:val="single"/>
        </w:rPr>
        <w:t>ea</w:t>
      </w:r>
      <w:r w:rsidRPr="00633BFC">
        <w:rPr>
          <w:sz w:val="24"/>
          <w:u w:val="single"/>
        </w:rPr>
        <w:t>r/</w:t>
      </w:r>
      <w:r>
        <w:rPr>
          <w:sz w:val="24"/>
          <w:u w:val="single"/>
        </w:rPr>
        <w:t>p</w:t>
      </w:r>
      <w:r w:rsidRPr="00633BFC">
        <w:rPr>
          <w:sz w:val="24"/>
          <w:u w:val="single"/>
        </w:rPr>
        <w:t xml:space="preserve">eriod </w:t>
      </w:r>
      <w:r w:rsidRPr="00633BFC">
        <w:rPr>
          <w:sz w:val="24"/>
        </w:rPr>
        <w:t xml:space="preserve">field </w:t>
      </w:r>
      <w:r>
        <w:rPr>
          <w:sz w:val="24"/>
        </w:rPr>
        <w:t xml:space="preserve"> (where </w:t>
      </w:r>
      <w:r w:rsidR="00B10DE1">
        <w:rPr>
          <w:sz w:val="24"/>
        </w:rPr>
        <w:t>X</w:t>
      </w:r>
      <w:r>
        <w:rPr>
          <w:sz w:val="24"/>
        </w:rPr>
        <w:t>X=fiscal year reporting through)</w:t>
      </w:r>
    </w:p>
    <w:p w:rsidR="00F16E72" w:rsidRDefault="00F16E72" w:rsidP="00F16E72">
      <w:pPr>
        <w:numPr>
          <w:ilvl w:val="2"/>
          <w:numId w:val="36"/>
        </w:numPr>
        <w:rPr>
          <w:sz w:val="24"/>
        </w:rPr>
      </w:pPr>
      <w:r w:rsidRPr="00044B9F">
        <w:rPr>
          <w:sz w:val="24"/>
        </w:rPr>
        <w:t xml:space="preserve">Enter </w:t>
      </w:r>
      <w:r w:rsidRPr="00633BFC">
        <w:rPr>
          <w:b/>
          <w:sz w:val="24"/>
        </w:rPr>
        <w:t>07/01/2001</w:t>
      </w:r>
      <w:r w:rsidRPr="00044B9F">
        <w:rPr>
          <w:sz w:val="24"/>
        </w:rPr>
        <w:t xml:space="preserve"> to </w:t>
      </w:r>
      <w:r w:rsidRPr="00633BFC">
        <w:rPr>
          <w:b/>
          <w:sz w:val="24"/>
        </w:rPr>
        <w:t>CURRENT DATE</w:t>
      </w:r>
      <w:r>
        <w:rPr>
          <w:sz w:val="24"/>
        </w:rPr>
        <w:t xml:space="preserve"> </w:t>
      </w:r>
      <w:r w:rsidRPr="00044B9F">
        <w:rPr>
          <w:sz w:val="24"/>
        </w:rPr>
        <w:t xml:space="preserve">in </w:t>
      </w:r>
      <w:r>
        <w:rPr>
          <w:sz w:val="24"/>
        </w:rPr>
        <w:t xml:space="preserve">the </w:t>
      </w:r>
      <w:r w:rsidRPr="00633BFC">
        <w:rPr>
          <w:sz w:val="24"/>
          <w:u w:val="single"/>
        </w:rPr>
        <w:t xml:space="preserve">Effective </w:t>
      </w:r>
      <w:r>
        <w:rPr>
          <w:sz w:val="24"/>
          <w:u w:val="single"/>
        </w:rPr>
        <w:t>d</w:t>
      </w:r>
      <w:r w:rsidRPr="00633BFC">
        <w:rPr>
          <w:sz w:val="24"/>
          <w:u w:val="single"/>
        </w:rPr>
        <w:t>ate</w:t>
      </w:r>
      <w:r w:rsidRPr="00044B9F">
        <w:rPr>
          <w:sz w:val="24"/>
        </w:rPr>
        <w:t xml:space="preserve"> field</w:t>
      </w:r>
      <w:r>
        <w:rPr>
          <w:sz w:val="24"/>
        </w:rPr>
        <w:t>s</w:t>
      </w:r>
    </w:p>
    <w:p w:rsidR="00F16E72" w:rsidRPr="00044B9F" w:rsidRDefault="00F16E72" w:rsidP="00F16E72">
      <w:pPr>
        <w:numPr>
          <w:ilvl w:val="2"/>
          <w:numId w:val="36"/>
        </w:numPr>
        <w:rPr>
          <w:sz w:val="24"/>
        </w:rPr>
      </w:pPr>
      <w:r w:rsidRPr="00044B9F">
        <w:rPr>
          <w:sz w:val="24"/>
        </w:rPr>
        <w:t xml:space="preserve">Check the boxes </w:t>
      </w:r>
    </w:p>
    <w:p w:rsidR="00F16E72" w:rsidRPr="001542EE" w:rsidRDefault="00F16E72" w:rsidP="00F16E72">
      <w:pPr>
        <w:ind w:left="1080"/>
        <w:rPr>
          <w:b/>
          <w:sz w:val="24"/>
        </w:rPr>
      </w:pPr>
      <w:r>
        <w:rPr>
          <w:b/>
          <w:sz w:val="24"/>
        </w:rPr>
        <w:tab/>
      </w:r>
      <w:r w:rsidRPr="001542EE">
        <w:rPr>
          <w:b/>
          <w:sz w:val="24"/>
        </w:rPr>
        <w:t>Totals by account</w:t>
      </w:r>
    </w:p>
    <w:p w:rsidR="00F16E72" w:rsidRPr="00B10DE1" w:rsidRDefault="00F16E72" w:rsidP="00B10DE1">
      <w:pPr>
        <w:ind w:left="720"/>
        <w:rPr>
          <w:b/>
          <w:sz w:val="24"/>
        </w:rPr>
      </w:pPr>
      <w:r>
        <w:rPr>
          <w:b/>
          <w:sz w:val="24"/>
        </w:rPr>
        <w:tab/>
      </w:r>
      <w:r w:rsidRPr="001542EE">
        <w:rPr>
          <w:b/>
          <w:sz w:val="24"/>
        </w:rPr>
        <w:t xml:space="preserve">Totals </w:t>
      </w:r>
      <w:r>
        <w:rPr>
          <w:b/>
          <w:sz w:val="24"/>
        </w:rPr>
        <w:t>o</w:t>
      </w:r>
      <w:r w:rsidRPr="001542EE">
        <w:rPr>
          <w:b/>
          <w:sz w:val="24"/>
        </w:rPr>
        <w:t>nly</w:t>
      </w:r>
      <w:r w:rsidRPr="00904FC6">
        <w:rPr>
          <w:b/>
          <w:sz w:val="24"/>
        </w:rPr>
        <w:t xml:space="preserve"> </w:t>
      </w:r>
    </w:p>
    <w:p w:rsidR="00F16E72" w:rsidRPr="00C931C0" w:rsidRDefault="00F16E72" w:rsidP="00F16E72">
      <w:pPr>
        <w:rPr>
          <w:i/>
          <w:sz w:val="24"/>
        </w:rPr>
      </w:pPr>
      <w:r w:rsidRPr="00C931C0">
        <w:rPr>
          <w:i/>
          <w:sz w:val="24"/>
        </w:rPr>
        <w:t xml:space="preserve">The screen </w:t>
      </w:r>
      <w:r w:rsidR="00391B43">
        <w:rPr>
          <w:i/>
          <w:sz w:val="24"/>
        </w:rPr>
        <w:t>should</w:t>
      </w:r>
      <w:r w:rsidRPr="00C931C0">
        <w:rPr>
          <w:i/>
          <w:sz w:val="24"/>
        </w:rPr>
        <w:t xml:space="preserve"> appear</w:t>
      </w:r>
      <w:r w:rsidR="00391B43">
        <w:rPr>
          <w:i/>
          <w:sz w:val="24"/>
        </w:rPr>
        <w:t xml:space="preserve"> as follows</w:t>
      </w:r>
      <w:r>
        <w:rPr>
          <w:i/>
          <w:sz w:val="24"/>
        </w:rPr>
        <w:t>:</w:t>
      </w:r>
    </w:p>
    <w:p w:rsidR="00F16E72" w:rsidRDefault="00096263" w:rsidP="00F16E7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339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8565B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72" w:rsidRDefault="00F16E72" w:rsidP="00F16E72">
      <w:pPr>
        <w:numPr>
          <w:ilvl w:val="0"/>
          <w:numId w:val="36"/>
        </w:numPr>
        <w:rPr>
          <w:sz w:val="24"/>
        </w:rPr>
      </w:pPr>
      <w:r w:rsidRPr="00044B9F">
        <w:rPr>
          <w:sz w:val="24"/>
        </w:rPr>
        <w:lastRenderedPageBreak/>
        <w:t xml:space="preserve">Select </w:t>
      </w:r>
      <w:r w:rsidR="00096263">
        <w:rPr>
          <w:noProof/>
          <w:sz w:val="24"/>
        </w:rPr>
        <w:drawing>
          <wp:inline distT="0" distB="0" distL="0" distR="0">
            <wp:extent cx="238158" cy="219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8CA73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</w:t>
      </w:r>
    </w:p>
    <w:p w:rsidR="00F16E72" w:rsidRPr="00904FC6" w:rsidRDefault="00F16E72" w:rsidP="00F16E72">
      <w:pPr>
        <w:numPr>
          <w:ilvl w:val="0"/>
          <w:numId w:val="36"/>
        </w:numPr>
        <w:rPr>
          <w:sz w:val="24"/>
        </w:rPr>
      </w:pPr>
      <w:r w:rsidRPr="00044B9F">
        <w:rPr>
          <w:sz w:val="24"/>
        </w:rPr>
        <w:t xml:space="preserve">Select </w:t>
      </w:r>
      <w:r w:rsidRPr="001542EE">
        <w:rPr>
          <w:b/>
          <w:sz w:val="24"/>
        </w:rPr>
        <w:t>Process</w:t>
      </w:r>
    </w:p>
    <w:p w:rsidR="00F16E72" w:rsidRPr="00F751E4" w:rsidRDefault="00F16E72" w:rsidP="00F16E72">
      <w:pPr>
        <w:numPr>
          <w:ilvl w:val="0"/>
          <w:numId w:val="36"/>
        </w:numPr>
        <w:rPr>
          <w:sz w:val="24"/>
        </w:rPr>
      </w:pPr>
      <w:r w:rsidRPr="00044B9F">
        <w:rPr>
          <w:sz w:val="24"/>
        </w:rPr>
        <w:t xml:space="preserve">Select </w:t>
      </w:r>
      <w:r w:rsidR="00096263">
        <w:rPr>
          <w:sz w:val="24"/>
        </w:rPr>
        <w:t xml:space="preserve">desired option to view report: print </w:t>
      </w:r>
      <w:r w:rsidR="00096263">
        <w:rPr>
          <w:noProof/>
          <w:sz w:val="24"/>
        </w:rPr>
        <w:drawing>
          <wp:inline distT="0" distB="0" distL="0" distR="0">
            <wp:extent cx="209579" cy="2381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8E18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263">
        <w:rPr>
          <w:sz w:val="24"/>
        </w:rPr>
        <w:t xml:space="preserve">, display </w:t>
      </w:r>
      <w:r w:rsidR="00096263">
        <w:rPr>
          <w:noProof/>
          <w:sz w:val="24"/>
        </w:rPr>
        <w:drawing>
          <wp:inline distT="0" distB="0" distL="0" distR="0">
            <wp:extent cx="209579" cy="24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81911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263">
        <w:rPr>
          <w:sz w:val="24"/>
        </w:rPr>
        <w:t xml:space="preserve">, PDF </w:t>
      </w:r>
      <w:r w:rsidR="00096263">
        <w:rPr>
          <w:noProof/>
          <w:sz w:val="24"/>
        </w:rPr>
        <w:drawing>
          <wp:inline distT="0" distB="0" distL="0" distR="0">
            <wp:extent cx="190527" cy="24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841F5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263">
        <w:rPr>
          <w:sz w:val="24"/>
        </w:rPr>
        <w:t xml:space="preserve"> or Excel </w:t>
      </w:r>
      <w:r w:rsidR="00096263">
        <w:rPr>
          <w:noProof/>
          <w:sz w:val="24"/>
        </w:rPr>
        <w:drawing>
          <wp:inline distT="0" distB="0" distL="0" distR="0">
            <wp:extent cx="228632" cy="2095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8B67B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263">
        <w:rPr>
          <w:sz w:val="24"/>
        </w:rPr>
        <w:t>.</w:t>
      </w:r>
    </w:p>
    <w:p w:rsidR="00F16E72" w:rsidRPr="00C931C0" w:rsidRDefault="00941FD2" w:rsidP="00F16E72">
      <w:pPr>
        <w:rPr>
          <w:i/>
        </w:rPr>
      </w:pPr>
      <w:r>
        <w:rPr>
          <w:i/>
          <w:sz w:val="24"/>
        </w:rPr>
        <w:t>Sample report</w:t>
      </w:r>
      <w:r w:rsidR="00F16E72" w:rsidRPr="00C931C0">
        <w:rPr>
          <w:i/>
        </w:rPr>
        <w:t>:</w:t>
      </w:r>
    </w:p>
    <w:p w:rsidR="00F16E72" w:rsidRPr="007F0924" w:rsidRDefault="002C760D" w:rsidP="00F16E7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381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41317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E72" w:rsidRPr="007F0924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515" w:rsidRDefault="008D5515">
      <w:r>
        <w:separator/>
      </w:r>
    </w:p>
  </w:endnote>
  <w:endnote w:type="continuationSeparator" w:id="0">
    <w:p w:rsidR="008D5515" w:rsidRDefault="008D5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057" w:rsidRDefault="00197057">
    <w:pPr>
      <w:pStyle w:val="Footer"/>
      <w:jc w:val="right"/>
    </w:pPr>
  </w:p>
  <w:p w:rsidR="00197057" w:rsidRDefault="001970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A78" w:rsidRDefault="00327A78">
    <w:pPr>
      <w:pStyle w:val="Footer"/>
      <w:jc w:val="right"/>
    </w:pPr>
  </w:p>
  <w:p w:rsidR="00197057" w:rsidRDefault="001970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1398497"/>
      <w:docPartObj>
        <w:docPartGallery w:val="Page Numbers (Bottom of Page)"/>
        <w:docPartUnique/>
      </w:docPartObj>
    </w:sdtPr>
    <w:sdtEndPr/>
    <w:sdtContent>
      <w:p w:rsidR="00987E3C" w:rsidRDefault="00987E3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4B1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E82942" w:rsidRPr="005A03BE" w:rsidRDefault="00E8294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0831017"/>
      <w:docPartObj>
        <w:docPartGallery w:val="Page Numbers (Bottom of Page)"/>
        <w:docPartUnique/>
      </w:docPartObj>
    </w:sdtPr>
    <w:sdtEndPr/>
    <w:sdtContent>
      <w:p w:rsidR="00327A78" w:rsidRDefault="00327A7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4B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327A78" w:rsidRDefault="00327A7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920673"/>
      <w:docPartObj>
        <w:docPartGallery w:val="Page Numbers (Bottom of Page)"/>
        <w:docPartUnique/>
      </w:docPartObj>
    </w:sdtPr>
    <w:sdtEndPr/>
    <w:sdtContent>
      <w:p w:rsidR="00197057" w:rsidRDefault="0019705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4B1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E82942" w:rsidRDefault="00E82942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515" w:rsidRDefault="008D5515">
      <w:r>
        <w:separator/>
      </w:r>
    </w:p>
  </w:footnote>
  <w:footnote w:type="continuationSeparator" w:id="0">
    <w:p w:rsidR="008D5515" w:rsidRDefault="008D55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3BE" w:rsidRPr="009740BD" w:rsidRDefault="005A03BE" w:rsidP="005A03BE">
    <w:pPr>
      <w:pStyle w:val="Header"/>
      <w:rPr>
        <w:b/>
        <w:bCs/>
      </w:rPr>
    </w:pPr>
    <w:r>
      <w:rPr>
        <w:b/>
        <w:bCs/>
      </w:rPr>
      <w:t xml:space="preserve">MUNIS® </w:t>
    </w:r>
    <w:r>
      <w:rPr>
        <w:b/>
        <w:bCs/>
      </w:rPr>
      <w:tab/>
    </w:r>
    <w:r>
      <w:rPr>
        <w:b/>
        <w:bCs/>
      </w:rPr>
      <w:tab/>
    </w:r>
    <w:r w:rsidR="00E96686">
      <w:rPr>
        <w:b/>
        <w:bCs/>
      </w:rPr>
      <w:t>Fixed Assets Depreciation Schedule</w:t>
    </w:r>
  </w:p>
  <w:p w:rsidR="00E82942" w:rsidRPr="005A03BE" w:rsidRDefault="00E82942" w:rsidP="005A03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25EB62A"/>
    <w:lvl w:ilvl="0">
      <w:numFmt w:val="bullet"/>
      <w:lvlText w:val="*"/>
      <w:lvlJc w:val="left"/>
    </w:lvl>
  </w:abstractNum>
  <w:abstractNum w:abstractNumId="1">
    <w:nsid w:val="098E46D9"/>
    <w:multiLevelType w:val="hybridMultilevel"/>
    <w:tmpl w:val="C932009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670496"/>
    <w:multiLevelType w:val="singleLevel"/>
    <w:tmpl w:val="1F685E6A"/>
    <w:lvl w:ilvl="0">
      <w:start w:val="7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0E116213"/>
    <w:multiLevelType w:val="singleLevel"/>
    <w:tmpl w:val="8D58D862"/>
    <w:lvl w:ilvl="0">
      <w:start w:val="4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147C0513"/>
    <w:multiLevelType w:val="singleLevel"/>
    <w:tmpl w:val="9724A73C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16BD169C"/>
    <w:multiLevelType w:val="multilevel"/>
    <w:tmpl w:val="B71C45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16D5279E"/>
    <w:multiLevelType w:val="multilevel"/>
    <w:tmpl w:val="F04EA1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C1756B3"/>
    <w:multiLevelType w:val="singleLevel"/>
    <w:tmpl w:val="541E9AE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1D7C63CF"/>
    <w:multiLevelType w:val="singleLevel"/>
    <w:tmpl w:val="EA40189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2EB05C9E"/>
    <w:multiLevelType w:val="multilevel"/>
    <w:tmpl w:val="19CE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117EBE"/>
    <w:multiLevelType w:val="singleLevel"/>
    <w:tmpl w:val="38940F34"/>
    <w:lvl w:ilvl="0">
      <w:start w:val="1"/>
      <w:numFmt w:val="upperLetter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1">
    <w:nsid w:val="330D3C7A"/>
    <w:multiLevelType w:val="multilevel"/>
    <w:tmpl w:val="3170EF4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3C01A98"/>
    <w:multiLevelType w:val="multilevel"/>
    <w:tmpl w:val="B71C45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3A631DF5"/>
    <w:multiLevelType w:val="hybridMultilevel"/>
    <w:tmpl w:val="BC7C8936"/>
    <w:lvl w:ilvl="0" w:tplc="61788C4C">
      <w:start w:val="6"/>
      <w:numFmt w:val="decimal"/>
      <w:lvlText w:val="%1."/>
      <w:lvlJc w:val="left"/>
      <w:pPr>
        <w:tabs>
          <w:tab w:val="num" w:pos="-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48F7439"/>
    <w:multiLevelType w:val="multilevel"/>
    <w:tmpl w:val="B71C45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44B22D2D"/>
    <w:multiLevelType w:val="hybridMultilevel"/>
    <w:tmpl w:val="A652257A"/>
    <w:lvl w:ilvl="0" w:tplc="EA40189E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99F120E"/>
    <w:multiLevelType w:val="hybridMultilevel"/>
    <w:tmpl w:val="F4F03CF4"/>
    <w:lvl w:ilvl="0" w:tplc="6DAE3E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C8837F0"/>
    <w:multiLevelType w:val="singleLevel"/>
    <w:tmpl w:val="4A40CB7E"/>
    <w:lvl w:ilvl="0">
      <w:start w:val="8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>
    <w:nsid w:val="500E733B"/>
    <w:multiLevelType w:val="singleLevel"/>
    <w:tmpl w:val="EA40189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17A7A94"/>
    <w:multiLevelType w:val="multilevel"/>
    <w:tmpl w:val="F4F03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5124BD2"/>
    <w:multiLevelType w:val="multilevel"/>
    <w:tmpl w:val="E81C3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21754F"/>
    <w:multiLevelType w:val="singleLevel"/>
    <w:tmpl w:val="EA40189E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2">
    <w:nsid w:val="5765160A"/>
    <w:multiLevelType w:val="singleLevel"/>
    <w:tmpl w:val="88C429AA"/>
    <w:lvl w:ilvl="0">
      <w:start w:val="2"/>
      <w:numFmt w:val="upperLetter"/>
      <w:lvlText w:val="%1) 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3">
    <w:nsid w:val="59026F5F"/>
    <w:multiLevelType w:val="hybridMultilevel"/>
    <w:tmpl w:val="B8040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11B0EEB"/>
    <w:multiLevelType w:val="multilevel"/>
    <w:tmpl w:val="A7C47C2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>
    <w:nsid w:val="64FE1F10"/>
    <w:multiLevelType w:val="multilevel"/>
    <w:tmpl w:val="B71C45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6841425D"/>
    <w:multiLevelType w:val="singleLevel"/>
    <w:tmpl w:val="541E9AEC"/>
    <w:lvl w:ilvl="0">
      <w:start w:val="6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>
    <w:nsid w:val="685C5551"/>
    <w:multiLevelType w:val="singleLevel"/>
    <w:tmpl w:val="EA40189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>
    <w:nsid w:val="6E964BBC"/>
    <w:multiLevelType w:val="hybridMultilevel"/>
    <w:tmpl w:val="7A6AC9A0"/>
    <w:lvl w:ilvl="0" w:tplc="EA40189E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EAA4C1F"/>
    <w:multiLevelType w:val="multilevel"/>
    <w:tmpl w:val="B71C45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>
    <w:nsid w:val="72DF2F1C"/>
    <w:multiLevelType w:val="multilevel"/>
    <w:tmpl w:val="B71C45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>
    <w:nsid w:val="7C9650D7"/>
    <w:multiLevelType w:val="multilevel"/>
    <w:tmpl w:val="B71C45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>
    <w:nsid w:val="7D6F63EE"/>
    <w:multiLevelType w:val="singleLevel"/>
    <w:tmpl w:val="DD686ADC"/>
    <w:lvl w:ilvl="0">
      <w:start w:val="5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8"/>
  </w:num>
  <w:num w:numId="2">
    <w:abstractNumId w:val="21"/>
  </w:num>
  <w:num w:numId="3">
    <w:abstractNumId w:val="10"/>
  </w:num>
  <w:num w:numId="4">
    <w:abstractNumId w:val="22"/>
  </w:num>
  <w:num w:numId="5">
    <w:abstractNumId w:val="27"/>
  </w:num>
  <w:num w:numId="6">
    <w:abstractNumId w:val="8"/>
  </w:num>
  <w:num w:numId="7">
    <w:abstractNumId w:val="4"/>
  </w:num>
  <w:num w:numId="8">
    <w:abstractNumId w:val="3"/>
  </w:num>
  <w:num w:numId="9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6"/>
  </w:num>
  <w:num w:numId="11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2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2"/>
  </w:num>
  <w:num w:numId="15">
    <w:abstractNumId w:val="17"/>
  </w:num>
  <w:num w:numId="16">
    <w:abstractNumId w:val="7"/>
  </w:num>
  <w:num w:numId="17">
    <w:abstractNumId w:val="28"/>
  </w:num>
  <w:num w:numId="18">
    <w:abstractNumId w:val="15"/>
  </w:num>
  <w:num w:numId="19">
    <w:abstractNumId w:val="13"/>
  </w:num>
  <w:num w:numId="20">
    <w:abstractNumId w:val="20"/>
  </w:num>
  <w:num w:numId="21">
    <w:abstractNumId w:val="1"/>
  </w:num>
  <w:num w:numId="22">
    <w:abstractNumId w:val="9"/>
  </w:num>
  <w:num w:numId="23">
    <w:abstractNumId w:val="1"/>
  </w:num>
  <w:num w:numId="24">
    <w:abstractNumId w:val="16"/>
  </w:num>
  <w:num w:numId="25">
    <w:abstractNumId w:val="5"/>
  </w:num>
  <w:num w:numId="26">
    <w:abstractNumId w:val="11"/>
  </w:num>
  <w:num w:numId="27">
    <w:abstractNumId w:val="19"/>
  </w:num>
  <w:num w:numId="28">
    <w:abstractNumId w:val="14"/>
  </w:num>
  <w:num w:numId="29">
    <w:abstractNumId w:val="30"/>
  </w:num>
  <w:num w:numId="30">
    <w:abstractNumId w:val="31"/>
  </w:num>
  <w:num w:numId="31">
    <w:abstractNumId w:val="12"/>
  </w:num>
  <w:num w:numId="32">
    <w:abstractNumId w:val="25"/>
  </w:num>
  <w:num w:numId="33">
    <w:abstractNumId w:val="23"/>
  </w:num>
  <w:num w:numId="34">
    <w:abstractNumId w:val="6"/>
  </w:num>
  <w:num w:numId="35">
    <w:abstractNumId w:val="24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908"/>
    <w:rsid w:val="00020D5E"/>
    <w:rsid w:val="00044B9F"/>
    <w:rsid w:val="00045167"/>
    <w:rsid w:val="00045E5F"/>
    <w:rsid w:val="00055A42"/>
    <w:rsid w:val="0006340E"/>
    <w:rsid w:val="00091CDC"/>
    <w:rsid w:val="00096263"/>
    <w:rsid w:val="000D5CB8"/>
    <w:rsid w:val="000E54C2"/>
    <w:rsid w:val="001065AC"/>
    <w:rsid w:val="00114679"/>
    <w:rsid w:val="00114E15"/>
    <w:rsid w:val="001254D6"/>
    <w:rsid w:val="00127EEA"/>
    <w:rsid w:val="001411D7"/>
    <w:rsid w:val="0015161D"/>
    <w:rsid w:val="001542EE"/>
    <w:rsid w:val="00154924"/>
    <w:rsid w:val="00173522"/>
    <w:rsid w:val="001737F8"/>
    <w:rsid w:val="00177382"/>
    <w:rsid w:val="00190873"/>
    <w:rsid w:val="00191C56"/>
    <w:rsid w:val="00197057"/>
    <w:rsid w:val="001A1252"/>
    <w:rsid w:val="001E2747"/>
    <w:rsid w:val="001F5006"/>
    <w:rsid w:val="001F6928"/>
    <w:rsid w:val="00210EAB"/>
    <w:rsid w:val="002115EE"/>
    <w:rsid w:val="00220030"/>
    <w:rsid w:val="0022515B"/>
    <w:rsid w:val="00230CE5"/>
    <w:rsid w:val="0023161E"/>
    <w:rsid w:val="00234D3C"/>
    <w:rsid w:val="0024313B"/>
    <w:rsid w:val="00250BC8"/>
    <w:rsid w:val="00280CEF"/>
    <w:rsid w:val="00297600"/>
    <w:rsid w:val="0029771C"/>
    <w:rsid w:val="002A045C"/>
    <w:rsid w:val="002A3FDF"/>
    <w:rsid w:val="002B1BB4"/>
    <w:rsid w:val="002B4175"/>
    <w:rsid w:val="002B4E57"/>
    <w:rsid w:val="002C760D"/>
    <w:rsid w:val="002D7756"/>
    <w:rsid w:val="002E0C2E"/>
    <w:rsid w:val="002E148C"/>
    <w:rsid w:val="002E24F5"/>
    <w:rsid w:val="002E287D"/>
    <w:rsid w:val="002E7E73"/>
    <w:rsid w:val="003059E8"/>
    <w:rsid w:val="003168AC"/>
    <w:rsid w:val="00322312"/>
    <w:rsid w:val="00327A78"/>
    <w:rsid w:val="003469F4"/>
    <w:rsid w:val="00370C17"/>
    <w:rsid w:val="00374795"/>
    <w:rsid w:val="00391B43"/>
    <w:rsid w:val="003961E9"/>
    <w:rsid w:val="00396330"/>
    <w:rsid w:val="00396EF1"/>
    <w:rsid w:val="003A1C55"/>
    <w:rsid w:val="003B2908"/>
    <w:rsid w:val="003B7E7E"/>
    <w:rsid w:val="003C5307"/>
    <w:rsid w:val="003E1160"/>
    <w:rsid w:val="004004C3"/>
    <w:rsid w:val="00416A43"/>
    <w:rsid w:val="00432BCF"/>
    <w:rsid w:val="00442E92"/>
    <w:rsid w:val="00451F01"/>
    <w:rsid w:val="00470C5D"/>
    <w:rsid w:val="00475068"/>
    <w:rsid w:val="00485343"/>
    <w:rsid w:val="004857FD"/>
    <w:rsid w:val="004965FC"/>
    <w:rsid w:val="004A5DA4"/>
    <w:rsid w:val="004B293B"/>
    <w:rsid w:val="004B5B5F"/>
    <w:rsid w:val="004C6634"/>
    <w:rsid w:val="004D2624"/>
    <w:rsid w:val="004D6B18"/>
    <w:rsid w:val="004E48BD"/>
    <w:rsid w:val="00505387"/>
    <w:rsid w:val="00531887"/>
    <w:rsid w:val="00554923"/>
    <w:rsid w:val="00556EF3"/>
    <w:rsid w:val="00572040"/>
    <w:rsid w:val="00582C1C"/>
    <w:rsid w:val="005A03BE"/>
    <w:rsid w:val="005A059B"/>
    <w:rsid w:val="005B667A"/>
    <w:rsid w:val="005B79DD"/>
    <w:rsid w:val="005C2CDB"/>
    <w:rsid w:val="005C30DB"/>
    <w:rsid w:val="005E77B8"/>
    <w:rsid w:val="00605781"/>
    <w:rsid w:val="00607CC6"/>
    <w:rsid w:val="006118C2"/>
    <w:rsid w:val="006320F1"/>
    <w:rsid w:val="00633BFC"/>
    <w:rsid w:val="006351ED"/>
    <w:rsid w:val="006504C9"/>
    <w:rsid w:val="00651326"/>
    <w:rsid w:val="00660746"/>
    <w:rsid w:val="006A064B"/>
    <w:rsid w:val="006A090C"/>
    <w:rsid w:val="006A0C48"/>
    <w:rsid w:val="006A28FF"/>
    <w:rsid w:val="006B4043"/>
    <w:rsid w:val="006B4D31"/>
    <w:rsid w:val="006D2224"/>
    <w:rsid w:val="006E75E8"/>
    <w:rsid w:val="0072096E"/>
    <w:rsid w:val="00723751"/>
    <w:rsid w:val="0073608A"/>
    <w:rsid w:val="00740E2C"/>
    <w:rsid w:val="00754471"/>
    <w:rsid w:val="00754DA7"/>
    <w:rsid w:val="00756DB1"/>
    <w:rsid w:val="0075707B"/>
    <w:rsid w:val="0076399E"/>
    <w:rsid w:val="00786039"/>
    <w:rsid w:val="00787B2D"/>
    <w:rsid w:val="007C50FB"/>
    <w:rsid w:val="007E2766"/>
    <w:rsid w:val="007E277B"/>
    <w:rsid w:val="007F0924"/>
    <w:rsid w:val="00804495"/>
    <w:rsid w:val="00807F36"/>
    <w:rsid w:val="00813281"/>
    <w:rsid w:val="00833618"/>
    <w:rsid w:val="008412C1"/>
    <w:rsid w:val="00846E3C"/>
    <w:rsid w:val="00861F25"/>
    <w:rsid w:val="00863512"/>
    <w:rsid w:val="008663FA"/>
    <w:rsid w:val="008732BF"/>
    <w:rsid w:val="00880A72"/>
    <w:rsid w:val="00882BFF"/>
    <w:rsid w:val="008A339D"/>
    <w:rsid w:val="008A74CF"/>
    <w:rsid w:val="008B374D"/>
    <w:rsid w:val="008C3DB6"/>
    <w:rsid w:val="008D0DC8"/>
    <w:rsid w:val="008D5515"/>
    <w:rsid w:val="009009D9"/>
    <w:rsid w:val="00904FC6"/>
    <w:rsid w:val="00905478"/>
    <w:rsid w:val="0090660E"/>
    <w:rsid w:val="009074B1"/>
    <w:rsid w:val="00937D45"/>
    <w:rsid w:val="0094097A"/>
    <w:rsid w:val="00941FD2"/>
    <w:rsid w:val="00957346"/>
    <w:rsid w:val="00973F5F"/>
    <w:rsid w:val="009740BD"/>
    <w:rsid w:val="00983D35"/>
    <w:rsid w:val="009871AD"/>
    <w:rsid w:val="00987E3C"/>
    <w:rsid w:val="009A5424"/>
    <w:rsid w:val="009B2B51"/>
    <w:rsid w:val="009C6B06"/>
    <w:rsid w:val="009C70AE"/>
    <w:rsid w:val="009F40DE"/>
    <w:rsid w:val="00A17FC3"/>
    <w:rsid w:val="00A24C7C"/>
    <w:rsid w:val="00A36ADD"/>
    <w:rsid w:val="00A4443C"/>
    <w:rsid w:val="00A83775"/>
    <w:rsid w:val="00AA4FC1"/>
    <w:rsid w:val="00AC7D7E"/>
    <w:rsid w:val="00AF0BD7"/>
    <w:rsid w:val="00AF4A9A"/>
    <w:rsid w:val="00AF5D37"/>
    <w:rsid w:val="00AF6E6F"/>
    <w:rsid w:val="00B06AEC"/>
    <w:rsid w:val="00B10DE1"/>
    <w:rsid w:val="00B15353"/>
    <w:rsid w:val="00B224E5"/>
    <w:rsid w:val="00B37A27"/>
    <w:rsid w:val="00B40BFA"/>
    <w:rsid w:val="00B40E5A"/>
    <w:rsid w:val="00B54F0E"/>
    <w:rsid w:val="00B65EC0"/>
    <w:rsid w:val="00B67ED2"/>
    <w:rsid w:val="00B74636"/>
    <w:rsid w:val="00B77E09"/>
    <w:rsid w:val="00B83834"/>
    <w:rsid w:val="00BA33F4"/>
    <w:rsid w:val="00BA4E84"/>
    <w:rsid w:val="00BA5C73"/>
    <w:rsid w:val="00BA7396"/>
    <w:rsid w:val="00BB3CC1"/>
    <w:rsid w:val="00BB6D9F"/>
    <w:rsid w:val="00BC4ABB"/>
    <w:rsid w:val="00BD6ACB"/>
    <w:rsid w:val="00C25A07"/>
    <w:rsid w:val="00C2758D"/>
    <w:rsid w:val="00C34BE4"/>
    <w:rsid w:val="00C35557"/>
    <w:rsid w:val="00C524B6"/>
    <w:rsid w:val="00C54DCD"/>
    <w:rsid w:val="00C5582A"/>
    <w:rsid w:val="00C67F23"/>
    <w:rsid w:val="00C81A5A"/>
    <w:rsid w:val="00C855BA"/>
    <w:rsid w:val="00C931C0"/>
    <w:rsid w:val="00CA08D1"/>
    <w:rsid w:val="00CA14C3"/>
    <w:rsid w:val="00CB1D7F"/>
    <w:rsid w:val="00CD57A7"/>
    <w:rsid w:val="00CD696E"/>
    <w:rsid w:val="00CE42CB"/>
    <w:rsid w:val="00CF2F9F"/>
    <w:rsid w:val="00D00186"/>
    <w:rsid w:val="00D01DC1"/>
    <w:rsid w:val="00D1742F"/>
    <w:rsid w:val="00D2527E"/>
    <w:rsid w:val="00D34C23"/>
    <w:rsid w:val="00D52D4A"/>
    <w:rsid w:val="00D63DEB"/>
    <w:rsid w:val="00D67D46"/>
    <w:rsid w:val="00D73A99"/>
    <w:rsid w:val="00D776D5"/>
    <w:rsid w:val="00D86F16"/>
    <w:rsid w:val="00D931BF"/>
    <w:rsid w:val="00D97088"/>
    <w:rsid w:val="00DE08F4"/>
    <w:rsid w:val="00E00718"/>
    <w:rsid w:val="00E04EA9"/>
    <w:rsid w:val="00E21C6A"/>
    <w:rsid w:val="00E261B4"/>
    <w:rsid w:val="00E30F02"/>
    <w:rsid w:val="00E435E8"/>
    <w:rsid w:val="00E632F7"/>
    <w:rsid w:val="00E753F2"/>
    <w:rsid w:val="00E77BDA"/>
    <w:rsid w:val="00E77C84"/>
    <w:rsid w:val="00E82942"/>
    <w:rsid w:val="00E930CB"/>
    <w:rsid w:val="00E96686"/>
    <w:rsid w:val="00ED2833"/>
    <w:rsid w:val="00EE5218"/>
    <w:rsid w:val="00F16AC7"/>
    <w:rsid w:val="00F16E72"/>
    <w:rsid w:val="00F210D8"/>
    <w:rsid w:val="00F37772"/>
    <w:rsid w:val="00F442FE"/>
    <w:rsid w:val="00F52C4E"/>
    <w:rsid w:val="00F5424C"/>
    <w:rsid w:val="00F549B3"/>
    <w:rsid w:val="00F645D2"/>
    <w:rsid w:val="00F751E4"/>
    <w:rsid w:val="00F75D5B"/>
    <w:rsid w:val="00F764F0"/>
    <w:rsid w:val="00F826A1"/>
    <w:rsid w:val="00F95356"/>
    <w:rsid w:val="00F96E82"/>
    <w:rsid w:val="00FA154D"/>
    <w:rsid w:val="00FC3312"/>
    <w:rsid w:val="00FD1F02"/>
    <w:rsid w:val="00F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1CDC"/>
  </w:style>
  <w:style w:type="paragraph" w:styleId="Heading1">
    <w:name w:val="heading 1"/>
    <w:basedOn w:val="Normal"/>
    <w:next w:val="Normal"/>
    <w:link w:val="Heading1Char"/>
    <w:uiPriority w:val="9"/>
    <w:qFormat/>
    <w:rsid w:val="00091C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C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C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C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C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C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CD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CD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CD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Sechead">
    <w:name w:val="Sec_head"/>
    <w:basedOn w:val="Normal"/>
    <w:pPr>
      <w:jc w:val="center"/>
    </w:pPr>
    <w:rPr>
      <w:b/>
      <w:caps/>
      <w:spacing w:val="20"/>
      <w:sz w:val="48"/>
    </w:rPr>
  </w:style>
  <w:style w:type="paragraph" w:customStyle="1" w:styleId="listnumbering1">
    <w:name w:val="list_numbering 1"/>
    <w:basedOn w:val="Normal"/>
    <w:pPr>
      <w:spacing w:before="100" w:after="100"/>
      <w:ind w:left="360" w:hanging="360"/>
    </w:pPr>
    <w:rPr>
      <w:sz w:val="24"/>
    </w:rPr>
  </w:style>
  <w:style w:type="paragraph" w:customStyle="1" w:styleId="listnumbering2">
    <w:name w:val="list_numbering 2"/>
    <w:basedOn w:val="Normal"/>
    <w:pPr>
      <w:spacing w:after="100"/>
      <w:ind w:left="2610" w:hanging="360"/>
    </w:pPr>
    <w:rPr>
      <w:sz w:val="24"/>
    </w:rPr>
  </w:style>
  <w:style w:type="paragraph" w:customStyle="1" w:styleId="menuopt5">
    <w:name w:val="menu_opt5"/>
    <w:basedOn w:val="menuopt4"/>
    <w:pPr>
      <w:ind w:left="1800"/>
    </w:pPr>
  </w:style>
  <w:style w:type="paragraph" w:customStyle="1" w:styleId="menuopt4">
    <w:name w:val="menu_opt4"/>
    <w:basedOn w:val="BodyText"/>
    <w:pPr>
      <w:ind w:left="1440" w:hanging="360"/>
    </w:pPr>
  </w:style>
  <w:style w:type="paragraph" w:styleId="BodyText">
    <w:name w:val="Body Text"/>
    <w:basedOn w:val="Normal"/>
    <w:link w:val="BodyTextChar"/>
    <w:pPr>
      <w:spacing w:after="100"/>
    </w:pPr>
    <w:rPr>
      <w:sz w:val="24"/>
    </w:rPr>
  </w:style>
  <w:style w:type="paragraph" w:customStyle="1" w:styleId="Notetxt">
    <w:name w:val="Note_txt"/>
    <w:basedOn w:val="Normal"/>
    <w:pPr>
      <w:tabs>
        <w:tab w:val="left" w:pos="720"/>
      </w:tabs>
      <w:spacing w:before="100" w:after="100"/>
      <w:ind w:left="1440" w:hanging="1440"/>
    </w:pPr>
    <w:rPr>
      <w:b/>
      <w:sz w:val="24"/>
    </w:rPr>
  </w:style>
  <w:style w:type="paragraph" w:customStyle="1" w:styleId="Menuopt1">
    <w:name w:val="Menu_opt1"/>
    <w:basedOn w:val="BodyText"/>
    <w:pPr>
      <w:ind w:left="360" w:hanging="360"/>
    </w:pPr>
  </w:style>
  <w:style w:type="paragraph" w:customStyle="1" w:styleId="menuopt3">
    <w:name w:val="menu_opt3"/>
    <w:basedOn w:val="BodyText"/>
    <w:pPr>
      <w:ind w:left="1080" w:hanging="360"/>
    </w:pPr>
  </w:style>
  <w:style w:type="paragraph" w:customStyle="1" w:styleId="menuopt2">
    <w:name w:val="menu_opt2"/>
    <w:basedOn w:val="Normal"/>
    <w:pPr>
      <w:spacing w:after="100"/>
      <w:ind w:left="720" w:hanging="360"/>
    </w:pPr>
    <w:rPr>
      <w:sz w:val="24"/>
    </w:rPr>
  </w:style>
  <w:style w:type="paragraph" w:customStyle="1" w:styleId="Ringopt">
    <w:name w:val="Ring_opt"/>
    <w:basedOn w:val="Normal"/>
    <w:pPr>
      <w:spacing w:after="100"/>
      <w:ind w:left="1440" w:hanging="360"/>
    </w:pPr>
    <w:rPr>
      <w:sz w:val="24"/>
    </w:rPr>
  </w:style>
  <w:style w:type="paragraph" w:customStyle="1" w:styleId="solution">
    <w:name w:val="solution"/>
    <w:basedOn w:val="Normal"/>
    <w:pPr>
      <w:spacing w:after="100"/>
      <w:ind w:left="1440" w:hanging="1440"/>
      <w:jc w:val="both"/>
    </w:pPr>
    <w:rPr>
      <w:b/>
      <w:sz w:val="24"/>
    </w:rPr>
  </w:style>
  <w:style w:type="paragraph" w:customStyle="1" w:styleId="Reason">
    <w:name w:val="Reason"/>
    <w:basedOn w:val="solution"/>
    <w:rPr>
      <w:b w:val="0"/>
    </w:rPr>
  </w:style>
  <w:style w:type="paragraph" w:styleId="TOC1">
    <w:name w:val="toc 1"/>
    <w:basedOn w:val="Normal"/>
    <w:next w:val="Normal"/>
    <w:semiHidden/>
    <w:pPr>
      <w:tabs>
        <w:tab w:val="right" w:leader="dot" w:pos="9000"/>
      </w:tabs>
      <w:spacing w:before="360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9000"/>
      </w:tabs>
      <w:spacing w:before="240"/>
      <w:ind w:left="200"/>
    </w:pPr>
    <w:rPr>
      <w:b/>
    </w:rPr>
  </w:style>
  <w:style w:type="paragraph" w:styleId="TOC3">
    <w:name w:val="toc 3"/>
    <w:basedOn w:val="Normal"/>
    <w:next w:val="Normal"/>
    <w:semiHidden/>
    <w:pPr>
      <w:tabs>
        <w:tab w:val="right" w:leader="dot" w:pos="9000"/>
      </w:tabs>
      <w:ind w:left="400"/>
    </w:pPr>
  </w:style>
  <w:style w:type="paragraph" w:styleId="TOC4">
    <w:name w:val="toc 4"/>
    <w:basedOn w:val="Normal"/>
    <w:next w:val="Normal"/>
    <w:semiHidden/>
    <w:pPr>
      <w:tabs>
        <w:tab w:val="right" w:leader="dot" w:pos="900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900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900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900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900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9000"/>
      </w:tabs>
      <w:ind w:left="1600"/>
    </w:pPr>
  </w:style>
  <w:style w:type="paragraph" w:customStyle="1" w:styleId="tochead">
    <w:name w:val="toc_head"/>
    <w:basedOn w:val="Sechead"/>
    <w:rPr>
      <w:sz w:val="40"/>
    </w:rPr>
  </w:style>
  <w:style w:type="paragraph" w:customStyle="1" w:styleId="Checklist">
    <w:name w:val="Check_list"/>
    <w:basedOn w:val="BodyText"/>
    <w:pPr>
      <w:ind w:left="1080" w:hanging="360"/>
    </w:pPr>
  </w:style>
  <w:style w:type="paragraph" w:customStyle="1" w:styleId="version">
    <w:name w:val="version"/>
    <w:basedOn w:val="Heading1"/>
    <w:pPr>
      <w:jc w:val="center"/>
      <w:outlineLvl w:val="9"/>
    </w:pPr>
  </w:style>
  <w:style w:type="paragraph" w:customStyle="1" w:styleId="ScreenSnap">
    <w:name w:val="Screen Snap"/>
    <w:basedOn w:val="Normal"/>
    <w:pPr>
      <w:pBdr>
        <w:top w:val="double" w:sz="12" w:space="1" w:color="auto"/>
        <w:left w:val="double" w:sz="12" w:space="1" w:color="auto"/>
        <w:bottom w:val="double" w:sz="12" w:space="1" w:color="auto"/>
        <w:right w:val="double" w:sz="12" w:space="1" w:color="auto"/>
      </w:pBdr>
      <w:tabs>
        <w:tab w:val="left" w:pos="-720"/>
      </w:tabs>
      <w:suppressAutoHyphens/>
    </w:pPr>
    <w:rPr>
      <w:rFonts w:ascii="Courier New" w:hAnsi="Courier New"/>
      <w:spacing w:val="20"/>
    </w:rPr>
  </w:style>
  <w:style w:type="paragraph" w:customStyle="1" w:styleId="Footer1">
    <w:name w:val="Footer1"/>
    <w:basedOn w:val="Footer"/>
    <w:pPr>
      <w:pBdr>
        <w:top w:val="single" w:sz="6" w:space="1" w:color="auto"/>
      </w:pBdr>
      <w:tabs>
        <w:tab w:val="clear" w:pos="4320"/>
        <w:tab w:val="clear" w:pos="8640"/>
        <w:tab w:val="right" w:pos="9000"/>
        <w:tab w:val="right" w:pos="9990"/>
      </w:tabs>
    </w:pPr>
    <w:rPr>
      <w:b/>
    </w:rPr>
  </w:style>
  <w:style w:type="paragraph" w:customStyle="1" w:styleId="line1">
    <w:name w:val="line1"/>
    <w:basedOn w:val="Normal"/>
    <w:pPr>
      <w:tabs>
        <w:tab w:val="left" w:pos="288"/>
        <w:tab w:val="left" w:pos="432"/>
        <w:tab w:val="left" w:pos="3119"/>
        <w:tab w:val="left" w:pos="3969"/>
        <w:tab w:val="left" w:pos="4536"/>
        <w:tab w:val="left" w:pos="8789"/>
        <w:tab w:val="left" w:pos="9781"/>
        <w:tab w:val="left" w:pos="12672"/>
        <w:tab w:val="left" w:pos="14544"/>
        <w:tab w:val="left" w:pos="15984"/>
        <w:tab w:val="left" w:pos="16704"/>
        <w:tab w:val="left" w:pos="18144"/>
      </w:tabs>
      <w:ind w:right="-8352"/>
    </w:pPr>
    <w:rPr>
      <w:rFonts w:ascii="LinePrinter" w:hAnsi="LinePrinter"/>
      <w:sz w:val="17"/>
    </w:rPr>
  </w:style>
  <w:style w:type="paragraph" w:styleId="BalloonText">
    <w:name w:val="Balloon Text"/>
    <w:basedOn w:val="Normal"/>
    <w:semiHidden/>
    <w:rsid w:val="003B2908"/>
    <w:rPr>
      <w:rFonts w:ascii="Tahoma" w:hAnsi="Tahoma" w:cs="Tahoma"/>
      <w:sz w:val="16"/>
      <w:szCs w:val="16"/>
    </w:rPr>
  </w:style>
  <w:style w:type="paragraph" w:customStyle="1" w:styleId="1Heading1">
    <w:name w:val="1 Heading 1"/>
    <w:basedOn w:val="Heading1"/>
    <w:rsid w:val="003B2908"/>
    <w:pPr>
      <w:spacing w:before="900" w:after="60"/>
    </w:pPr>
    <w:rPr>
      <w:rFonts w:cs="Arial"/>
      <w:bCs w:val="0"/>
      <w:kern w:val="32"/>
      <w:szCs w:val="32"/>
    </w:rPr>
  </w:style>
  <w:style w:type="paragraph" w:customStyle="1" w:styleId="1Heading2">
    <w:name w:val="1 Heading 2"/>
    <w:basedOn w:val="Heading1"/>
    <w:rsid w:val="003B2908"/>
    <w:pPr>
      <w:spacing w:before="360" w:after="60"/>
    </w:pPr>
    <w:rPr>
      <w:rFonts w:cs="Arial"/>
      <w:bCs w:val="0"/>
      <w:kern w:val="32"/>
      <w:szCs w:val="32"/>
    </w:rPr>
  </w:style>
  <w:style w:type="paragraph" w:customStyle="1" w:styleId="subhead">
    <w:name w:val="subhead"/>
    <w:basedOn w:val="Heading1"/>
    <w:autoRedefine/>
    <w:rsid w:val="00556EF3"/>
    <w:pPr>
      <w:spacing w:before="0" w:after="130"/>
      <w:outlineLvl w:val="9"/>
    </w:pPr>
    <w:rPr>
      <w:rFonts w:ascii="Helvetica" w:hAnsi="Helvetica"/>
      <w:b w:val="0"/>
      <w:snapToGrid w:val="0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442E92"/>
    <w:rPr>
      <w:sz w:val="24"/>
      <w:lang w:val="en-US" w:eastAsia="en-US" w:bidi="ar-SA"/>
    </w:rPr>
  </w:style>
  <w:style w:type="character" w:styleId="FollowedHyperlink">
    <w:name w:val="FollowedHyperlink"/>
    <w:basedOn w:val="DefaultParagraphFont"/>
    <w:rsid w:val="00220030"/>
    <w:rPr>
      <w:color w:val="6064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1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1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1C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91C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C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C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C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CD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C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C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1C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1C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C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1C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91CDC"/>
    <w:rPr>
      <w:b/>
      <w:bCs/>
    </w:rPr>
  </w:style>
  <w:style w:type="character" w:styleId="Emphasis">
    <w:name w:val="Emphasis"/>
    <w:basedOn w:val="DefaultParagraphFont"/>
    <w:uiPriority w:val="20"/>
    <w:qFormat/>
    <w:rsid w:val="00091CDC"/>
    <w:rPr>
      <w:i/>
      <w:iCs/>
    </w:rPr>
  </w:style>
  <w:style w:type="paragraph" w:styleId="NoSpacing">
    <w:name w:val="No Spacing"/>
    <w:uiPriority w:val="1"/>
    <w:qFormat/>
    <w:rsid w:val="00091C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1C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1CD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91CD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CD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CD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91CD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91CD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91CD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91CD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91CD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CDC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1970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1CDC"/>
  </w:style>
  <w:style w:type="paragraph" w:styleId="Heading1">
    <w:name w:val="heading 1"/>
    <w:basedOn w:val="Normal"/>
    <w:next w:val="Normal"/>
    <w:link w:val="Heading1Char"/>
    <w:uiPriority w:val="9"/>
    <w:qFormat/>
    <w:rsid w:val="00091C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C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C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C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C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C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CD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CD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CD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Sechead">
    <w:name w:val="Sec_head"/>
    <w:basedOn w:val="Normal"/>
    <w:pPr>
      <w:jc w:val="center"/>
    </w:pPr>
    <w:rPr>
      <w:b/>
      <w:caps/>
      <w:spacing w:val="20"/>
      <w:sz w:val="48"/>
    </w:rPr>
  </w:style>
  <w:style w:type="paragraph" w:customStyle="1" w:styleId="listnumbering1">
    <w:name w:val="list_numbering 1"/>
    <w:basedOn w:val="Normal"/>
    <w:pPr>
      <w:spacing w:before="100" w:after="100"/>
      <w:ind w:left="360" w:hanging="360"/>
    </w:pPr>
    <w:rPr>
      <w:sz w:val="24"/>
    </w:rPr>
  </w:style>
  <w:style w:type="paragraph" w:customStyle="1" w:styleId="listnumbering2">
    <w:name w:val="list_numbering 2"/>
    <w:basedOn w:val="Normal"/>
    <w:pPr>
      <w:spacing w:after="100"/>
      <w:ind w:left="2610" w:hanging="360"/>
    </w:pPr>
    <w:rPr>
      <w:sz w:val="24"/>
    </w:rPr>
  </w:style>
  <w:style w:type="paragraph" w:customStyle="1" w:styleId="menuopt5">
    <w:name w:val="menu_opt5"/>
    <w:basedOn w:val="menuopt4"/>
    <w:pPr>
      <w:ind w:left="1800"/>
    </w:pPr>
  </w:style>
  <w:style w:type="paragraph" w:customStyle="1" w:styleId="menuopt4">
    <w:name w:val="menu_opt4"/>
    <w:basedOn w:val="BodyText"/>
    <w:pPr>
      <w:ind w:left="1440" w:hanging="360"/>
    </w:pPr>
  </w:style>
  <w:style w:type="paragraph" w:styleId="BodyText">
    <w:name w:val="Body Text"/>
    <w:basedOn w:val="Normal"/>
    <w:link w:val="BodyTextChar"/>
    <w:pPr>
      <w:spacing w:after="100"/>
    </w:pPr>
    <w:rPr>
      <w:sz w:val="24"/>
    </w:rPr>
  </w:style>
  <w:style w:type="paragraph" w:customStyle="1" w:styleId="Notetxt">
    <w:name w:val="Note_txt"/>
    <w:basedOn w:val="Normal"/>
    <w:pPr>
      <w:tabs>
        <w:tab w:val="left" w:pos="720"/>
      </w:tabs>
      <w:spacing w:before="100" w:after="100"/>
      <w:ind w:left="1440" w:hanging="1440"/>
    </w:pPr>
    <w:rPr>
      <w:b/>
      <w:sz w:val="24"/>
    </w:rPr>
  </w:style>
  <w:style w:type="paragraph" w:customStyle="1" w:styleId="Menuopt1">
    <w:name w:val="Menu_opt1"/>
    <w:basedOn w:val="BodyText"/>
    <w:pPr>
      <w:ind w:left="360" w:hanging="360"/>
    </w:pPr>
  </w:style>
  <w:style w:type="paragraph" w:customStyle="1" w:styleId="menuopt3">
    <w:name w:val="menu_opt3"/>
    <w:basedOn w:val="BodyText"/>
    <w:pPr>
      <w:ind w:left="1080" w:hanging="360"/>
    </w:pPr>
  </w:style>
  <w:style w:type="paragraph" w:customStyle="1" w:styleId="menuopt2">
    <w:name w:val="menu_opt2"/>
    <w:basedOn w:val="Normal"/>
    <w:pPr>
      <w:spacing w:after="100"/>
      <w:ind w:left="720" w:hanging="360"/>
    </w:pPr>
    <w:rPr>
      <w:sz w:val="24"/>
    </w:rPr>
  </w:style>
  <w:style w:type="paragraph" w:customStyle="1" w:styleId="Ringopt">
    <w:name w:val="Ring_opt"/>
    <w:basedOn w:val="Normal"/>
    <w:pPr>
      <w:spacing w:after="100"/>
      <w:ind w:left="1440" w:hanging="360"/>
    </w:pPr>
    <w:rPr>
      <w:sz w:val="24"/>
    </w:rPr>
  </w:style>
  <w:style w:type="paragraph" w:customStyle="1" w:styleId="solution">
    <w:name w:val="solution"/>
    <w:basedOn w:val="Normal"/>
    <w:pPr>
      <w:spacing w:after="100"/>
      <w:ind w:left="1440" w:hanging="1440"/>
      <w:jc w:val="both"/>
    </w:pPr>
    <w:rPr>
      <w:b/>
      <w:sz w:val="24"/>
    </w:rPr>
  </w:style>
  <w:style w:type="paragraph" w:customStyle="1" w:styleId="Reason">
    <w:name w:val="Reason"/>
    <w:basedOn w:val="solution"/>
    <w:rPr>
      <w:b w:val="0"/>
    </w:rPr>
  </w:style>
  <w:style w:type="paragraph" w:styleId="TOC1">
    <w:name w:val="toc 1"/>
    <w:basedOn w:val="Normal"/>
    <w:next w:val="Normal"/>
    <w:semiHidden/>
    <w:pPr>
      <w:tabs>
        <w:tab w:val="right" w:leader="dot" w:pos="9000"/>
      </w:tabs>
      <w:spacing w:before="360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9000"/>
      </w:tabs>
      <w:spacing w:before="240"/>
      <w:ind w:left="200"/>
    </w:pPr>
    <w:rPr>
      <w:b/>
    </w:rPr>
  </w:style>
  <w:style w:type="paragraph" w:styleId="TOC3">
    <w:name w:val="toc 3"/>
    <w:basedOn w:val="Normal"/>
    <w:next w:val="Normal"/>
    <w:semiHidden/>
    <w:pPr>
      <w:tabs>
        <w:tab w:val="right" w:leader="dot" w:pos="9000"/>
      </w:tabs>
      <w:ind w:left="400"/>
    </w:pPr>
  </w:style>
  <w:style w:type="paragraph" w:styleId="TOC4">
    <w:name w:val="toc 4"/>
    <w:basedOn w:val="Normal"/>
    <w:next w:val="Normal"/>
    <w:semiHidden/>
    <w:pPr>
      <w:tabs>
        <w:tab w:val="right" w:leader="dot" w:pos="900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900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900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900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900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9000"/>
      </w:tabs>
      <w:ind w:left="1600"/>
    </w:pPr>
  </w:style>
  <w:style w:type="paragraph" w:customStyle="1" w:styleId="tochead">
    <w:name w:val="toc_head"/>
    <w:basedOn w:val="Sechead"/>
    <w:rPr>
      <w:sz w:val="40"/>
    </w:rPr>
  </w:style>
  <w:style w:type="paragraph" w:customStyle="1" w:styleId="Checklist">
    <w:name w:val="Check_list"/>
    <w:basedOn w:val="BodyText"/>
    <w:pPr>
      <w:ind w:left="1080" w:hanging="360"/>
    </w:pPr>
  </w:style>
  <w:style w:type="paragraph" w:customStyle="1" w:styleId="version">
    <w:name w:val="version"/>
    <w:basedOn w:val="Heading1"/>
    <w:pPr>
      <w:jc w:val="center"/>
      <w:outlineLvl w:val="9"/>
    </w:pPr>
  </w:style>
  <w:style w:type="paragraph" w:customStyle="1" w:styleId="ScreenSnap">
    <w:name w:val="Screen Snap"/>
    <w:basedOn w:val="Normal"/>
    <w:pPr>
      <w:pBdr>
        <w:top w:val="double" w:sz="12" w:space="1" w:color="auto"/>
        <w:left w:val="double" w:sz="12" w:space="1" w:color="auto"/>
        <w:bottom w:val="double" w:sz="12" w:space="1" w:color="auto"/>
        <w:right w:val="double" w:sz="12" w:space="1" w:color="auto"/>
      </w:pBdr>
      <w:tabs>
        <w:tab w:val="left" w:pos="-720"/>
      </w:tabs>
      <w:suppressAutoHyphens/>
    </w:pPr>
    <w:rPr>
      <w:rFonts w:ascii="Courier New" w:hAnsi="Courier New"/>
      <w:spacing w:val="20"/>
    </w:rPr>
  </w:style>
  <w:style w:type="paragraph" w:customStyle="1" w:styleId="Footer1">
    <w:name w:val="Footer1"/>
    <w:basedOn w:val="Footer"/>
    <w:pPr>
      <w:pBdr>
        <w:top w:val="single" w:sz="6" w:space="1" w:color="auto"/>
      </w:pBdr>
      <w:tabs>
        <w:tab w:val="clear" w:pos="4320"/>
        <w:tab w:val="clear" w:pos="8640"/>
        <w:tab w:val="right" w:pos="9000"/>
        <w:tab w:val="right" w:pos="9990"/>
      </w:tabs>
    </w:pPr>
    <w:rPr>
      <w:b/>
    </w:rPr>
  </w:style>
  <w:style w:type="paragraph" w:customStyle="1" w:styleId="line1">
    <w:name w:val="line1"/>
    <w:basedOn w:val="Normal"/>
    <w:pPr>
      <w:tabs>
        <w:tab w:val="left" w:pos="288"/>
        <w:tab w:val="left" w:pos="432"/>
        <w:tab w:val="left" w:pos="3119"/>
        <w:tab w:val="left" w:pos="3969"/>
        <w:tab w:val="left" w:pos="4536"/>
        <w:tab w:val="left" w:pos="8789"/>
        <w:tab w:val="left" w:pos="9781"/>
        <w:tab w:val="left" w:pos="12672"/>
        <w:tab w:val="left" w:pos="14544"/>
        <w:tab w:val="left" w:pos="15984"/>
        <w:tab w:val="left" w:pos="16704"/>
        <w:tab w:val="left" w:pos="18144"/>
      </w:tabs>
      <w:ind w:right="-8352"/>
    </w:pPr>
    <w:rPr>
      <w:rFonts w:ascii="LinePrinter" w:hAnsi="LinePrinter"/>
      <w:sz w:val="17"/>
    </w:rPr>
  </w:style>
  <w:style w:type="paragraph" w:styleId="BalloonText">
    <w:name w:val="Balloon Text"/>
    <w:basedOn w:val="Normal"/>
    <w:semiHidden/>
    <w:rsid w:val="003B2908"/>
    <w:rPr>
      <w:rFonts w:ascii="Tahoma" w:hAnsi="Tahoma" w:cs="Tahoma"/>
      <w:sz w:val="16"/>
      <w:szCs w:val="16"/>
    </w:rPr>
  </w:style>
  <w:style w:type="paragraph" w:customStyle="1" w:styleId="1Heading1">
    <w:name w:val="1 Heading 1"/>
    <w:basedOn w:val="Heading1"/>
    <w:rsid w:val="003B2908"/>
    <w:pPr>
      <w:spacing w:before="900" w:after="60"/>
    </w:pPr>
    <w:rPr>
      <w:rFonts w:cs="Arial"/>
      <w:bCs w:val="0"/>
      <w:kern w:val="32"/>
      <w:szCs w:val="32"/>
    </w:rPr>
  </w:style>
  <w:style w:type="paragraph" w:customStyle="1" w:styleId="1Heading2">
    <w:name w:val="1 Heading 2"/>
    <w:basedOn w:val="Heading1"/>
    <w:rsid w:val="003B2908"/>
    <w:pPr>
      <w:spacing w:before="360" w:after="60"/>
    </w:pPr>
    <w:rPr>
      <w:rFonts w:cs="Arial"/>
      <w:bCs w:val="0"/>
      <w:kern w:val="32"/>
      <w:szCs w:val="32"/>
    </w:rPr>
  </w:style>
  <w:style w:type="paragraph" w:customStyle="1" w:styleId="subhead">
    <w:name w:val="subhead"/>
    <w:basedOn w:val="Heading1"/>
    <w:autoRedefine/>
    <w:rsid w:val="00556EF3"/>
    <w:pPr>
      <w:spacing w:before="0" w:after="130"/>
      <w:outlineLvl w:val="9"/>
    </w:pPr>
    <w:rPr>
      <w:rFonts w:ascii="Helvetica" w:hAnsi="Helvetica"/>
      <w:b w:val="0"/>
      <w:snapToGrid w:val="0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442E92"/>
    <w:rPr>
      <w:sz w:val="24"/>
      <w:lang w:val="en-US" w:eastAsia="en-US" w:bidi="ar-SA"/>
    </w:rPr>
  </w:style>
  <w:style w:type="character" w:styleId="FollowedHyperlink">
    <w:name w:val="FollowedHyperlink"/>
    <w:basedOn w:val="DefaultParagraphFont"/>
    <w:rsid w:val="00220030"/>
    <w:rPr>
      <w:color w:val="6064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1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1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1C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91C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C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C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C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CD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C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C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1C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1C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C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1C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91CDC"/>
    <w:rPr>
      <w:b/>
      <w:bCs/>
    </w:rPr>
  </w:style>
  <w:style w:type="character" w:styleId="Emphasis">
    <w:name w:val="Emphasis"/>
    <w:basedOn w:val="DefaultParagraphFont"/>
    <w:uiPriority w:val="20"/>
    <w:qFormat/>
    <w:rsid w:val="00091CDC"/>
    <w:rPr>
      <w:i/>
      <w:iCs/>
    </w:rPr>
  </w:style>
  <w:style w:type="paragraph" w:styleId="NoSpacing">
    <w:name w:val="No Spacing"/>
    <w:uiPriority w:val="1"/>
    <w:qFormat/>
    <w:rsid w:val="00091C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1C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1CD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91CD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CD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CD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91CD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91CD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91CD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91CD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91CD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CDC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197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image" Target="media/image10.tmp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tmp"/><Relationship Id="rId34" Type="http://schemas.openxmlformats.org/officeDocument/2006/relationships/image" Target="media/image16.tmp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3.tmp"/><Relationship Id="rId25" Type="http://schemas.openxmlformats.org/officeDocument/2006/relationships/image" Target="media/image9.tmp"/><Relationship Id="rId33" Type="http://schemas.openxmlformats.org/officeDocument/2006/relationships/image" Target="media/image15.tmp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tmp"/><Relationship Id="rId20" Type="http://schemas.openxmlformats.org/officeDocument/2006/relationships/image" Target="media/image4.tmp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8.tmp"/><Relationship Id="rId32" Type="http://schemas.openxmlformats.org/officeDocument/2006/relationships/image" Target="media/image14.tmp"/><Relationship Id="rId37" Type="http://schemas.openxmlformats.org/officeDocument/2006/relationships/image" Target="media/image19.tmp"/><Relationship Id="rId5" Type="http://schemas.openxmlformats.org/officeDocument/2006/relationships/customXml" Target="../customXml/item5.xml"/><Relationship Id="rId15" Type="http://schemas.openxmlformats.org/officeDocument/2006/relationships/image" Target="media/image1.tmp"/><Relationship Id="rId23" Type="http://schemas.openxmlformats.org/officeDocument/2006/relationships/image" Target="media/image7.tmp"/><Relationship Id="rId28" Type="http://schemas.openxmlformats.org/officeDocument/2006/relationships/header" Target="header1.xml"/><Relationship Id="rId36" Type="http://schemas.openxmlformats.org/officeDocument/2006/relationships/image" Target="media/image18.tmp"/><Relationship Id="rId10" Type="http://schemas.openxmlformats.org/officeDocument/2006/relationships/webSettings" Target="webSettings.xml"/><Relationship Id="rId19" Type="http://schemas.openxmlformats.org/officeDocument/2006/relationships/footer" Target="footer4.xml"/><Relationship Id="rId31" Type="http://schemas.openxmlformats.org/officeDocument/2006/relationships/image" Target="media/image13.tmp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Relationship Id="rId22" Type="http://schemas.openxmlformats.org/officeDocument/2006/relationships/image" Target="media/image6.tmp"/><Relationship Id="rId27" Type="http://schemas.openxmlformats.org/officeDocument/2006/relationships/image" Target="media/image11.tmp"/><Relationship Id="rId30" Type="http://schemas.openxmlformats.org/officeDocument/2006/relationships/image" Target="media/image12.png"/><Relationship Id="rId35" Type="http://schemas.openxmlformats.org/officeDocument/2006/relationships/image" Target="media/image1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DE Document" ma:contentTypeID="0x0101001BEB557DBE01834EAB47A683706DCD5B006C9C36251BDDEB4CB3707FCA4941CDEF" ma:contentTypeVersion="15" ma:contentTypeDescription="" ma:contentTypeScope="" ma:versionID="2d21b36d54b87ed68b9af21a39bae377">
  <xsd:schema xmlns:xsd="http://www.w3.org/2001/XMLSchema" xmlns:xs="http://www.w3.org/2001/XMLSchema" xmlns:p="http://schemas.microsoft.com/office/2006/metadata/properties" xmlns:ns1="http://schemas.microsoft.com/sharepoint/v3" xmlns:ns2="3a62de7d-ba57-4f43-9dae-9623ba637be0" targetNamespace="http://schemas.microsoft.com/office/2006/metadata/properties" ma:root="true" ma:fieldsID="dc2608482f5c58e31e41b20363393585" ns1:_="" ns2:_="">
    <xsd:import namespace="http://schemas.microsoft.com/sharepoint/v3"/>
    <xsd:import namespace="3a62de7d-ba57-4f43-9dae-9623ba637be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2:Audience1" minOccurs="0"/>
                <xsd:element ref="ns2:Publication_x0020_Date"/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2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  <xsd:element name="PublishingStartDate" ma:index="5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6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2de7d-ba57-4f43-9dae-9623ba637be0" elementFormDefault="qualified">
    <xsd:import namespace="http://schemas.microsoft.com/office/2006/documentManagement/types"/>
    <xsd:import namespace="http://schemas.microsoft.com/office/infopath/2007/PartnerControls"/>
    <xsd:element name="Audience1" ma:index="3" nillable="true" ma:displayName="Audience" ma:list="{9f2d68f0-dc6b-4e06-b19d-b8792e70efe6}" ma:internalName="Audience1" ma:showField="Title" ma:web="3a62de7d-ba57-4f43-9dae-9623ba637b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cation_x0020_Date" ma:index="4" ma:displayName="Publication Date" ma:default="[today]" ma:format="DateOnly" ma:internalName="Publication_x0020_Date" ma:readOnly="false">
      <xsd:simpleType>
        <xsd:restriction base="dms:DateTime"/>
      </xsd:simple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outingRuleDescription xmlns="http://schemas.microsoft.com/sharepoint/v3">MUNIS Guide - Procedures for producing the Fixed Asset Depreciation Schedule report.</RoutingRuleDescription>
    <PublishingExpirationDate xmlns="http://schemas.microsoft.com/sharepoint/v3" xsi:nil="true"/>
    <PublishingStartDate xmlns="http://schemas.microsoft.com/sharepoint/v3" xsi:nil="true"/>
    <Publication_x0020_Date xmlns="3a62de7d-ba57-4f43-9dae-9623ba637be0">2012-09-21T04:00:00+00:00</Publication_x0020_Date>
    <Audience1 xmlns="3a62de7d-ba57-4f43-9dae-9623ba637be0"/>
    <_dlc_DocId xmlns="3a62de7d-ba57-4f43-9dae-9623ba637be0">KYED-265-217</_dlc_DocId>
    <_dlc_DocIdUrl xmlns="3a62de7d-ba57-4f43-9dae-9623ba637be0">
      <Url>http://education.ky.gov/districts/_layouts/DocIdRedir.aspx?ID=KYED-265-217</Url>
      <Description>KYED-265-217</Description>
    </_dlc_DocIdUrl>
  </documentManagement>
</p:properties>
</file>

<file path=customXml/itemProps1.xml><?xml version="1.0" encoding="utf-8"?>
<ds:datastoreItem xmlns:ds="http://schemas.openxmlformats.org/officeDocument/2006/customXml" ds:itemID="{5DB46A60-771D-40C7-B7E6-ED1FA0650A2A}"/>
</file>

<file path=customXml/itemProps2.xml><?xml version="1.0" encoding="utf-8"?>
<ds:datastoreItem xmlns:ds="http://schemas.openxmlformats.org/officeDocument/2006/customXml" ds:itemID="{F52CAD83-1BED-41C3-A154-2C8F816FC665}"/>
</file>

<file path=customXml/itemProps3.xml><?xml version="1.0" encoding="utf-8"?>
<ds:datastoreItem xmlns:ds="http://schemas.openxmlformats.org/officeDocument/2006/customXml" ds:itemID="{4DDC5593-32FD-48D0-A25D-FCAAC68CDC4C}"/>
</file>

<file path=customXml/itemProps4.xml><?xml version="1.0" encoding="utf-8"?>
<ds:datastoreItem xmlns:ds="http://schemas.openxmlformats.org/officeDocument/2006/customXml" ds:itemID="{D7D906AD-51B4-4457-8B4F-0575274BA62B}"/>
</file>

<file path=customXml/itemProps5.xml><?xml version="1.0" encoding="utf-8"?>
<ds:datastoreItem xmlns:ds="http://schemas.openxmlformats.org/officeDocument/2006/customXml" ds:itemID="{01F8E8A9-8AA0-49B9-B07C-AF52EE3085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12</Pages>
  <Words>1859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Fixed Assets</vt:lpstr>
    </vt:vector>
  </TitlesOfParts>
  <Company>KDE</Company>
  <LinksUpToDate>false</LinksUpToDate>
  <CharactersWithSpaces>11386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Fixed Assets</dc:title>
  <dc:creator>Davida B. Kosa</dc:creator>
  <cp:lastModifiedBy>Miller, Sheila - Division of Operations and Services</cp:lastModifiedBy>
  <cp:revision>16</cp:revision>
  <cp:lastPrinted>2013-02-04T14:18:00Z</cp:lastPrinted>
  <dcterms:created xsi:type="dcterms:W3CDTF">2013-01-30T21:29:00Z</dcterms:created>
  <dcterms:modified xsi:type="dcterms:W3CDTF">2013-02-05T13:24:00Z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12600.0000000000</vt:lpwstr>
  </property>
  <property fmtid="{D5CDD505-2E9C-101B-9397-08002B2CF9AE}" pid="3" name="_dlc_DocIdItemGuid">
    <vt:lpwstr>37c0207d-f250-4db2-8fd5-59df54c29c69</vt:lpwstr>
  </property>
  <property fmtid="{D5CDD505-2E9C-101B-9397-08002B2CF9AE}" pid="4" name="ContentTypeId">
    <vt:lpwstr>0x0101001BEB557DBE01834EAB47A683706DCD5B006C9C36251BDDEB4CB3707FCA4941CDEF</vt:lpwstr>
  </property>
</Properties>
</file>