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5fgs2je1el3" w:id="0"/>
      <w:bookmarkEnd w:id="0"/>
      <w:r w:rsidDel="00000000" w:rsidR="00000000" w:rsidRPr="00000000">
        <w:rPr>
          <w:b w:val="1"/>
          <w:bCs w:val="1"/>
          <w:color w:val="000000"/>
          <w:sz w:val="26"/>
          <w:szCs w:val="26"/>
          <w:rtl w:val="0"/>
        </w:rPr>
        <w:t xml:space="preserve">Synopsis: Customer-Based Audit and Strategic Insights</w:t>
      </w:r>
    </w:p>
    <w:p w:rsidR="00000000" w:rsidDel="00000000" w:rsidP="00000000" w:rsidRDefault="00000000" w:rsidRPr="00000000" w14:paraId="00000002">
      <w:pPr>
        <w:spacing w:after="240" w:before="240" w:lineRule="auto"/>
        <w:rPr/>
      </w:pPr>
      <w:r w:rsidDel="00000000" w:rsidR="00000000" w:rsidRPr="00000000">
        <w:rPr>
          <w:rtl w:val="0"/>
        </w:rPr>
        <w:t xml:space="preserve">This research presents a comprehensive audit of the customer base, aimed at analyzing revenue structure and consumer behavior between 2021 and 2024. The methodology is based on segmenting 31,797 customers into ten equal groups (deciles) according to their profitability, alongside the application of cohort analysis to track the lifecycle of new buyers. The primary managerial objective was to identify value concentration within the database and determine critical churn points to formulate a strategy for sustainable growth.</w:t>
      </w:r>
    </w:p>
    <w:p w:rsidR="00000000" w:rsidDel="00000000" w:rsidP="00000000" w:rsidRDefault="00000000" w:rsidRPr="00000000" w14:paraId="00000003">
      <w:pPr>
        <w:spacing w:after="240" w:before="240" w:lineRule="auto"/>
        <w:rPr/>
      </w:pPr>
      <w:r w:rsidDel="00000000" w:rsidR="00000000" w:rsidRPr="00000000">
        <w:rPr>
          <w:rtl w:val="0"/>
        </w:rPr>
        <w:t xml:space="preserve">The decile analysis results demonstrate a pronounced business dependence on a narrow segment of loyal consumers. Specifically, the first decile (the top 10% of customers) generates $128.9 million in revenue, accounting for nearly 40% of the company's total turnover. This group is characterized not only by a high average transaction value but also by exceptional purchase frequency (an AOF of 5.5 compared to 1.08 in the lower segments). Such profit concentration emphasizes that the company's financial stability directly depends on retaining these 3,180 key customers, whose average profit contribution per person exceeds $19,500 while maintaining a healthy margin of 48%.</w:t>
      </w:r>
    </w:p>
    <w:p w:rsidR="00000000" w:rsidDel="00000000" w:rsidP="00000000" w:rsidRDefault="00000000" w:rsidRPr="00000000" w14:paraId="00000004">
      <w:pPr>
        <w:spacing w:after="240" w:before="240" w:lineRule="auto"/>
        <w:rPr/>
      </w:pPr>
      <w:r w:rsidDel="00000000" w:rsidR="00000000" w:rsidRPr="00000000">
        <w:rPr>
          <w:rtl w:val="0"/>
        </w:rPr>
        <w:t xml:space="preserve">Parallel cohort analysis revealed significant challenges in customer retention. Despite successful acquisition periods, such as the first quarter of 2021 when nearly 3,000 new buyers were attracted, the data shows a sharp decline in activity as early as the second period of interaction. For instance, in the 2021 Q3 cohort, only 18.6% of customers made a repeat purchase in the following quarter. Nevertheless, customers who remain in the database demonstrate qualitative growth: their average order value increases over time (from $5,250 to over $8,200 for certain groups), indicating high potential for Lifetime Value (CLV) development if the initial purchase barrier is successfully overcome.</w:t>
      </w:r>
    </w:p>
    <w:p w:rsidR="00000000" w:rsidDel="00000000" w:rsidP="00000000" w:rsidRDefault="00000000" w:rsidRPr="00000000" w14:paraId="00000005">
      <w:pPr>
        <w:spacing w:after="240" w:before="240" w:lineRule="auto"/>
        <w:rPr/>
      </w:pPr>
      <w:r w:rsidDel="00000000" w:rsidR="00000000" w:rsidRPr="00000000">
        <w:rPr>
          <w:rtl w:val="0"/>
        </w:rPr>
        <w:t xml:space="preserve">Based on the findings, it is recommended to shift the marketing strategy focus from aggressive acquisition to the retention and development of existing customers. Key priorities should include implementing a personalized loyalty program to protect the revenue of the first decile and launching trigger-based re-engagement campaigns during the second quarter of a customer's lifecycle. In conclusion, transitioning to a customer-centric management model will allow the company to stabilize income by increasing purchase frequency and reducing retention costs for the most profitable segments of the base.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