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Synopsis of Introductory Case: Tesla Stock Return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Analyzing stock returns helps investors understand both the potential reward and the level of risk associated with an investment. In this case, weekly data for Tesla stock was analyzed to evaluate its performance and volatility over the observed period. By examining statistical measures such as mean return, standard deviation, the Sharpe ratio, and the coefficient of variation, investors can better assess the attractiveness of the investment.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 analysis of weekly Tesla stock data from February 2025 through February 2026 provides useful insights. Over this period, the average weekly return was 0.52%. The mean return reflects the average performance of the stock during the analyzed timeframe and indicates the potential reward an investor might expect if similar conditions continue.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the mean alone does not fully describe the investment because it does not account for risk. To measure risk, we use the standard deviation, which captures the volatility of returns. Tesla’s weekly returns show a standard deviation of 6.73%, indicating that the stock’s returns fluctuate considerably around the average. This relatively high volatility suggests that Tesla’s stock price experiences significant short-term movements.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better evaluate the balance between risk and return, we calculate the Sharpe ratio, which adjusts returns for risk using a risk-free rate. Assuming a risk-free rate of 2% annually, Tesla’s Sharpe ratio is approximately 0.07. This indicates that the stock provides a modest level of excess return relative to the risk taken by investors.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useful measure is the coefficient of variation (CV), which expresses the level of risk relative to the expected return. Tesla’s CV is about 13.06, meaning that the variability of returns is much larger than the average return itself. This suggests that although the stock offers positive average returns, it is accompanied by a relatively high level of uncertainty.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summary, the analysis shows that Tesla stock generated a positive average weekly return of about 0.52%, but with considerable volatility. While investors may be attracted by the potential returns, they must also be prepared for substantial fluctuations in performance. As with any financial analysis, past performance does not guarantee future results, and investors should carefully consider both risk and return before making investment decisions.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