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000A" w:rsidRDefault="0058680E">
      <w:pPr>
        <w:spacing w:after="200" w:line="431" w:lineRule="auto"/>
        <w:rPr>
          <w:rFonts w:ascii="Maven Pro" w:eastAsia="Maven Pro" w:hAnsi="Maven Pro" w:cs="Maven Pro"/>
          <w:b/>
          <w:sz w:val="24"/>
          <w:szCs w:val="24"/>
        </w:rPr>
      </w:pPr>
      <w:r>
        <w:rPr>
          <w:rFonts w:ascii="Maven Pro" w:eastAsia="Maven Pro" w:hAnsi="Maven Pro" w:cs="Maven Pro"/>
          <w:b/>
          <w:sz w:val="24"/>
          <w:szCs w:val="24"/>
        </w:rPr>
        <w:t>Basic Concepts</w:t>
      </w:r>
    </w:p>
    <w:p w14:paraId="00000002" w14:textId="7493C513" w:rsidR="005A000A" w:rsidRDefault="0058680E">
      <w:pPr>
        <w:rPr>
          <w:rFonts w:ascii="Maven Pro" w:eastAsia="Maven Pro" w:hAnsi="Maven Pro" w:cs="Maven Pro"/>
          <w:sz w:val="24"/>
          <w:szCs w:val="24"/>
        </w:rPr>
      </w:pPr>
      <w:r>
        <w:rPr>
          <w:rFonts w:ascii="Maven Pro" w:eastAsia="Maven Pro" w:hAnsi="Maven Pro" w:cs="Maven Pro"/>
          <w:sz w:val="24"/>
          <w:szCs w:val="24"/>
        </w:rPr>
        <w:t xml:space="preserve">The capacity of an individual cell to repopulate a stem cell niche first demonstrated Furth in 1937, by transferring a single leukemia cell into a mouse recipient.{~Furth.1937} The cells responsible for this phenomenon later became known as the cancer/leuke</w:t>
      </w:r>
      <w:r>
        <w:rPr>
          <w:rFonts w:ascii="Maven Pro" w:eastAsia="Maven Pro" w:hAnsi="Maven Pro" w:cs="Maven Pro"/>
          <w:sz w:val="24"/>
          <w:szCs w:val="24"/>
        </w:rPr>
        <w:t xml:space="preserve">mia stem cells.undefined In 1961, McCullochundefined quantified </w:t>
      </w:r>
      <w:r>
        <w:rPr>
          <w:rFonts w:ascii="Maven Pro" w:eastAsia="Maven Pro" w:hAnsi="Maven Pro" w:cs="Maven Pro"/>
          <w:color w:val="9900FF"/>
          <w:sz w:val="24"/>
          <w:szCs w:val="24"/>
        </w:rPr>
        <w:t>the</w:t>
      </w:r>
      <w:r>
        <w:rPr>
          <w:rFonts w:ascii="Maven Pro" w:eastAsia="Maven Pro" w:hAnsi="Maven Pro" w:cs="Maven Pro"/>
          <w:sz w:val="24"/>
          <w:szCs w:val="24"/>
        </w:rPr>
        <w:t xml:space="preserve"> colonies that had arisen from individual hematopoietic cells in the spleen of lethally irradiated mice after transplanting normal bone marrow.undefined Few years later, </w:t>
      </w:r>
      <w:r>
        <w:rPr>
          <w:rFonts w:ascii="Maven Pro" w:eastAsia="Maven Pro" w:hAnsi="Maven Pro" w:cs="Maven Pro"/>
          <w:color w:val="0000FF"/>
          <w:sz w:val="24"/>
          <w:szCs w:val="24"/>
        </w:rPr>
        <w:t>he and hi</w:t>
      </w:r>
      <w:r>
        <w:rPr>
          <w:rFonts w:ascii="Maven Pro" w:eastAsia="Maven Pro" w:hAnsi="Maven Pro" w:cs="Maven Pro"/>
          <w:color w:val="0000FF"/>
          <w:sz w:val="24"/>
          <w:szCs w:val="24"/>
        </w:rPr>
        <w:t>s coworkers</w:t>
      </w:r>
      <w:r>
        <w:rPr>
          <w:rFonts w:ascii="Maven Pro" w:eastAsia="Maven Pro" w:hAnsi="Maven Pro" w:cs="Maven Pro"/>
          <w:sz w:val="24"/>
          <w:szCs w:val="24"/>
        </w:rPr>
        <w:t xml:space="preserve"> transferred this quantitative assay </w:t>
      </w:r>
      <w:r>
        <w:rPr>
          <w:rFonts w:ascii="Maven Pro" w:eastAsia="Maven Pro" w:hAnsi="Maven Pro" w:cs="Maven Pro"/>
          <w:i/>
          <w:sz w:val="24"/>
          <w:szCs w:val="24"/>
        </w:rPr>
        <w:t>in vitro</w:t>
      </w:r>
      <w:r>
        <w:rPr>
          <w:rFonts w:ascii="Maven Pro" w:eastAsia="Maven Pro" w:hAnsi="Maven Pro" w:cs="Maven Pro"/>
          <w:sz w:val="24"/>
          <w:szCs w:val="24"/>
        </w:rPr>
        <w:t xml:space="preserve">, using semi-solid cell culture, </w:t>
      </w:r>
      <w:r>
        <w:rPr>
          <w:rFonts w:ascii="Maven Pro" w:eastAsia="Maven Pro" w:hAnsi="Maven Pro" w:cs="Maven Pro"/>
          <w:color w:val="0000FF"/>
          <w:sz w:val="24"/>
          <w:szCs w:val="24"/>
        </w:rPr>
        <w:t>greatly facilitating hematopoiesis researc</w:t>
      </w:r>
      <w:r>
        <w:rPr>
          <w:rFonts w:ascii="Maven Pro" w:eastAsia="Maven Pro" w:hAnsi="Maven Pro" w:cs="Maven Pro"/>
          <w:sz w:val="24"/>
          <w:szCs w:val="24"/>
        </w:rPr>
        <w:t xml:space="preserve">h.undefined In 1977, </w:t>
      </w:r>
      <w:proofErr w:type="spellStart"/>
      <w:r>
        <w:rPr>
          <w:rFonts w:ascii="Maven Pro" w:eastAsia="Maven Pro" w:hAnsi="Maven Pro" w:cs="Maven Pro"/>
          <w:sz w:val="24"/>
          <w:szCs w:val="24"/>
        </w:rPr>
        <w:t>Lajtha</w:t>
      </w:r>
      <w:proofErr w:type="spellEnd"/>
      <w:r>
        <w:rPr>
          <w:rFonts w:ascii="Maven Pro" w:eastAsia="Maven Pro" w:hAnsi="Maven Pro" w:cs="Maven Pro"/>
          <w:sz w:val="24"/>
          <w:szCs w:val="24"/>
        </w:rPr>
        <w:t xml:space="preserve">undefined encapsulated four decades of primarily hematological research by functionally dist</w:t>
      </w:r>
      <w:r>
        <w:rPr>
          <w:rFonts w:ascii="Maven Pro" w:eastAsia="Maven Pro" w:hAnsi="Maven Pro" w:cs="Maven Pro"/>
          <w:sz w:val="24"/>
          <w:szCs w:val="24"/>
        </w:rPr>
        <w:t xml:space="preserve">inguishing three states of cells. The first were stem cells capable of indefinite self-renewal without differentiation. The second were the transit cells endowed with a limited but great potential to proliferate and the capacity to differentiate according </w:t>
      </w:r>
      <w:r>
        <w:rPr>
          <w:rFonts w:ascii="Maven Pro" w:eastAsia="Maven Pro" w:hAnsi="Maven Pro" w:cs="Maven Pro"/>
          <w:sz w:val="24"/>
          <w:szCs w:val="24"/>
        </w:rPr>
        <w:t xml:space="preserve">to specific fate commitment (progenitor cells). The third were differentiated mature cells, which do not proliferate and can renew their molecular inventory </w:t>
      </w:r>
      <w:proofErr w:type="gramStart"/>
      <w:r>
        <w:rPr>
          <w:rFonts w:ascii="Maven Pro" w:eastAsia="Maven Pro" w:hAnsi="Maven Pro" w:cs="Maven Pro"/>
          <w:sz w:val="24"/>
          <w:szCs w:val="24"/>
        </w:rPr>
        <w:t xml:space="preserve">only.undefined</w:t>
      </w:r>
      <w:proofErr w:type="gramEnd"/>
      <w:r>
        <w:rPr>
          <w:rFonts w:ascii="Maven Pro" w:eastAsia="Maven Pro" w:hAnsi="Maven Pro" w:cs="Maven Pro"/>
          <w:sz w:val="24"/>
          <w:szCs w:val="24"/>
        </w:rPr>
        <w:t xml:space="preserve">  </w:t>
      </w:r>
    </w:p>
    <w:p w14:paraId="63FC6874" w14:textId="65402266" w:rsidR="0058680E" w:rsidRDefault="0058680E">
      <w:pPr>
        <w:rPr>
          <w:rFonts w:ascii="Maven Pro" w:eastAsia="Maven Pro" w:hAnsi="Maven Pro" w:cs="Maven Pro"/>
          <w:sz w:val="24"/>
          <w:szCs w:val="24"/>
        </w:rPr>
      </w:pPr>
    </w:p>
    <w:p w14:paraId="68749159" w14:textId="22D58F36" w:rsidR="0058680E" w:rsidRDefault="0058680E">
      <w:pPr>
        <w:rPr>
          <w:rFonts w:ascii="Maven Pro" w:eastAsia="Maven Pro" w:hAnsi="Maven Pro" w:cs="Maven Pro"/>
          <w:sz w:val="27"/>
          <w:szCs w:val="27"/>
        </w:rPr>
      </w:pPr>
      <w:r>
        <w:rPr>
          <w:rFonts w:ascii="Maven Pro" w:eastAsia="Maven Pro" w:hAnsi="Maven Pro" w:cs="Maven Pro"/>
          <w:sz w:val="24"/>
          <w:szCs w:val="24"/>
        </w:rPr>
        <w:t xml:space="preserve">undefined</w:t>
      </w:r>
      <w:bookmarkStart w:id="0" w:name="_GoBack"/>
      <w:bookmarkEnd w:id="0"/>
    </w:p>
    <w:sectPr w:rsidR="00586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00A"/>
    <w:rsid w:val="0058680E"/>
    <w:rsid w:val="005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B09E"/>
  <w15:docId w15:val="{A718002B-6609-4F86-9AA9-7C11594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A. A. Mulberry</dc:creator>
  <cp:lastModifiedBy>Jacob Mulberry</cp:lastModifiedBy>
  <cp:revision>2</cp:revision>
  <dcterms:created xsi:type="dcterms:W3CDTF">2020-11-16T21:30:00Z</dcterms:created>
  <dcterms:modified xsi:type="dcterms:W3CDTF">2020-11-16T21:30:00Z</dcterms:modified>
</cp:coreProperties>
</file>