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6B"/>
          <w:sz w:val="64"/>
          <w:szCs w:val="64"/>
        </w:rPr>
        <w:t xml:space="preserve">STATEMENT OF WORK</w:t>
      </w:r>
    </w:p>
    <w:p>
      <w:pPr>
        <w:spacing w:after="120" w:before="0"/>
        <w:jc w:val="center"/>
      </w:pPr>
      <w:r>
        <w:rPr>
          <w:rFonts w:ascii="Arial" w:cs="Arial" w:eastAsia="Arial" w:hAnsi="Arial"/>
          <w:color w:val="2E5FA3"/>
          <w:sz w:val="48"/>
          <w:szCs w:val="48"/>
        </w:rPr>
        <w:t xml:space="preserve">AI Orchestration Platform</w:t>
      </w:r>
    </w:p>
    <w:p>
      <w:pPr>
        <w:spacing w:after="120" w:before="0"/>
        <w:jc w:val="center"/>
      </w:pPr>
      <w:r>
        <w:rPr>
          <w:rFonts w:ascii="Arial" w:cs="Arial" w:eastAsia="Arial" w:hAnsi="Arial"/>
          <w:color w:val="444444"/>
          <w:sz w:val="36"/>
          <w:szCs w:val="36"/>
        </w:rPr>
        <w:t xml:space="preserve">Proof of Concept Engagement</w:t>
      </w:r>
    </w:p>
    <w:p>
      <w:pPr>
        <w:pBdr>
          <w:top w:val="single" w:color="2E5FA3" w:sz="8" w:space="1"/>
          <w:bottom w:val="single" w:color="2E5FA3" w:sz="8" w:space="1"/>
        </w:pBdr>
        <w:spacing w:after="60" w:before="360"/>
        <w:jc w:val="center"/>
      </w:pPr>
      <w:r>
        <w:rPr>
          <w:rFonts w:ascii="Arial" w:cs="Arial" w:eastAsia="Arial" w:hAnsi="Arial"/>
          <w:color w:val="666666"/>
          <w:sz w:val="20"/>
          <w:szCs w:val="20"/>
        </w:rPr>
        <w:t xml:space="preserve">Version 1.0  |  June 2025  |  CONFIDENTIAL</w:t>
      </w:r>
    </w:p>
    <w:p>
      <w:pPr>
        <w:spacing w:after="60" w:before="480"/>
        <w:jc w:val="center"/>
      </w:pPr>
      <w:r>
        <w:rPr>
          <w:rFonts w:ascii="Arial" w:cs="Arial" w:eastAsia="Arial" w:hAnsi="Arial"/>
          <w:color w:val="666666"/>
          <w:sz w:val="20"/>
          <w:szCs w:val="20"/>
        </w:rPr>
        <w:t xml:space="preserve">Prepared by:</w:t>
      </w:r>
    </w:p>
    <w:p>
      <w:pPr>
        <w:spacing w:after="60" w:before="60"/>
        <w:jc w:val="center"/>
      </w:pPr>
      <w:r>
        <w:rPr>
          <w:rFonts w:ascii="Arial" w:cs="Arial" w:eastAsia="Arial" w:hAnsi="Arial"/>
          <w:b/>
          <w:bCs/>
          <w:color w:val="1A3A6B"/>
          <w:sz w:val="24"/>
          <w:szCs w:val="24"/>
        </w:rPr>
        <w:t xml:space="preserve">OpenClaw Technologies</w:t>
      </w:r>
    </w:p>
    <w:p>
      <w:pPr>
        <w:spacing w:after="60" w:before="240"/>
        <w:jc w:val="center"/>
      </w:pPr>
      <w:r>
        <w:rPr>
          <w:rFonts w:ascii="Arial" w:cs="Arial" w:eastAsia="Arial" w:hAnsi="Arial"/>
          <w:color w:val="666666"/>
          <w:sz w:val="20"/>
          <w:szCs w:val="20"/>
        </w:rPr>
        <w:t xml:space="preserve">Prepared for:</w:t>
      </w:r>
    </w:p>
    <w:p>
      <w:pPr>
        <w:spacing w:after="60" w:before="60"/>
        <w:jc w:val="center"/>
      </w:pPr>
      <w:r>
        <w:rPr>
          <w:rFonts w:ascii="Arial" w:cs="Arial" w:eastAsia="Arial" w:hAnsi="Arial"/>
          <w:b/>
          <w:bCs/>
          <w:color w:val="2E5FA3"/>
          <w:sz w:val="24"/>
          <w:szCs w:val="24"/>
        </w:rPr>
        <w:t xml:space="preserve">[CLIENT ORGANIZATION NAME]</w:t>
      </w:r>
    </w:p>
    <w:p>
      <w:r>
        <w:br w:type="page"/>
      </w:r>
    </w:p>
    <w:p>
      <w:pPr>
        <w:pStyle w:val="Heading1"/>
        <w:spacing w:after="180" w:before="360"/>
      </w:pPr>
      <w:r>
        <w:rPr>
          <w:rFonts w:ascii="Arial" w:cs="Arial" w:eastAsia="Arial" w:hAnsi="Arial"/>
          <w:b/>
          <w:bCs/>
          <w:color w:val="1A3A6B"/>
          <w:sz w:val="36"/>
          <w:szCs w:val="36"/>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234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Date</w:t>
            </w:r>
          </w:p>
        </w:tc>
        <w:tc>
          <w:tcPr>
            <w:tcW w:type="dxa" w:w="234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Author</w:t>
            </w:r>
          </w:p>
        </w:tc>
        <w:tc>
          <w:tcPr>
            <w:tcW w:type="dxa" w:w="234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34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w:t>
            </w:r>
          </w:p>
        </w:tc>
        <w:tc>
          <w:tcPr>
            <w:tcW w:type="dxa" w:w="234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June 2025</w:t>
            </w:r>
          </w:p>
        </w:tc>
        <w:tc>
          <w:tcPr>
            <w:tcW w:type="dxa" w:w="234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OpenClaw Technologies</w:t>
            </w:r>
          </w:p>
        </w:tc>
        <w:tc>
          <w:tcPr>
            <w:tcW w:type="dxa" w:w="234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Initial draft for client review</w:t>
            </w:r>
          </w:p>
        </w:tc>
      </w:tr>
      <w:tr>
        <w:tc>
          <w:tcPr>
            <w:tcW w:type="dxa" w:w="234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c>
          <w:tcPr>
            <w:tcW w:type="dxa" w:w="234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c>
          <w:tcPr>
            <w:tcW w:type="dxa" w:w="234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c>
          <w:tcPr>
            <w:tcW w:type="dxa" w:w="234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24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bCs/>
                <w:sz w:val="18"/>
                <w:szCs w:val="18"/>
              </w:rPr>
              <w:t xml:space="preserve">Document Owner</w:t>
            </w:r>
          </w:p>
        </w:tc>
        <w:tc>
          <w:tcPr>
            <w:tcW w:type="dxa" w:w="624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OpenClaw Technologies Presales Team</w:t>
            </w:r>
          </w:p>
        </w:tc>
      </w:tr>
      <w:tr>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Engagement Type</w:t>
            </w:r>
          </w:p>
        </w:tc>
        <w:tc>
          <w:tcPr>
            <w:tcW w:type="dxa" w:w="624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Proof of Concept (POC)</w:t>
            </w:r>
          </w:p>
        </w:tc>
      </w:tr>
      <w:tr>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bCs/>
                <w:sz w:val="18"/>
                <w:szCs w:val="18"/>
              </w:rPr>
              <w:t xml:space="preserve">Target Start Date</w:t>
            </w:r>
          </w:p>
        </w:tc>
        <w:tc>
          <w:tcPr>
            <w:tcW w:type="dxa" w:w="624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[TO BE CONFIRMED WITH CLIENT]</w:t>
            </w:r>
          </w:p>
        </w:tc>
      </w:tr>
      <w:tr>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POC Duration</w:t>
            </w:r>
          </w:p>
        </w:tc>
        <w:tc>
          <w:tcPr>
            <w:tcW w:type="dxa" w:w="624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4-6 weeks</w:t>
            </w:r>
          </w:p>
        </w:tc>
      </w:tr>
      <w:tr>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bCs/>
                <w:sz w:val="18"/>
                <w:szCs w:val="18"/>
              </w:rPr>
              <w:t xml:space="preserve">Expiry of SOW</w:t>
            </w:r>
          </w:p>
        </w:tc>
        <w:tc>
          <w:tcPr>
            <w:tcW w:type="dxa" w:w="624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90 days from issue date</w:t>
            </w:r>
          </w:p>
        </w:tc>
      </w:tr>
    </w:tbl>
    <w:p>
      <w:r>
        <w:br w:type="page"/>
      </w:r>
    </w:p>
    <w:p>
      <w:pPr>
        <w:pStyle w:val="Heading1"/>
        <w:spacing w:after="180" w:before="360"/>
      </w:pPr>
      <w:r>
        <w:rPr>
          <w:rFonts w:ascii="Arial" w:cs="Arial" w:eastAsia="Arial" w:hAnsi="Arial"/>
          <w:b/>
          <w:bCs/>
          <w:color w:val="1A3A6B"/>
          <w:sz w:val="36"/>
          <w:szCs w:val="36"/>
        </w:rPr>
        <w:t xml:space="preserve">1. Executive Summary and Business Objectives</w:t>
      </w:r>
    </w:p>
    <w:p>
      <w:pPr>
        <w:spacing w:after="80" w:before="60"/>
      </w:pPr>
      <w:r>
        <w:rPr>
          <w:rFonts w:ascii="Arial" w:cs="Arial" w:eastAsia="Arial" w:hAnsi="Arial"/>
          <w:sz w:val="20"/>
          <w:szCs w:val="20"/>
        </w:rPr>
        <w:t xml:space="preserve">This Statement of Work (SOW) defines the scope, deliverables, timeline, roles, and commercial terms for a Proof of Concept (POC) engagement between OpenClaw Technologies (the Vendor) and [Client Organization Name] (the Client) for the deployment and evaluation of the OpenClaw + n8n AI Orchestration Platform.</w:t>
      </w:r>
    </w:p>
    <w:p>
      <w:pPr>
        <w:spacing w:after="80" w:before="60"/>
      </w:pPr>
      <w:r>
        <w:rPr>
          <w:rFonts w:ascii="Arial" w:cs="Arial" w:eastAsia="Arial" w:hAnsi="Arial"/>
          <w:sz w:val="20"/>
          <w:szCs w:val="20"/>
        </w:rPr>
        <w:t xml:space="preserve">The POC is designed to demonstrate the platform's capability to deliver measurable business value within a time-boxed engagement of 4-6 weeks. The evaluation will be conducted on client-provided hardware (Windows laptop or equivalent), demonstrating the full platform capability in a controlled environment before any production infrastructure commitment is required.</w:t>
      </w:r>
    </w:p>
    <w:p>
      <w:pPr>
        <w:pStyle w:val="Heading2"/>
        <w:spacing w:after="120" w:before="240"/>
      </w:pPr>
      <w:r>
        <w:rPr>
          <w:rFonts w:ascii="Arial" w:cs="Arial" w:eastAsia="Arial" w:hAnsi="Arial"/>
          <w:b/>
          <w:bCs/>
          <w:color w:val="2E5FA3"/>
          <w:sz w:val="28"/>
          <w:szCs w:val="28"/>
        </w:rPr>
        <w:t xml:space="preserve">1.1 Business Objectives</w:t>
      </w:r>
    </w:p>
    <w:p>
      <w:pPr>
        <w:spacing w:after="80" w:before="60"/>
      </w:pPr>
      <w:r>
        <w:rPr>
          <w:rFonts w:ascii="Arial" w:cs="Arial" w:eastAsia="Arial" w:hAnsi="Arial"/>
          <w:sz w:val="20"/>
          <w:szCs w:val="20"/>
        </w:rPr>
        <w:t xml:space="preserve">The Client seeks to achieve the following outcomes through this POC engagement:</w:t>
      </w:r>
    </w:p>
    <w:p>
      <w:pPr>
        <w:pStyle w:val="ListParagraph"/>
        <w:numPr>
          <w:ilvl w:val="0"/>
          <w:numId w:val="2"/>
        </w:numPr>
        <w:spacing w:after="40" w:before="40"/>
      </w:pPr>
      <w:r>
        <w:rPr>
          <w:rFonts w:ascii="Arial" w:cs="Arial" w:eastAsia="Arial" w:hAnsi="Arial"/>
          <w:sz w:val="20"/>
          <w:szCs w:val="20"/>
        </w:rPr>
        <w:t xml:space="preserve">Validate the platform's capability to automate [Client's specific target process] end-to-end without extensive custom development</w:t>
      </w:r>
    </w:p>
    <w:p>
      <w:pPr>
        <w:pStyle w:val="ListParagraph"/>
        <w:numPr>
          <w:ilvl w:val="0"/>
          <w:numId w:val="2"/>
        </w:numPr>
        <w:spacing w:after="40" w:before="40"/>
      </w:pPr>
      <w:r>
        <w:rPr>
          <w:rFonts w:ascii="Arial" w:cs="Arial" w:eastAsia="Arial" w:hAnsi="Arial"/>
          <w:sz w:val="20"/>
          <w:szCs w:val="20"/>
        </w:rPr>
        <w:t xml:space="preserve">Demonstrate the ROI model through measurable reduction in manual effort for selected pilot workflows</w:t>
      </w:r>
    </w:p>
    <w:p>
      <w:pPr>
        <w:pStyle w:val="ListParagraph"/>
        <w:numPr>
          <w:ilvl w:val="0"/>
          <w:numId w:val="2"/>
        </w:numPr>
        <w:spacing w:after="40" w:before="40"/>
      </w:pPr>
      <w:r>
        <w:rPr>
          <w:rFonts w:ascii="Arial" w:cs="Arial" w:eastAsia="Arial" w:hAnsi="Arial"/>
          <w:sz w:val="20"/>
          <w:szCs w:val="20"/>
        </w:rPr>
        <w:t xml:space="preserve">Evaluate the technical feasibility of integrating the platform with existing Client systems including [list of Client systems]</w:t>
      </w:r>
    </w:p>
    <w:p>
      <w:pPr>
        <w:pStyle w:val="ListParagraph"/>
        <w:numPr>
          <w:ilvl w:val="0"/>
          <w:numId w:val="2"/>
        </w:numPr>
        <w:spacing w:after="40" w:before="40"/>
      </w:pPr>
      <w:r>
        <w:rPr>
          <w:rFonts w:ascii="Arial" w:cs="Arial" w:eastAsia="Arial" w:hAnsi="Arial"/>
          <w:sz w:val="20"/>
          <w:szCs w:val="20"/>
        </w:rPr>
        <w:t xml:space="preserve">Assess the security architecture and compliance posture against Client's enterprise security policies</w:t>
      </w:r>
    </w:p>
    <w:p>
      <w:pPr>
        <w:pStyle w:val="ListParagraph"/>
        <w:numPr>
          <w:ilvl w:val="0"/>
          <w:numId w:val="2"/>
        </w:numPr>
        <w:spacing w:after="40" w:before="40"/>
      </w:pPr>
      <w:r>
        <w:rPr>
          <w:rFonts w:ascii="Arial" w:cs="Arial" w:eastAsia="Arial" w:hAnsi="Arial"/>
          <w:sz w:val="20"/>
          <w:szCs w:val="20"/>
        </w:rPr>
        <w:t xml:space="preserve">Provide the Client technical team with hands-on experience to build internal capability for ongoing platform operation</w:t>
      </w:r>
    </w:p>
    <w:p>
      <w:pPr>
        <w:pStyle w:val="Heading2"/>
        <w:spacing w:after="120" w:before="240"/>
      </w:pPr>
      <w:r>
        <w:rPr>
          <w:rFonts w:ascii="Arial" w:cs="Arial" w:eastAsia="Arial" w:hAnsi="Arial"/>
          <w:b/>
          <w:bCs/>
          <w:color w:val="2E5FA3"/>
          <w:sz w:val="28"/>
          <w:szCs w:val="28"/>
        </w:rPr>
        <w:t xml:space="preserve">1.2 Success Definition</w:t>
      </w:r>
    </w:p>
    <w:p>
      <w:pPr>
        <w:spacing w:after="80" w:before="60"/>
      </w:pPr>
      <w:r>
        <w:rPr>
          <w:rFonts w:ascii="Arial" w:cs="Arial" w:eastAsia="Arial" w:hAnsi="Arial"/>
          <w:sz w:val="20"/>
          <w:szCs w:val="20"/>
        </w:rPr>
        <w:t xml:space="preserve">The POC will be considered successful when the Client's nominated evaluators can confirm:</w:t>
      </w:r>
    </w:p>
    <w:p>
      <w:pPr>
        <w:pStyle w:val="ListParagraph"/>
        <w:numPr>
          <w:ilvl w:val="0"/>
          <w:numId w:val="3"/>
        </w:numPr>
        <w:spacing w:after="40" w:before="40"/>
      </w:pPr>
      <w:r>
        <w:rPr>
          <w:rFonts w:ascii="Arial" w:cs="Arial" w:eastAsia="Arial" w:hAnsi="Arial"/>
          <w:sz w:val="20"/>
          <w:szCs w:val="20"/>
        </w:rPr>
        <w:t xml:space="preserve">At least two end-to-end automated workflows are operational and producing correct outputs</w:t>
      </w:r>
    </w:p>
    <w:p>
      <w:pPr>
        <w:pStyle w:val="ListParagraph"/>
        <w:numPr>
          <w:ilvl w:val="0"/>
          <w:numId w:val="3"/>
        </w:numPr>
        <w:spacing w:after="40" w:before="40"/>
      </w:pPr>
      <w:r>
        <w:rPr>
          <w:rFonts w:ascii="Arial" w:cs="Arial" w:eastAsia="Arial" w:hAnsi="Arial"/>
          <w:sz w:val="20"/>
          <w:szCs w:val="20"/>
        </w:rPr>
        <w:t xml:space="preserve">LLM routing via OpenClaw Gateway is functional with the Client's preferred AI provider</w:t>
      </w:r>
    </w:p>
    <w:p>
      <w:pPr>
        <w:pStyle w:val="ListParagraph"/>
        <w:numPr>
          <w:ilvl w:val="0"/>
          <w:numId w:val="3"/>
        </w:numPr>
        <w:spacing w:after="40" w:before="40"/>
      </w:pPr>
      <w:r>
        <w:rPr>
          <w:rFonts w:ascii="Arial" w:cs="Arial" w:eastAsia="Arial" w:hAnsi="Arial"/>
          <w:sz w:val="20"/>
          <w:szCs w:val="20"/>
        </w:rPr>
        <w:t xml:space="preserve">The n8n editor is accessible and the Client team can independently create and modify simple workflows</w:t>
      </w:r>
    </w:p>
    <w:p>
      <w:pPr>
        <w:pStyle w:val="ListParagraph"/>
        <w:numPr>
          <w:ilvl w:val="0"/>
          <w:numId w:val="3"/>
        </w:numPr>
        <w:spacing w:after="40" w:before="40"/>
      </w:pPr>
      <w:r>
        <w:rPr>
          <w:rFonts w:ascii="Arial" w:cs="Arial" w:eastAsia="Arial" w:hAnsi="Arial"/>
          <w:sz w:val="20"/>
          <w:szCs w:val="20"/>
        </w:rPr>
        <w:t xml:space="preserve">Platform health checks pass and all components report healthy status</w:t>
      </w:r>
    </w:p>
    <w:p>
      <w:pPr>
        <w:pStyle w:val="ListParagraph"/>
        <w:numPr>
          <w:ilvl w:val="0"/>
          <w:numId w:val="3"/>
        </w:numPr>
        <w:spacing w:after="40" w:before="40"/>
      </w:pPr>
      <w:r>
        <w:rPr>
          <w:rFonts w:ascii="Arial" w:cs="Arial" w:eastAsia="Arial" w:hAnsi="Arial"/>
          <w:sz w:val="20"/>
          <w:szCs w:val="20"/>
        </w:rPr>
        <w:t xml:space="preserve">Platform performance meets the minimum throughput targets specified in Section 6</w:t>
      </w:r>
    </w:p>
    <w:p>
      <w:r>
        <w:br w:type="page"/>
      </w:r>
    </w:p>
    <w:p>
      <w:pPr>
        <w:pStyle w:val="Heading1"/>
        <w:spacing w:after="180" w:before="360"/>
      </w:pPr>
      <w:r>
        <w:rPr>
          <w:rFonts w:ascii="Arial" w:cs="Arial" w:eastAsia="Arial" w:hAnsi="Arial"/>
          <w:b/>
          <w:bCs/>
          <w:color w:val="1A3A6B"/>
          <w:sz w:val="36"/>
          <w:szCs w:val="36"/>
        </w:rPr>
        <w:t xml:space="preserve">2. Scope of Work</w:t>
      </w:r>
    </w:p>
    <w:p>
      <w:pPr>
        <w:pStyle w:val="Heading2"/>
        <w:spacing w:after="120" w:before="240"/>
      </w:pPr>
      <w:r>
        <w:rPr>
          <w:rFonts w:ascii="Arial" w:cs="Arial" w:eastAsia="Arial" w:hAnsi="Arial"/>
          <w:b/>
          <w:bCs/>
          <w:color w:val="2E5FA3"/>
          <w:sz w:val="28"/>
          <w:szCs w:val="28"/>
        </w:rPr>
        <w:t xml:space="preserve">2.1 In-Scope Activities</w:t>
      </w:r>
    </w:p>
    <w:p>
      <w:pPr>
        <w:spacing w:after="80" w:before="60"/>
      </w:pPr>
      <w:r>
        <w:rPr>
          <w:rFonts w:ascii="Arial" w:cs="Arial" w:eastAsia="Arial" w:hAnsi="Arial"/>
          <w:sz w:val="20"/>
          <w:szCs w:val="20"/>
        </w:rPr>
        <w:t xml:space="preserve">The following activities are included in this SOW and will be delivered by the Vendor:</w:t>
      </w:r>
    </w:p>
    <w:p>
      <w:pPr>
        <w:pStyle w:val="Heading3"/>
        <w:spacing w:after="80" w:before="180"/>
      </w:pPr>
      <w:r>
        <w:rPr>
          <w:rFonts w:ascii="Arial" w:cs="Arial" w:eastAsia="Arial" w:hAnsi="Arial"/>
          <w:b/>
          <w:bCs/>
          <w:color w:val="2E5FA3"/>
          <w:sz w:val="24"/>
          <w:szCs w:val="24"/>
        </w:rPr>
        <w:t xml:space="preserve">Phase 1: Environment Setup and Platform Deployment</w:t>
      </w:r>
    </w:p>
    <w:p>
      <w:pPr>
        <w:pStyle w:val="ListParagraph"/>
        <w:numPr>
          <w:ilvl w:val="0"/>
          <w:numId w:val="2"/>
        </w:numPr>
        <w:spacing w:after="40" w:before="40"/>
      </w:pPr>
      <w:r>
        <w:rPr>
          <w:rFonts w:ascii="Arial" w:cs="Arial" w:eastAsia="Arial" w:hAnsi="Arial"/>
          <w:sz w:val="20"/>
          <w:szCs w:val="20"/>
        </w:rPr>
        <w:t xml:space="preserve">Pre-engagement technical discovery call (up to 2 hours) to confirm hardware, network, and LLM provider details</w:t>
      </w:r>
    </w:p>
    <w:p>
      <w:pPr>
        <w:pStyle w:val="ListParagraph"/>
        <w:numPr>
          <w:ilvl w:val="0"/>
          <w:numId w:val="2"/>
        </w:numPr>
        <w:spacing w:after="40" w:before="40"/>
      </w:pPr>
      <w:r>
        <w:rPr>
          <w:rFonts w:ascii="Arial" w:cs="Arial" w:eastAsia="Arial" w:hAnsi="Arial"/>
          <w:sz w:val="20"/>
          <w:szCs w:val="20"/>
        </w:rPr>
        <w:t xml:space="preserve">Delivery of deployment package including deploy.sh script, Docker Compose configuration, and config.env template</w:t>
      </w:r>
    </w:p>
    <w:p>
      <w:pPr>
        <w:pStyle w:val="ListParagraph"/>
        <w:numPr>
          <w:ilvl w:val="0"/>
          <w:numId w:val="2"/>
        </w:numPr>
        <w:spacing w:after="40" w:before="40"/>
      </w:pPr>
      <w:r>
        <w:rPr>
          <w:rFonts w:ascii="Arial" w:cs="Arial" w:eastAsia="Arial" w:hAnsi="Arial"/>
          <w:sz w:val="20"/>
          <w:szCs w:val="20"/>
        </w:rPr>
        <w:t xml:space="preserve">Guided deployment session: end-to-end automated installation on client-provided hardware</w:t>
      </w:r>
    </w:p>
    <w:p>
      <w:pPr>
        <w:pStyle w:val="ListParagraph"/>
        <w:numPr>
          <w:ilvl w:val="0"/>
          <w:numId w:val="2"/>
        </w:numPr>
        <w:spacing w:after="40" w:before="40"/>
      </w:pPr>
      <w:r>
        <w:rPr>
          <w:rFonts w:ascii="Arial" w:cs="Arial" w:eastAsia="Arial" w:hAnsi="Arial"/>
          <w:sz w:val="20"/>
          <w:szCs w:val="20"/>
        </w:rPr>
        <w:t xml:space="preserve">WSL2 configuration, Docker Engine installation, and stack startup validation</w:t>
      </w:r>
    </w:p>
    <w:p>
      <w:pPr>
        <w:pStyle w:val="ListParagraph"/>
        <w:numPr>
          <w:ilvl w:val="0"/>
          <w:numId w:val="2"/>
        </w:numPr>
        <w:spacing w:after="40" w:before="40"/>
      </w:pPr>
      <w:r>
        <w:rPr>
          <w:rFonts w:ascii="Arial" w:cs="Arial" w:eastAsia="Arial" w:hAnsi="Arial"/>
          <w:sz w:val="20"/>
          <w:szCs w:val="20"/>
        </w:rPr>
        <w:t xml:space="preserve">OpenClaw AI Gateway configuration with Client's OpenAI and/or Anthropic API credentials</w:t>
      </w:r>
    </w:p>
    <w:p>
      <w:pPr>
        <w:pStyle w:val="ListParagraph"/>
        <w:numPr>
          <w:ilvl w:val="0"/>
          <w:numId w:val="2"/>
        </w:numPr>
        <w:spacing w:after="40" w:before="40"/>
      </w:pPr>
      <w:r>
        <w:rPr>
          <w:rFonts w:ascii="Arial" w:cs="Arial" w:eastAsia="Arial" w:hAnsi="Arial"/>
          <w:sz w:val="20"/>
          <w:szCs w:val="20"/>
        </w:rPr>
        <w:t xml:space="preserve">Health check execution and resolution of any deployment issues identified during initial setup</w:t>
      </w:r>
    </w:p>
    <w:p>
      <w:pPr>
        <w:pStyle w:val="Heading3"/>
        <w:spacing w:after="80" w:before="180"/>
      </w:pPr>
      <w:r>
        <w:rPr>
          <w:rFonts w:ascii="Arial" w:cs="Arial" w:eastAsia="Arial" w:hAnsi="Arial"/>
          <w:b/>
          <w:bCs/>
          <w:color w:val="2E5FA3"/>
          <w:sz w:val="24"/>
          <w:szCs w:val="24"/>
        </w:rPr>
        <w:t xml:space="preserve">Phase 2: Integration Configuration</w:t>
      </w:r>
    </w:p>
    <w:p>
      <w:pPr>
        <w:pStyle w:val="ListParagraph"/>
        <w:numPr>
          <w:ilvl w:val="0"/>
          <w:numId w:val="2"/>
        </w:numPr>
        <w:spacing w:after="40" w:before="40"/>
      </w:pPr>
      <w:r>
        <w:rPr>
          <w:rFonts w:ascii="Arial" w:cs="Arial" w:eastAsia="Arial" w:hAnsi="Arial"/>
          <w:sz w:val="20"/>
          <w:szCs w:val="20"/>
        </w:rPr>
        <w:t xml:space="preserve">n8n owner account creation and initial platform configuration</w:t>
      </w:r>
    </w:p>
    <w:p>
      <w:pPr>
        <w:pStyle w:val="ListParagraph"/>
        <w:numPr>
          <w:ilvl w:val="0"/>
          <w:numId w:val="2"/>
        </w:numPr>
        <w:spacing w:after="40" w:before="40"/>
      </w:pPr>
      <w:r>
        <w:rPr>
          <w:rFonts w:ascii="Arial" w:cs="Arial" w:eastAsia="Arial" w:hAnsi="Arial"/>
          <w:sz w:val="20"/>
          <w:szCs w:val="20"/>
        </w:rPr>
        <w:t xml:space="preserve">Configuration of up to three (3) external service integrations from the standard n8n node library (e.g., Slack, email, HTTP webhook, PostgreSQL, Salesforce)</w:t>
      </w:r>
    </w:p>
    <w:p>
      <w:pPr>
        <w:pStyle w:val="ListParagraph"/>
        <w:numPr>
          <w:ilvl w:val="0"/>
          <w:numId w:val="2"/>
        </w:numPr>
        <w:spacing w:after="40" w:before="40"/>
      </w:pPr>
      <w:r>
        <w:rPr>
          <w:rFonts w:ascii="Arial" w:cs="Arial" w:eastAsia="Arial" w:hAnsi="Arial"/>
          <w:sz w:val="20"/>
          <w:szCs w:val="20"/>
        </w:rPr>
        <w:t xml:space="preserve">OpenClaw Gateway route configuration for Client's nominated LLM provider(s)</w:t>
      </w:r>
    </w:p>
    <w:p>
      <w:pPr>
        <w:pStyle w:val="ListParagraph"/>
        <w:numPr>
          <w:ilvl w:val="0"/>
          <w:numId w:val="2"/>
        </w:numPr>
        <w:spacing w:after="40" w:before="40"/>
      </w:pPr>
      <w:r>
        <w:rPr>
          <w:rFonts w:ascii="Arial" w:cs="Arial" w:eastAsia="Arial" w:hAnsi="Arial"/>
          <w:sz w:val="20"/>
          <w:szCs w:val="20"/>
        </w:rPr>
        <w:t xml:space="preserve">pgvector database initialization and connection configuration</w:t>
      </w:r>
    </w:p>
    <w:p>
      <w:pPr>
        <w:pStyle w:val="ListParagraph"/>
        <w:numPr>
          <w:ilvl w:val="0"/>
          <w:numId w:val="2"/>
        </w:numPr>
        <w:spacing w:after="40" w:before="40"/>
      </w:pPr>
      <w:r>
        <w:rPr>
          <w:rFonts w:ascii="Arial" w:cs="Arial" w:eastAsia="Arial" w:hAnsi="Arial"/>
          <w:sz w:val="20"/>
          <w:szCs w:val="20"/>
        </w:rPr>
        <w:t xml:space="preserve">MCP Server deployment and basic agent tool configuration</w:t>
      </w:r>
    </w:p>
    <w:p>
      <w:pPr>
        <w:pStyle w:val="Heading3"/>
        <w:spacing w:after="80" w:before="180"/>
      </w:pPr>
      <w:r>
        <w:rPr>
          <w:rFonts w:ascii="Arial" w:cs="Arial" w:eastAsia="Arial" w:hAnsi="Arial"/>
          <w:b/>
          <w:bCs/>
          <w:color w:val="2E5FA3"/>
          <w:sz w:val="24"/>
          <w:szCs w:val="24"/>
        </w:rPr>
        <w:t xml:space="preserve">Phase 3: Pilot Workflow Development</w:t>
      </w:r>
    </w:p>
    <w:p>
      <w:pPr>
        <w:pStyle w:val="ListParagraph"/>
        <w:numPr>
          <w:ilvl w:val="0"/>
          <w:numId w:val="2"/>
        </w:numPr>
        <w:spacing w:after="40" w:before="40"/>
      </w:pPr>
      <w:r>
        <w:rPr>
          <w:rFonts w:ascii="Arial" w:cs="Arial" w:eastAsia="Arial" w:hAnsi="Arial"/>
          <w:sz w:val="20"/>
          <w:szCs w:val="20"/>
        </w:rPr>
        <w:t xml:space="preserve">Development of up to two (2) agreed pilot workflows as specified in the Deliverables table (Section 4)</w:t>
      </w:r>
    </w:p>
    <w:p>
      <w:pPr>
        <w:pStyle w:val="ListParagraph"/>
        <w:numPr>
          <w:ilvl w:val="0"/>
          <w:numId w:val="2"/>
        </w:numPr>
        <w:spacing w:after="40" w:before="40"/>
      </w:pPr>
      <w:r>
        <w:rPr>
          <w:rFonts w:ascii="Arial" w:cs="Arial" w:eastAsia="Arial" w:hAnsi="Arial"/>
          <w:sz w:val="20"/>
          <w:szCs w:val="20"/>
        </w:rPr>
        <w:t xml:space="preserve">Each pilot workflow to include: trigger configuration, at least three processing nodes, error handling, and output delivery</w:t>
      </w:r>
    </w:p>
    <w:p>
      <w:pPr>
        <w:pStyle w:val="ListParagraph"/>
        <w:numPr>
          <w:ilvl w:val="0"/>
          <w:numId w:val="2"/>
        </w:numPr>
        <w:spacing w:after="40" w:before="40"/>
      </w:pPr>
      <w:r>
        <w:rPr>
          <w:rFonts w:ascii="Arial" w:cs="Arial" w:eastAsia="Arial" w:hAnsi="Arial"/>
          <w:sz w:val="20"/>
          <w:szCs w:val="20"/>
        </w:rPr>
        <w:t xml:space="preserve">Workflow testing and iteration with Client participation</w:t>
      </w:r>
    </w:p>
    <w:p>
      <w:pPr>
        <w:pStyle w:val="ListParagraph"/>
        <w:numPr>
          <w:ilvl w:val="0"/>
          <w:numId w:val="2"/>
        </w:numPr>
        <w:spacing w:after="40" w:before="40"/>
      </w:pPr>
      <w:r>
        <w:rPr>
          <w:rFonts w:ascii="Arial" w:cs="Arial" w:eastAsia="Arial" w:hAnsi="Arial"/>
          <w:sz w:val="20"/>
          <w:szCs w:val="20"/>
        </w:rPr>
        <w:t xml:space="preserve">Documentation of each pilot workflow including node configuration and data flow</w:t>
      </w:r>
    </w:p>
    <w:p>
      <w:pPr>
        <w:pStyle w:val="Heading3"/>
        <w:spacing w:after="80" w:before="180"/>
      </w:pPr>
      <w:r>
        <w:rPr>
          <w:rFonts w:ascii="Arial" w:cs="Arial" w:eastAsia="Arial" w:hAnsi="Arial"/>
          <w:b/>
          <w:bCs/>
          <w:color w:val="2E5FA3"/>
          <w:sz w:val="24"/>
          <w:szCs w:val="24"/>
        </w:rPr>
        <w:t xml:space="preserve">Phase 4: Knowledge Transfer and Handover</w:t>
      </w:r>
    </w:p>
    <w:p>
      <w:pPr>
        <w:pStyle w:val="ListParagraph"/>
        <w:numPr>
          <w:ilvl w:val="0"/>
          <w:numId w:val="2"/>
        </w:numPr>
        <w:spacing w:after="40" w:before="40"/>
      </w:pPr>
      <w:r>
        <w:rPr>
          <w:rFonts w:ascii="Arial" w:cs="Arial" w:eastAsia="Arial" w:hAnsi="Arial"/>
          <w:sz w:val="20"/>
          <w:szCs w:val="20"/>
        </w:rPr>
        <w:t xml:space="preserve">Half-day (4-hour) live knowledge transfer session covering platform administration and workflow building</w:t>
      </w:r>
    </w:p>
    <w:p>
      <w:pPr>
        <w:pStyle w:val="ListParagraph"/>
        <w:numPr>
          <w:ilvl w:val="0"/>
          <w:numId w:val="2"/>
        </w:numPr>
        <w:spacing w:after="40" w:before="40"/>
      </w:pPr>
      <w:r>
        <w:rPr>
          <w:rFonts w:ascii="Arial" w:cs="Arial" w:eastAsia="Arial" w:hAnsi="Arial"/>
          <w:sz w:val="20"/>
          <w:szCs w:val="20"/>
        </w:rPr>
        <w:t xml:space="preserve">Delivery of Implementation Guide and configuration reference documentation</w:t>
      </w:r>
    </w:p>
    <w:p>
      <w:pPr>
        <w:pStyle w:val="ListParagraph"/>
        <w:numPr>
          <w:ilvl w:val="0"/>
          <w:numId w:val="2"/>
        </w:numPr>
        <w:spacing w:after="40" w:before="40"/>
      </w:pPr>
      <w:r>
        <w:rPr>
          <w:rFonts w:ascii="Arial" w:cs="Arial" w:eastAsia="Arial" w:hAnsi="Arial"/>
          <w:sz w:val="20"/>
          <w:szCs w:val="20"/>
        </w:rPr>
        <w:t xml:space="preserve">Q&amp;A session with Client technical team</w:t>
      </w:r>
    </w:p>
    <w:p>
      <w:pPr>
        <w:pStyle w:val="ListParagraph"/>
        <w:numPr>
          <w:ilvl w:val="0"/>
          <w:numId w:val="2"/>
        </w:numPr>
        <w:spacing w:after="40" w:before="40"/>
      </w:pPr>
      <w:r>
        <w:rPr>
          <w:rFonts w:ascii="Arial" w:cs="Arial" w:eastAsia="Arial" w:hAnsi="Arial"/>
          <w:sz w:val="20"/>
          <w:szCs w:val="20"/>
        </w:rPr>
        <w:t xml:space="preserve">Post-deployment support (email/chat) for up to 10 business days following knowledge transfer</w:t>
      </w:r>
    </w:p>
    <w:p>
      <w:pPr>
        <w:pStyle w:val="Heading2"/>
        <w:spacing w:after="120" w:before="240"/>
      </w:pPr>
      <w:r>
        <w:rPr>
          <w:rFonts w:ascii="Arial" w:cs="Arial" w:eastAsia="Arial" w:hAnsi="Arial"/>
          <w:b/>
          <w:bCs/>
          <w:color w:val="2E5FA3"/>
          <w:sz w:val="28"/>
          <w:szCs w:val="28"/>
        </w:rPr>
        <w:t xml:space="preserve">2.2 Deliverables</w:t>
      </w:r>
    </w:p>
    <w:p>
      <w:pPr>
        <w:spacing w:after="80" w:before="60"/>
      </w:pPr>
      <w:r>
        <w:rPr>
          <w:rFonts w:ascii="Arial" w:cs="Arial" w:eastAsia="Arial" w:hAnsi="Arial"/>
          <w:sz w:val="20"/>
          <w:szCs w:val="20"/>
        </w:rPr>
        <w:t xml:space="preserve">The following deliverables will be provided to the Client upon completion of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3200"/>
        <w:gridCol w:w="1680"/>
        <w:gridCol w:w="1680"/>
      </w:tblGrid>
      <w:tr>
        <w:tc>
          <w:tcPr>
            <w:tcW w:type="dxa" w:w="2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6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32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68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Format</w:t>
            </w:r>
          </w:p>
        </w:tc>
        <w:tc>
          <w:tcPr>
            <w:tcW w:type="dxa" w:w="168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Phase</w:t>
            </w:r>
          </w:p>
        </w:tc>
      </w:tr>
      <w:tr>
        <w:tc>
          <w:tcPr>
            <w:tcW w:type="dxa" w:w="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w:t>
            </w:r>
          </w:p>
        </w:tc>
        <w:tc>
          <w:tcPr>
            <w:tcW w:type="dxa" w:w="26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bCs/>
                <w:sz w:val="18"/>
                <w:szCs w:val="18"/>
              </w:rPr>
              <w:t xml:space="preserve">Deployment Package</w:t>
            </w:r>
          </w:p>
        </w:tc>
        <w:tc>
          <w:tcPr>
            <w:tcW w:type="dxa" w:w="3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deploy.sh, docker-compose.yml, config.env.example, healthcheck.sh scripts</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ZIP archive</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Phase 1</w:t>
            </w:r>
          </w:p>
        </w:tc>
      </w:tr>
      <w:tr>
        <w:tc>
          <w:tcPr>
            <w:tcW w:type="dxa" w:w="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w:t>
            </w:r>
          </w:p>
        </w:tc>
        <w:tc>
          <w:tcPr>
            <w:tcW w:type="dxa" w:w="2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Deployed Platform</w:t>
            </w:r>
          </w:p>
        </w:tc>
        <w:tc>
          <w:tcPr>
            <w:tcW w:type="dxa" w:w="3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Fully operational stack on client hardware: n8n, OpenClaw, PostgreSQL, pgvector, Redis, MCP</w:t>
            </w:r>
          </w:p>
        </w:tc>
        <w:tc>
          <w:tcPr>
            <w:tcW w:type="dxa" w:w="1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Running services</w:t>
            </w:r>
          </w:p>
        </w:tc>
        <w:tc>
          <w:tcPr>
            <w:tcW w:type="dxa" w:w="1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Phase 1</w:t>
            </w:r>
          </w:p>
        </w:tc>
      </w:tr>
      <w:tr>
        <w:tc>
          <w:tcPr>
            <w:tcW w:type="dxa" w:w="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w:t>
            </w:r>
          </w:p>
        </w:tc>
        <w:tc>
          <w:tcPr>
            <w:tcW w:type="dxa" w:w="26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bCs/>
                <w:sz w:val="18"/>
                <w:szCs w:val="18"/>
              </w:rPr>
              <w:t xml:space="preserve">Integration Configuration</w:t>
            </w:r>
          </w:p>
        </w:tc>
        <w:tc>
          <w:tcPr>
            <w:tcW w:type="dxa" w:w="3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Configured connections to up to 3 external services, LLM provider routes, n8n credentials vault</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n8n config</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Phase 2</w:t>
            </w:r>
          </w:p>
        </w:tc>
      </w:tr>
      <w:tr>
        <w:tc>
          <w:tcPr>
            <w:tcW w:type="dxa" w:w="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w:t>
            </w:r>
          </w:p>
        </w:tc>
        <w:tc>
          <w:tcPr>
            <w:tcW w:type="dxa" w:w="2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Pilot Workflow 1</w:t>
            </w:r>
          </w:p>
        </w:tc>
        <w:tc>
          <w:tcPr>
            <w:tcW w:type="dxa" w:w="3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[TBD with client — e.g., AI email triage and routing workflow]</w:t>
            </w:r>
          </w:p>
        </w:tc>
        <w:tc>
          <w:tcPr>
            <w:tcW w:type="dxa" w:w="1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n8n workflow JSON</w:t>
            </w:r>
          </w:p>
        </w:tc>
        <w:tc>
          <w:tcPr>
            <w:tcW w:type="dxa" w:w="1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Phase 3</w:t>
            </w:r>
          </w:p>
        </w:tc>
      </w:tr>
      <w:tr>
        <w:tc>
          <w:tcPr>
            <w:tcW w:type="dxa" w:w="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w:t>
            </w:r>
          </w:p>
        </w:tc>
        <w:tc>
          <w:tcPr>
            <w:tcW w:type="dxa" w:w="26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bCs/>
                <w:sz w:val="18"/>
                <w:szCs w:val="18"/>
              </w:rPr>
              <w:t xml:space="preserve">Pilot Workflow 2</w:t>
            </w:r>
          </w:p>
        </w:tc>
        <w:tc>
          <w:tcPr>
            <w:tcW w:type="dxa" w:w="3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[TBD with client — e.g., RAG document Q&amp;A pipeline]</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n8n workflow JSON</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Phase 3</w:t>
            </w:r>
          </w:p>
        </w:tc>
      </w:tr>
      <w:tr>
        <w:tc>
          <w:tcPr>
            <w:tcW w:type="dxa" w:w="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6</w:t>
            </w:r>
          </w:p>
        </w:tc>
        <w:tc>
          <w:tcPr>
            <w:tcW w:type="dxa" w:w="2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HLD Document</w:t>
            </w:r>
          </w:p>
        </w:tc>
        <w:tc>
          <w:tcPr>
            <w:tcW w:type="dxa" w:w="3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 Level Design document describing platform architecture</w:t>
            </w:r>
          </w:p>
        </w:tc>
        <w:tc>
          <w:tcPr>
            <w:tcW w:type="dxa" w:w="1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DOCX</w:t>
            </w:r>
          </w:p>
        </w:tc>
        <w:tc>
          <w:tcPr>
            <w:tcW w:type="dxa" w:w="1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Phase 4</w:t>
            </w:r>
          </w:p>
        </w:tc>
      </w:tr>
      <w:tr>
        <w:tc>
          <w:tcPr>
            <w:tcW w:type="dxa" w:w="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7</w:t>
            </w:r>
          </w:p>
        </w:tc>
        <w:tc>
          <w:tcPr>
            <w:tcW w:type="dxa" w:w="26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bCs/>
                <w:sz w:val="18"/>
                <w:szCs w:val="18"/>
              </w:rPr>
              <w:t xml:space="preserve">Implementation Guide</w:t>
            </w:r>
          </w:p>
        </w:tc>
        <w:tc>
          <w:tcPr>
            <w:tcW w:type="dxa" w:w="3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Technical implementation guide for Client engineers including configuration reference</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DOCX</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Phase 4</w:t>
            </w:r>
          </w:p>
        </w:tc>
      </w:tr>
      <w:tr>
        <w:tc>
          <w:tcPr>
            <w:tcW w:type="dxa" w:w="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8</w:t>
            </w:r>
          </w:p>
        </w:tc>
        <w:tc>
          <w:tcPr>
            <w:tcW w:type="dxa" w:w="26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Knowledge Transfer</w:t>
            </w:r>
          </w:p>
        </w:tc>
        <w:tc>
          <w:tcPr>
            <w:tcW w:type="dxa" w:w="3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Live 4-hour training session with Client technical team covering administration and workflow building</w:t>
            </w:r>
          </w:p>
        </w:tc>
        <w:tc>
          <w:tcPr>
            <w:tcW w:type="dxa" w:w="1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Live session + recording</w:t>
            </w:r>
          </w:p>
        </w:tc>
        <w:tc>
          <w:tcPr>
            <w:tcW w:type="dxa" w:w="1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Phase 4</w:t>
            </w:r>
          </w:p>
        </w:tc>
      </w:tr>
      <w:tr>
        <w:tc>
          <w:tcPr>
            <w:tcW w:type="dxa" w:w="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9</w:t>
            </w:r>
          </w:p>
        </w:tc>
        <w:tc>
          <w:tcPr>
            <w:tcW w:type="dxa" w:w="26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bCs/>
                <w:sz w:val="18"/>
                <w:szCs w:val="18"/>
              </w:rPr>
              <w:t xml:space="preserve">POC Completion Report</w:t>
            </w:r>
          </w:p>
        </w:tc>
        <w:tc>
          <w:tcPr>
            <w:tcW w:type="dxa" w:w="3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Summary of POC outcomes, observations, production readiness assessment, and recommended next steps</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DOCX / PDF</w:t>
            </w:r>
          </w:p>
        </w:tc>
        <w:tc>
          <w:tcPr>
            <w:tcW w:type="dxa" w:w="1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Phase 4</w:t>
            </w:r>
          </w:p>
        </w:tc>
      </w:tr>
    </w:tbl>
    <w:p>
      <w:r>
        <w:br w:type="page"/>
      </w:r>
    </w:p>
    <w:p>
      <w:pPr>
        <w:pStyle w:val="Heading1"/>
        <w:spacing w:after="180" w:before="360"/>
      </w:pPr>
      <w:r>
        <w:rPr>
          <w:rFonts w:ascii="Arial" w:cs="Arial" w:eastAsia="Arial" w:hAnsi="Arial"/>
          <w:b/>
          <w:bCs/>
          <w:color w:val="1A3A6B"/>
          <w:sz w:val="36"/>
          <w:szCs w:val="36"/>
        </w:rPr>
        <w:t xml:space="preserve">3. Out of Scope</w:t>
      </w:r>
    </w:p>
    <w:p>
      <w:pPr>
        <w:spacing w:after="80" w:before="60"/>
      </w:pPr>
      <w:r>
        <w:rPr>
          <w:rFonts w:ascii="Arial" w:cs="Arial" w:eastAsia="Arial" w:hAnsi="Arial"/>
          <w:sz w:val="20"/>
          <w:szCs w:val="20"/>
        </w:rPr>
        <w:t xml:space="preserve">The following items are explicitly excluded from this SOW. Any out-of-scope requests will be addressed through a formal change request process (see Section 9).</w:t>
      </w:r>
    </w:p>
    <w:p>
      <w:pPr>
        <w:pStyle w:val="ListParagraph"/>
        <w:numPr>
          <w:ilvl w:val="0"/>
          <w:numId w:val="2"/>
        </w:numPr>
        <w:spacing w:after="40" w:before="40"/>
      </w:pPr>
      <w:r>
        <w:rPr>
          <w:rFonts w:ascii="Arial" w:cs="Arial" w:eastAsia="Arial" w:hAnsi="Arial"/>
          <w:sz w:val="20"/>
          <w:szCs w:val="20"/>
        </w:rPr>
        <w:t xml:space="preserve">Production infrastructure design, procurement, or deployment</w:t>
      </w:r>
    </w:p>
    <w:p>
      <w:pPr>
        <w:pStyle w:val="ListParagraph"/>
        <w:numPr>
          <w:ilvl w:val="0"/>
          <w:numId w:val="2"/>
        </w:numPr>
        <w:spacing w:after="40" w:before="40"/>
      </w:pPr>
      <w:r>
        <w:rPr>
          <w:rFonts w:ascii="Arial" w:cs="Arial" w:eastAsia="Arial" w:hAnsi="Arial"/>
          <w:sz w:val="20"/>
          <w:szCs w:val="20"/>
        </w:rPr>
        <w:t xml:space="preserve">Custom node or plugin development for n8n beyond the standard node library</w:t>
      </w:r>
    </w:p>
    <w:p>
      <w:pPr>
        <w:pStyle w:val="ListParagraph"/>
        <w:numPr>
          <w:ilvl w:val="0"/>
          <w:numId w:val="2"/>
        </w:numPr>
        <w:spacing w:after="40" w:before="40"/>
      </w:pPr>
      <w:r>
        <w:rPr>
          <w:rFonts w:ascii="Arial" w:cs="Arial" w:eastAsia="Arial" w:hAnsi="Arial"/>
          <w:sz w:val="20"/>
          <w:szCs w:val="20"/>
        </w:rPr>
        <w:t xml:space="preserve">Development of more than two (2) pilot workflows per this SOW</w:t>
      </w:r>
    </w:p>
    <w:p>
      <w:pPr>
        <w:pStyle w:val="ListParagraph"/>
        <w:numPr>
          <w:ilvl w:val="0"/>
          <w:numId w:val="2"/>
        </w:numPr>
        <w:spacing w:after="40" w:before="40"/>
      </w:pPr>
      <w:r>
        <w:rPr>
          <w:rFonts w:ascii="Arial" w:cs="Arial" w:eastAsia="Arial" w:hAnsi="Arial"/>
          <w:sz w:val="20"/>
          <w:szCs w:val="20"/>
        </w:rPr>
        <w:t xml:space="preserve">Integration with more than three (3) external services</w:t>
      </w:r>
    </w:p>
    <w:p>
      <w:pPr>
        <w:pStyle w:val="ListParagraph"/>
        <w:numPr>
          <w:ilvl w:val="0"/>
          <w:numId w:val="2"/>
        </w:numPr>
        <w:spacing w:after="40" w:before="40"/>
      </w:pPr>
      <w:r>
        <w:rPr>
          <w:rFonts w:ascii="Arial" w:cs="Arial" w:eastAsia="Arial" w:hAnsi="Arial"/>
          <w:sz w:val="20"/>
          <w:szCs w:val="20"/>
        </w:rPr>
        <w:t xml:space="preserve">Security penetration testing or formal security audit</w:t>
      </w:r>
    </w:p>
    <w:p>
      <w:pPr>
        <w:pStyle w:val="ListParagraph"/>
        <w:numPr>
          <w:ilvl w:val="0"/>
          <w:numId w:val="2"/>
        </w:numPr>
        <w:spacing w:after="40" w:before="40"/>
      </w:pPr>
      <w:r>
        <w:rPr>
          <w:rFonts w:ascii="Arial" w:cs="Arial" w:eastAsia="Arial" w:hAnsi="Arial"/>
          <w:sz w:val="20"/>
          <w:szCs w:val="20"/>
        </w:rPr>
        <w:t xml:space="preserve">Compliance certification activities (SOC2, ISO 27001, GDPR assessment, etc.)</w:t>
      </w:r>
    </w:p>
    <w:p>
      <w:pPr>
        <w:pStyle w:val="ListParagraph"/>
        <w:numPr>
          <w:ilvl w:val="0"/>
          <w:numId w:val="2"/>
        </w:numPr>
        <w:spacing w:after="40" w:before="40"/>
      </w:pPr>
      <w:r>
        <w:rPr>
          <w:rFonts w:ascii="Arial" w:cs="Arial" w:eastAsia="Arial" w:hAnsi="Arial"/>
          <w:sz w:val="20"/>
          <w:szCs w:val="20"/>
        </w:rPr>
        <w:t xml:space="preserve">Data migration from existing systems to the platform</w:t>
      </w:r>
    </w:p>
    <w:p>
      <w:pPr>
        <w:pStyle w:val="ListParagraph"/>
        <w:numPr>
          <w:ilvl w:val="0"/>
          <w:numId w:val="2"/>
        </w:numPr>
        <w:spacing w:after="40" w:before="40"/>
      </w:pPr>
      <w:r>
        <w:rPr>
          <w:rFonts w:ascii="Arial" w:cs="Arial" w:eastAsia="Arial" w:hAnsi="Arial"/>
          <w:sz w:val="20"/>
          <w:szCs w:val="20"/>
        </w:rPr>
        <w:t xml:space="preserve">Ongoing platform administration, monitoring, or managed service operation</w:t>
      </w:r>
    </w:p>
    <w:p>
      <w:pPr>
        <w:pStyle w:val="ListParagraph"/>
        <w:numPr>
          <w:ilvl w:val="0"/>
          <w:numId w:val="2"/>
        </w:numPr>
        <w:spacing w:after="40" w:before="40"/>
      </w:pPr>
      <w:r>
        <w:rPr>
          <w:rFonts w:ascii="Arial" w:cs="Arial" w:eastAsia="Arial" w:hAnsi="Arial"/>
          <w:sz w:val="20"/>
          <w:szCs w:val="20"/>
        </w:rPr>
        <w:t xml:space="preserve">Custom AI model training or fine-tuning</w:t>
      </w:r>
    </w:p>
    <w:p>
      <w:pPr>
        <w:pStyle w:val="ListParagraph"/>
        <w:numPr>
          <w:ilvl w:val="0"/>
          <w:numId w:val="2"/>
        </w:numPr>
        <w:spacing w:after="40" w:before="40"/>
      </w:pPr>
      <w:r>
        <w:rPr>
          <w:rFonts w:ascii="Arial" w:cs="Arial" w:eastAsia="Arial" w:hAnsi="Arial"/>
          <w:sz w:val="20"/>
          <w:szCs w:val="20"/>
        </w:rPr>
        <w:t xml:space="preserve">Mobile application development or mobile-specific integrations</w:t>
      </w:r>
    </w:p>
    <w:p>
      <w:pPr>
        <w:pStyle w:val="ListParagraph"/>
        <w:numPr>
          <w:ilvl w:val="0"/>
          <w:numId w:val="2"/>
        </w:numPr>
        <w:spacing w:after="40" w:before="40"/>
      </w:pPr>
      <w:r>
        <w:rPr>
          <w:rFonts w:ascii="Arial" w:cs="Arial" w:eastAsia="Arial" w:hAnsi="Arial"/>
          <w:sz w:val="20"/>
          <w:szCs w:val="20"/>
        </w:rPr>
        <w:t xml:space="preserve">Disaster recovery planning or business continuity documentation</w:t>
      </w:r>
    </w:p>
    <w:p>
      <w:pPr>
        <w:pStyle w:val="ListParagraph"/>
        <w:numPr>
          <w:ilvl w:val="0"/>
          <w:numId w:val="2"/>
        </w:numPr>
        <w:spacing w:after="40" w:before="40"/>
      </w:pPr>
      <w:r>
        <w:rPr>
          <w:rFonts w:ascii="Arial" w:cs="Arial" w:eastAsia="Arial" w:hAnsi="Arial"/>
          <w:sz w:val="20"/>
          <w:szCs w:val="20"/>
        </w:rPr>
        <w:t xml:space="preserve">Network infrastructure changes, firewall configuration, or VPN setup beyond WSL2 host requirements</w:t>
      </w:r>
    </w:p>
    <w:p>
      <w:pPr>
        <w:pStyle w:val="ListParagraph"/>
        <w:numPr>
          <w:ilvl w:val="0"/>
          <w:numId w:val="2"/>
        </w:numPr>
        <w:spacing w:after="40" w:before="40"/>
      </w:pPr>
      <w:r>
        <w:rPr>
          <w:rFonts w:ascii="Arial" w:cs="Arial" w:eastAsia="Arial" w:hAnsi="Arial"/>
          <w:sz w:val="20"/>
          <w:szCs w:val="20"/>
        </w:rPr>
        <w:t xml:space="preserve">End-user training beyond the 4-hour knowledge transfer session</w:t>
      </w:r>
    </w:p>
    <w:p>
      <w:pPr>
        <w:pStyle w:val="ListParagraph"/>
        <w:numPr>
          <w:ilvl w:val="0"/>
          <w:numId w:val="2"/>
        </w:numPr>
        <w:spacing w:after="40" w:before="40"/>
      </w:pPr>
      <w:r>
        <w:rPr>
          <w:rFonts w:ascii="Arial" w:cs="Arial" w:eastAsia="Arial" w:hAnsi="Arial"/>
          <w:sz w:val="20"/>
          <w:szCs w:val="20"/>
        </w:rPr>
        <w:t xml:space="preserve">Support beyond 10 business days post-handover (covered under a separate support agreement)</w:t>
      </w:r>
    </w:p>
    <w:p>
      <w:r>
        <w:br w:type="page"/>
      </w:r>
    </w:p>
    <w:p>
      <w:pPr>
        <w:pStyle w:val="Heading1"/>
        <w:spacing w:after="180" w:before="360"/>
      </w:pPr>
      <w:r>
        <w:rPr>
          <w:rFonts w:ascii="Arial" w:cs="Arial" w:eastAsia="Arial" w:hAnsi="Arial"/>
          <w:b/>
          <w:bCs/>
          <w:color w:val="1A3A6B"/>
          <w:sz w:val="36"/>
          <w:szCs w:val="36"/>
        </w:rPr>
        <w:t xml:space="preserve">4. Project Timeline</w:t>
      </w:r>
    </w:p>
    <w:p>
      <w:pPr>
        <w:spacing w:after="80" w:before="60"/>
      </w:pPr>
      <w:r>
        <w:rPr>
          <w:rFonts w:ascii="Arial" w:cs="Arial" w:eastAsia="Arial" w:hAnsi="Arial"/>
          <w:sz w:val="20"/>
          <w:szCs w:val="20"/>
        </w:rPr>
        <w:t xml:space="preserve">The POC engagement is structured across four phases with an estimated total duration of 4-6 weeks. Exact dates will be confirmed with the Client following SOW execution. The timeline assumes the Client meets the dependencies outlined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400"/>
        <w:gridCol w:w="1800"/>
        <w:gridCol w:w="1440"/>
        <w:gridCol w:w="3520"/>
      </w:tblGrid>
      <w:tr>
        <w:tc>
          <w:tcPr>
            <w:tcW w:type="dxa" w:w="2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4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80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144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Vendor Days</w:t>
            </w:r>
          </w:p>
        </w:tc>
        <w:tc>
          <w:tcPr>
            <w:tcW w:type="dxa" w:w="352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Key Activities</w:t>
            </w:r>
          </w:p>
        </w:tc>
      </w:tr>
      <w:tr>
        <w:tc>
          <w:tcPr>
            <w:tcW w:type="dxa" w:w="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w:t>
            </w:r>
          </w:p>
        </w:tc>
        <w:tc>
          <w:tcPr>
            <w:tcW w:type="dxa" w:w="24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bCs/>
                <w:sz w:val="18"/>
                <w:szCs w:val="18"/>
              </w:rPr>
              <w:t xml:space="preserve">Environment Setup &amp; Deployment</w:t>
            </w:r>
          </w:p>
        </w:tc>
        <w:tc>
          <w:tcPr>
            <w:tcW w:type="dxa" w:w="18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Week 1 (Days 1-5)</w:t>
            </w:r>
          </w:p>
        </w:tc>
        <w:tc>
          <w:tcPr>
            <w:tcW w:type="dxa" w:w="144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 days</w:t>
            </w:r>
          </w:p>
        </w:tc>
        <w:tc>
          <w:tcPr>
            <w:tcW w:type="dxa" w:w="35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Discovery call, hardware prep, deploy.sh execution, health check validation</w:t>
            </w:r>
          </w:p>
        </w:tc>
      </w:tr>
      <w:tr>
        <w:tc>
          <w:tcPr>
            <w:tcW w:type="dxa" w:w="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w:t>
            </w:r>
          </w:p>
        </w:tc>
        <w:tc>
          <w:tcPr>
            <w:tcW w:type="dxa" w:w="2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Integration Configuration</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Week 2 (Days 6-10)</w:t>
            </w:r>
          </w:p>
        </w:tc>
        <w:tc>
          <w:tcPr>
            <w:tcW w:type="dxa" w:w="144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 days</w:t>
            </w:r>
          </w:p>
        </w:tc>
        <w:tc>
          <w:tcPr>
            <w:tcW w:type="dxa" w:w="35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External service connections, LLM gateway config, credentials vault setup</w:t>
            </w:r>
          </w:p>
        </w:tc>
      </w:tr>
      <w:tr>
        <w:tc>
          <w:tcPr>
            <w:tcW w:type="dxa" w:w="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w:t>
            </w:r>
          </w:p>
        </w:tc>
        <w:tc>
          <w:tcPr>
            <w:tcW w:type="dxa" w:w="24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bCs/>
                <w:sz w:val="18"/>
                <w:szCs w:val="18"/>
              </w:rPr>
              <w:t xml:space="preserve">Pilot Workflow Development</w:t>
            </w:r>
          </w:p>
        </w:tc>
        <w:tc>
          <w:tcPr>
            <w:tcW w:type="dxa" w:w="18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Weeks 3-4 (Days 11-20)</w:t>
            </w:r>
          </w:p>
        </w:tc>
        <w:tc>
          <w:tcPr>
            <w:tcW w:type="dxa" w:w="144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 days</w:t>
            </w:r>
          </w:p>
        </w:tc>
        <w:tc>
          <w:tcPr>
            <w:tcW w:type="dxa" w:w="35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Build 2 pilot workflows, testing, iteration with client, documentation</w:t>
            </w:r>
          </w:p>
        </w:tc>
      </w:tr>
      <w:tr>
        <w:tc>
          <w:tcPr>
            <w:tcW w:type="dxa" w:w="2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w:t>
            </w:r>
          </w:p>
        </w:tc>
        <w:tc>
          <w:tcPr>
            <w:tcW w:type="dxa" w:w="24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Knowledge Transfer &amp; Handover</w:t>
            </w:r>
          </w:p>
        </w:tc>
        <w:tc>
          <w:tcPr>
            <w:tcW w:type="dxa" w:w="180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Week 5 (Days 21-25)</w:t>
            </w:r>
          </w:p>
        </w:tc>
        <w:tc>
          <w:tcPr>
            <w:tcW w:type="dxa" w:w="144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 days</w:t>
            </w:r>
          </w:p>
        </w:tc>
        <w:tc>
          <w:tcPr>
            <w:tcW w:type="dxa" w:w="35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4-hour training session, document delivery, Q&amp;A, POC report</w:t>
            </w:r>
          </w:p>
        </w:tc>
      </w:tr>
      <w:tr>
        <w:tc>
          <w:tcPr>
            <w:tcW w:type="dxa" w:w="2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w:t>
            </w:r>
          </w:p>
        </w:tc>
        <w:tc>
          <w:tcPr>
            <w:tcW w:type="dxa" w:w="24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bCs/>
                <w:sz w:val="18"/>
                <w:szCs w:val="18"/>
              </w:rPr>
              <w:t xml:space="preserve">Post-Handover Support</w:t>
            </w:r>
          </w:p>
        </w:tc>
        <w:tc>
          <w:tcPr>
            <w:tcW w:type="dxa" w:w="180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Weeks 6-8 (10 biz days)</w:t>
            </w:r>
          </w:p>
        </w:tc>
        <w:tc>
          <w:tcPr>
            <w:tcW w:type="dxa" w:w="144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As needed</w:t>
            </w:r>
          </w:p>
        </w:tc>
        <w:tc>
          <w:tcPr>
            <w:tcW w:type="dxa" w:w="35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Email/chat support for platform operation questions, bug triage</w:t>
            </w:r>
          </w:p>
        </w:tc>
      </w:tr>
      <w:tr>
        <w:tc>
          <w:tcPr>
            <w:tcW w:type="dxa" w:w="200"/>
            <w:tcBorders>
              <w:top w:val="single" w:color="C0CCE0" w:sz="1"/>
              <w:left w:val="single" w:color="C0CCE0" w:sz="1"/>
              <w:bottom w:val="single" w:color="C0CCE0" w:sz="1"/>
              <w:right w:val="single" w:color="C0CCE0" w:sz="1"/>
            </w:tcBorders>
            <w:shd w:fill="EEF4FB" w:val="clear"/>
            <w:tcMar>
              <w:top w:type="dxa" w:w="80"/>
              <w:left w:type="dxa" w:w="120"/>
              <w:bottom w:type="dxa" w:w="80"/>
              <w:right w:type="dxa" w:w="120"/>
            </w:tcMar>
          </w:tcPr>
          <w:p>
            <w:pPr>
              <w:jc w:val="left"/>
            </w:pPr>
            <w:r>
              <w:rPr>
                <w:rFonts w:ascii="Arial" w:cs="Arial" w:eastAsia="Arial" w:hAnsi="Arial"/>
                <w:b/>
                <w:bCs/>
                <w:sz w:val="18"/>
                <w:szCs w:val="18"/>
              </w:rPr>
              <w:t xml:space="preserve">Total</w:t>
            </w:r>
          </w:p>
        </w:tc>
        <w:tc>
          <w:tcPr>
            <w:tcW w:type="dxa" w:w="2400"/>
            <w:tcBorders>
              <w:top w:val="single" w:color="C0CCE0" w:sz="1"/>
              <w:left w:val="single" w:color="C0CCE0" w:sz="1"/>
              <w:bottom w:val="single" w:color="C0CCE0" w:sz="1"/>
              <w:right w:val="single" w:color="C0CCE0" w:sz="1"/>
            </w:tcBorders>
            <w:shd w:fill="EEF4FB"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1800"/>
            <w:tcBorders>
              <w:top w:val="single" w:color="C0CCE0" w:sz="1"/>
              <w:left w:val="single" w:color="C0CCE0" w:sz="1"/>
              <w:bottom w:val="single" w:color="C0CCE0" w:sz="1"/>
              <w:right w:val="single" w:color="C0CCE0" w:sz="1"/>
            </w:tcBorders>
            <w:shd w:fill="EEF4FB" w:val="clear"/>
            <w:tcMar>
              <w:top w:type="dxa" w:w="80"/>
              <w:left w:type="dxa" w:w="120"/>
              <w:bottom w:type="dxa" w:w="80"/>
              <w:right w:type="dxa" w:w="120"/>
            </w:tcMar>
          </w:tcPr>
          <w:p>
            <w:pPr>
              <w:jc w:val="left"/>
            </w:pPr>
            <w:r>
              <w:rPr>
                <w:rFonts w:ascii="Arial" w:cs="Arial" w:eastAsia="Arial" w:hAnsi="Arial"/>
                <w:b/>
                <w:bCs/>
                <w:sz w:val="18"/>
                <w:szCs w:val="18"/>
              </w:rPr>
              <w:t xml:space="preserve">5-8 weeks</w:t>
            </w:r>
          </w:p>
        </w:tc>
        <w:tc>
          <w:tcPr>
            <w:tcW w:type="dxa" w:w="1440"/>
            <w:tcBorders>
              <w:top w:val="single" w:color="C0CCE0" w:sz="1"/>
              <w:left w:val="single" w:color="C0CCE0" w:sz="1"/>
              <w:bottom w:val="single" w:color="C0CCE0" w:sz="1"/>
              <w:right w:val="single" w:color="C0CCE0" w:sz="1"/>
            </w:tcBorders>
            <w:shd w:fill="EEF4FB" w:val="clear"/>
            <w:tcMar>
              <w:top w:type="dxa" w:w="80"/>
              <w:left w:type="dxa" w:w="120"/>
              <w:bottom w:type="dxa" w:w="80"/>
              <w:right w:type="dxa" w:w="120"/>
            </w:tcMar>
          </w:tcPr>
          <w:p>
            <w:pPr>
              <w:jc w:val="left"/>
            </w:pPr>
            <w:r>
              <w:rPr>
                <w:rFonts w:ascii="Arial" w:cs="Arial" w:eastAsia="Arial" w:hAnsi="Arial"/>
                <w:b/>
                <w:bCs/>
                <w:sz w:val="18"/>
                <w:szCs w:val="18"/>
              </w:rPr>
              <w:t xml:space="preserve">~11 days</w:t>
            </w:r>
          </w:p>
        </w:tc>
        <w:tc>
          <w:tcPr>
            <w:tcW w:type="dxa" w:w="3520"/>
            <w:tcBorders>
              <w:top w:val="single" w:color="C0CCE0" w:sz="1"/>
              <w:left w:val="single" w:color="C0CCE0" w:sz="1"/>
              <w:bottom w:val="single" w:color="C0CCE0" w:sz="1"/>
              <w:right w:val="single" w:color="C0CCE0" w:sz="1"/>
            </w:tcBorders>
            <w:shd w:fill="EEF4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r>
    </w:tbl>
    <w:p>
      <w:pPr>
        <w:spacing w:after="100" w:before="100"/>
      </w:pPr>
      <w:r>
        <w:t xml:space="preserve"/>
      </w:r>
    </w:p>
    <w:p>
      <w:pPr>
        <w:spacing w:after="80" w:before="60"/>
      </w:pPr>
      <w:r>
        <w:rPr>
          <w:rFonts w:ascii="Arial" w:cs="Arial" w:eastAsia="Arial" w:hAnsi="Arial"/>
          <w:sz w:val="20"/>
          <w:szCs w:val="20"/>
        </w:rPr>
        <w:t xml:space="preserve">Note: The timeline above reflects the estimated minimum durations under normal conditions. Delays caused by Client-side dependencies (hardware availability, network access, credential provisioning) may extend the timeline. The Vendor will communicate any timeline impacts promptly.</w:t>
      </w:r>
    </w:p>
    <w:p>
      <w:r>
        <w:br w:type="page"/>
      </w:r>
    </w:p>
    <w:p>
      <w:pPr>
        <w:pStyle w:val="Heading1"/>
        <w:spacing w:after="180" w:before="360"/>
      </w:pPr>
      <w:r>
        <w:rPr>
          <w:rFonts w:ascii="Arial" w:cs="Arial" w:eastAsia="Arial" w:hAnsi="Arial"/>
          <w:b/>
          <w:bCs/>
          <w:color w:val="1A3A6B"/>
          <w:sz w:val="36"/>
          <w:szCs w:val="36"/>
        </w:rPr>
        <w:t xml:space="preserve">5.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Activity</w:t>
            </w:r>
          </w:p>
        </w:tc>
        <w:tc>
          <w:tcPr>
            <w:tcW w:type="dxa" w:w="312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Vendor (OpenClaw Tech)</w:t>
            </w:r>
          </w:p>
        </w:tc>
        <w:tc>
          <w:tcPr>
            <w:tcW w:type="dxa" w:w="312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Client</w:t>
            </w:r>
          </w:p>
        </w:tc>
      </w:tr>
      <w:tr>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Hardware provision</w:t>
            </w:r>
          </w:p>
        </w:tc>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Specify requirements, assist with WSL2 config</w:t>
            </w:r>
          </w:p>
        </w:tc>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Provide Windows 11 laptop meeting spec</w:t>
            </w:r>
          </w:p>
        </w:tc>
      </w:tr>
      <w:tr>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Network / firewall access</w:t>
            </w:r>
          </w:p>
        </w:tc>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Specify required ports and endpoints</w:t>
            </w:r>
          </w:p>
        </w:tc>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Configure network access, proxy settings</w:t>
            </w:r>
          </w:p>
        </w:tc>
      </w:tr>
      <w:tr>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LLM API credentials</w:t>
            </w:r>
          </w:p>
        </w:tc>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Specify required permissions</w:t>
            </w:r>
          </w:p>
        </w:tc>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Provide OpenAI/Anthropic API keys</w:t>
            </w:r>
          </w:p>
        </w:tc>
      </w:tr>
      <w:tr>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External system access</w:t>
            </w:r>
          </w:p>
        </w:tc>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Specify integration requirements</w:t>
            </w:r>
          </w:p>
        </w:tc>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Provide credentials for 3rd party systems</w:t>
            </w:r>
          </w:p>
        </w:tc>
      </w:tr>
      <w:tr>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Platform deployment</w:t>
            </w:r>
          </w:p>
        </w:tc>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Execute and validate deployment scripts</w:t>
            </w:r>
          </w:p>
        </w:tc>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Make hardware available, observe session</w:t>
            </w:r>
          </w:p>
        </w:tc>
      </w:tr>
      <w:tr>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Pilot workflow specification</w:t>
            </w:r>
          </w:p>
        </w:tc>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Guide requirements scoping, implement</w:t>
            </w:r>
          </w:p>
        </w:tc>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Define business requirements, test outputs</w:t>
            </w:r>
          </w:p>
        </w:tc>
      </w:tr>
      <w:tr>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User acceptance testing</w:t>
            </w:r>
          </w:p>
        </w:tc>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Support testing, resolve identified issues</w:t>
            </w:r>
          </w:p>
        </w:tc>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Execute test cases, provide sign-off</w:t>
            </w:r>
          </w:p>
        </w:tc>
      </w:tr>
      <w:tr>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Knowledge transfer attendance</w:t>
            </w:r>
          </w:p>
        </w:tc>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Deliver training session and materials</w:t>
            </w:r>
          </w:p>
        </w:tc>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Ensure 2+ technical staff attend</w:t>
            </w:r>
          </w:p>
        </w:tc>
      </w:tr>
      <w:tr>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POC evaluation and decision</w:t>
            </w:r>
          </w:p>
        </w:tc>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Provide POC completion report</w:t>
            </w:r>
          </w:p>
        </w:tc>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Complete internal evaluation within 2 weeks</w:t>
            </w:r>
          </w:p>
        </w:tc>
      </w:tr>
    </w:tbl>
    <w:p>
      <w:r>
        <w:br w:type="page"/>
      </w:r>
    </w:p>
    <w:p>
      <w:pPr>
        <w:pStyle w:val="Heading1"/>
        <w:spacing w:after="180" w:before="360"/>
      </w:pPr>
      <w:r>
        <w:rPr>
          <w:rFonts w:ascii="Arial" w:cs="Arial" w:eastAsia="Arial" w:hAnsi="Arial"/>
          <w:b/>
          <w:bCs/>
          <w:color w:val="1A3A6B"/>
          <w:sz w:val="36"/>
          <w:szCs w:val="36"/>
        </w:rPr>
        <w:t xml:space="preserve">6. Assumptions and Dependencies</w:t>
      </w:r>
    </w:p>
    <w:p>
      <w:pPr>
        <w:pStyle w:val="Heading2"/>
        <w:spacing w:after="120" w:before="240"/>
      </w:pPr>
      <w:r>
        <w:rPr>
          <w:rFonts w:ascii="Arial" w:cs="Arial" w:eastAsia="Arial" w:hAnsi="Arial"/>
          <w:b/>
          <w:bCs/>
          <w:color w:val="2E5FA3"/>
          <w:sz w:val="28"/>
          <w:szCs w:val="28"/>
        </w:rPr>
        <w:t xml:space="preserve">6.1 Vendor Assumptions</w:t>
      </w:r>
    </w:p>
    <w:p>
      <w:pPr>
        <w:spacing w:after="80" w:before="60"/>
      </w:pPr>
      <w:r>
        <w:rPr>
          <w:rFonts w:ascii="Arial" w:cs="Arial" w:eastAsia="Arial" w:hAnsi="Arial"/>
          <w:sz w:val="20"/>
          <w:szCs w:val="20"/>
        </w:rPr>
        <w:t xml:space="preserve">This SOW is based on the following assumptions. Material changes to these assumptions may require a scope or timeline adjustment:</w:t>
      </w:r>
    </w:p>
    <w:p>
      <w:pPr>
        <w:pStyle w:val="ListParagraph"/>
        <w:numPr>
          <w:ilvl w:val="0"/>
          <w:numId w:val="2"/>
        </w:numPr>
        <w:spacing w:after="40" w:before="40"/>
      </w:pPr>
      <w:r>
        <w:rPr>
          <w:rFonts w:ascii="Arial" w:cs="Arial" w:eastAsia="Arial" w:hAnsi="Arial"/>
          <w:sz w:val="20"/>
          <w:szCs w:val="20"/>
        </w:rPr>
        <w:t xml:space="preserve">The Client will provide a Windows 11 laptop with a minimum of 16GB RAM, 4-core CPU, and 50GB free disk space</w:t>
      </w:r>
    </w:p>
    <w:p>
      <w:pPr>
        <w:pStyle w:val="ListParagraph"/>
        <w:numPr>
          <w:ilvl w:val="0"/>
          <w:numId w:val="2"/>
        </w:numPr>
        <w:spacing w:after="40" w:before="40"/>
      </w:pPr>
      <w:r>
        <w:rPr>
          <w:rFonts w:ascii="Arial" w:cs="Arial" w:eastAsia="Arial" w:hAnsi="Arial"/>
          <w:sz w:val="20"/>
          <w:szCs w:val="20"/>
        </w:rPr>
        <w:t xml:space="preserve">The Client will have an active OpenAI and/or Anthropic API subscription with sufficient quota for POC usage</w:t>
      </w:r>
    </w:p>
    <w:p>
      <w:pPr>
        <w:pStyle w:val="ListParagraph"/>
        <w:numPr>
          <w:ilvl w:val="0"/>
          <w:numId w:val="2"/>
        </w:numPr>
        <w:spacing w:after="40" w:before="40"/>
      </w:pPr>
      <w:r>
        <w:rPr>
          <w:rFonts w:ascii="Arial" w:cs="Arial" w:eastAsia="Arial" w:hAnsi="Arial"/>
          <w:sz w:val="20"/>
          <w:szCs w:val="20"/>
        </w:rPr>
        <w:t xml:space="preserve">The Client's laptop will have internet access to Docker Hub, npm registry, and LLM provider APIs during deployment</w:t>
      </w:r>
    </w:p>
    <w:p>
      <w:pPr>
        <w:pStyle w:val="ListParagraph"/>
        <w:numPr>
          <w:ilvl w:val="0"/>
          <w:numId w:val="2"/>
        </w:numPr>
        <w:spacing w:after="40" w:before="40"/>
      </w:pPr>
      <w:r>
        <w:rPr>
          <w:rFonts w:ascii="Arial" w:cs="Arial" w:eastAsia="Arial" w:hAnsi="Arial"/>
          <w:sz w:val="20"/>
          <w:szCs w:val="20"/>
        </w:rPr>
        <w:t xml:space="preserve">The Client will nominate a primary technical contact who is available for a minimum of 4 hours per week during the POC</w:t>
      </w:r>
    </w:p>
    <w:p>
      <w:pPr>
        <w:pStyle w:val="ListParagraph"/>
        <w:numPr>
          <w:ilvl w:val="0"/>
          <w:numId w:val="2"/>
        </w:numPr>
        <w:spacing w:after="40" w:before="40"/>
      </w:pPr>
      <w:r>
        <w:rPr>
          <w:rFonts w:ascii="Arial" w:cs="Arial" w:eastAsia="Arial" w:hAnsi="Arial"/>
          <w:sz w:val="20"/>
          <w:szCs w:val="20"/>
        </w:rPr>
        <w:t xml:space="preserve">The pilot workflow requirements will be finalized and agreed within the first week of the engagement</w:t>
      </w:r>
    </w:p>
    <w:p>
      <w:pPr>
        <w:pStyle w:val="ListParagraph"/>
        <w:numPr>
          <w:ilvl w:val="0"/>
          <w:numId w:val="2"/>
        </w:numPr>
        <w:spacing w:after="40" w:before="40"/>
      </w:pPr>
      <w:r>
        <w:rPr>
          <w:rFonts w:ascii="Arial" w:cs="Arial" w:eastAsia="Arial" w:hAnsi="Arial"/>
          <w:sz w:val="20"/>
          <w:szCs w:val="20"/>
        </w:rPr>
        <w:t xml:space="preserve">The Client will complete User Acceptance Testing (UAT) within 5 business days of workflow delivery</w:t>
      </w:r>
    </w:p>
    <w:p>
      <w:pPr>
        <w:pStyle w:val="ListParagraph"/>
        <w:numPr>
          <w:ilvl w:val="0"/>
          <w:numId w:val="2"/>
        </w:numPr>
        <w:spacing w:after="40" w:before="40"/>
      </w:pPr>
      <w:r>
        <w:rPr>
          <w:rFonts w:ascii="Arial" w:cs="Arial" w:eastAsia="Arial" w:hAnsi="Arial"/>
          <w:sz w:val="20"/>
          <w:szCs w:val="20"/>
        </w:rPr>
        <w:t xml:space="preserve">No more than two rounds of iteration per pilot workflow are included in scope</w:t>
      </w:r>
    </w:p>
    <w:p>
      <w:pPr>
        <w:pStyle w:val="Heading2"/>
        <w:spacing w:after="120" w:before="240"/>
      </w:pPr>
      <w:r>
        <w:rPr>
          <w:rFonts w:ascii="Arial" w:cs="Arial" w:eastAsia="Arial" w:hAnsi="Arial"/>
          <w:b/>
          <w:bCs/>
          <w:color w:val="2E5FA3"/>
          <w:sz w:val="28"/>
          <w:szCs w:val="28"/>
        </w:rPr>
        <w:t xml:space="preserve">6.2 Client Dependencies</w:t>
      </w:r>
    </w:p>
    <w:p>
      <w:pPr>
        <w:spacing w:after="80" w:before="60"/>
      </w:pPr>
      <w:r>
        <w:rPr>
          <w:rFonts w:ascii="Arial" w:cs="Arial" w:eastAsia="Arial" w:hAnsi="Arial"/>
          <w:sz w:val="20"/>
          <w:szCs w:val="20"/>
        </w:rPr>
        <w:t xml:space="preserve">The Client must fulfill the following dependencies to avoid timeline impact:</w:t>
      </w:r>
    </w:p>
    <w:p>
      <w:pPr>
        <w:pStyle w:val="ListParagraph"/>
        <w:numPr>
          <w:ilvl w:val="0"/>
          <w:numId w:val="3"/>
        </w:numPr>
        <w:spacing w:after="40" w:before="40"/>
      </w:pPr>
      <w:r>
        <w:rPr>
          <w:rFonts w:ascii="Arial" w:cs="Arial" w:eastAsia="Arial" w:hAnsi="Arial"/>
          <w:sz w:val="20"/>
          <w:szCs w:val="20"/>
        </w:rPr>
        <w:t xml:space="preserve">Provide hardware meeting the specification above within 5 business days of SOW execution</w:t>
      </w:r>
    </w:p>
    <w:p>
      <w:pPr>
        <w:pStyle w:val="ListParagraph"/>
        <w:numPr>
          <w:ilvl w:val="0"/>
          <w:numId w:val="3"/>
        </w:numPr>
        <w:spacing w:after="40" w:before="40"/>
      </w:pPr>
      <w:r>
        <w:rPr>
          <w:rFonts w:ascii="Arial" w:cs="Arial" w:eastAsia="Arial" w:hAnsi="Arial"/>
          <w:sz w:val="20"/>
          <w:szCs w:val="20"/>
        </w:rPr>
        <w:t xml:space="preserve">Provision LLM API keys and share with Vendor (securely) prior to Phase 1</w:t>
      </w:r>
    </w:p>
    <w:p>
      <w:pPr>
        <w:pStyle w:val="ListParagraph"/>
        <w:numPr>
          <w:ilvl w:val="0"/>
          <w:numId w:val="3"/>
        </w:numPr>
        <w:spacing w:after="40" w:before="40"/>
      </w:pPr>
      <w:r>
        <w:rPr>
          <w:rFonts w:ascii="Arial" w:cs="Arial" w:eastAsia="Arial" w:hAnsi="Arial"/>
          <w:sz w:val="20"/>
          <w:szCs w:val="20"/>
        </w:rPr>
        <w:t xml:space="preserve">Provide credentials and access for the three nominated external service integrations prior to Phase 2</w:t>
      </w:r>
    </w:p>
    <w:p>
      <w:pPr>
        <w:pStyle w:val="ListParagraph"/>
        <w:numPr>
          <w:ilvl w:val="0"/>
          <w:numId w:val="3"/>
        </w:numPr>
        <w:spacing w:after="40" w:before="40"/>
      </w:pPr>
      <w:r>
        <w:rPr>
          <w:rFonts w:ascii="Arial" w:cs="Arial" w:eastAsia="Arial" w:hAnsi="Arial"/>
          <w:sz w:val="20"/>
          <w:szCs w:val="20"/>
        </w:rPr>
        <w:t xml:space="preserve">Nominate and confirm availability of a minimum of 2 technical staff for knowledge transfer in Phase 4</w:t>
      </w:r>
    </w:p>
    <w:p>
      <w:pPr>
        <w:pStyle w:val="ListParagraph"/>
        <w:numPr>
          <w:ilvl w:val="0"/>
          <w:numId w:val="3"/>
        </w:numPr>
        <w:spacing w:after="40" w:before="40"/>
      </w:pPr>
      <w:r>
        <w:rPr>
          <w:rFonts w:ascii="Arial" w:cs="Arial" w:eastAsia="Arial" w:hAnsi="Arial"/>
          <w:sz w:val="20"/>
          <w:szCs w:val="20"/>
        </w:rPr>
        <w:t xml:space="preserve">Return signed acceptance of each phase deliverable within 5 business days of delivery</w:t>
      </w:r>
    </w:p>
    <w:p>
      <w:pPr>
        <w:pStyle w:val="Heading2"/>
        <w:spacing w:after="120" w:before="240"/>
      </w:pPr>
      <w:r>
        <w:rPr>
          <w:rFonts w:ascii="Arial" w:cs="Arial" w:eastAsia="Arial" w:hAnsi="Arial"/>
          <w:b/>
          <w:bCs/>
          <w:color w:val="2E5FA3"/>
          <w:sz w:val="28"/>
          <w:szCs w:val="28"/>
        </w:rPr>
        <w:t xml:space="preserve">6.3 Minimum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925"/>
        <w:gridCol w:w="2925"/>
      </w:tblGrid>
      <w:tr>
        <w:tc>
          <w:tcPr>
            <w:tcW w:type="dxa" w:w="351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925"/>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Target (POC)</w:t>
            </w:r>
          </w:p>
        </w:tc>
        <w:tc>
          <w:tcPr>
            <w:tcW w:type="dxa" w:w="2925"/>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Production Benchmark</w:t>
            </w:r>
          </w:p>
        </w:tc>
      </w:tr>
      <w:tr>
        <w:tc>
          <w:tcPr>
            <w:tcW w:type="dxa" w:w="351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n8n workflow execution (simple)</w:t>
            </w:r>
          </w:p>
        </w:tc>
        <w:tc>
          <w:tcPr>
            <w:tcW w:type="dxa" w:w="2925"/>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&lt; 5 seconds end-to-end</w:t>
            </w:r>
          </w:p>
        </w:tc>
        <w:tc>
          <w:tcPr>
            <w:tcW w:type="dxa" w:w="2925"/>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&lt; 2 seconds</w:t>
            </w:r>
          </w:p>
        </w:tc>
      </w:tr>
      <w:tr>
        <w:tc>
          <w:tcPr>
            <w:tcW w:type="dxa" w:w="351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LLM API response (via gateway)</w:t>
            </w:r>
          </w:p>
        </w:tc>
        <w:tc>
          <w:tcPr>
            <w:tcW w:type="dxa" w:w="2925"/>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Provider SLA (typically &lt; 30s)</w:t>
            </w:r>
          </w:p>
        </w:tc>
        <w:tc>
          <w:tcPr>
            <w:tcW w:type="dxa" w:w="2925"/>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Provider SLA</w:t>
            </w:r>
          </w:p>
        </w:tc>
      </w:tr>
      <w:tr>
        <w:tc>
          <w:tcPr>
            <w:tcW w:type="dxa" w:w="351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Concurrent workflow executions</w:t>
            </w:r>
          </w:p>
        </w:tc>
        <w:tc>
          <w:tcPr>
            <w:tcW w:type="dxa" w:w="2925"/>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5-10 concurrent (2 workers)</w:t>
            </w:r>
          </w:p>
        </w:tc>
        <w:tc>
          <w:tcPr>
            <w:tcW w:type="dxa" w:w="2925"/>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50+ concurrent</w:t>
            </w:r>
          </w:p>
        </w:tc>
      </w:tr>
      <w:tr>
        <w:tc>
          <w:tcPr>
            <w:tcW w:type="dxa" w:w="351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n8n editor UI response time</w:t>
            </w:r>
          </w:p>
        </w:tc>
        <w:tc>
          <w:tcPr>
            <w:tcW w:type="dxa" w:w="2925"/>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&lt; 3 seconds page load</w:t>
            </w:r>
          </w:p>
        </w:tc>
        <w:tc>
          <w:tcPr>
            <w:tcW w:type="dxa" w:w="2925"/>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&lt; 1 second</w:t>
            </w:r>
          </w:p>
        </w:tc>
      </w:tr>
      <w:tr>
        <w:tc>
          <w:tcPr>
            <w:tcW w:type="dxa" w:w="351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Stack startup time</w:t>
            </w:r>
          </w:p>
        </w:tc>
        <w:tc>
          <w:tcPr>
            <w:tcW w:type="dxa" w:w="2925"/>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&lt; 3 minutes cold start</w:t>
            </w:r>
          </w:p>
        </w:tc>
        <w:tc>
          <w:tcPr>
            <w:tcW w:type="dxa" w:w="2925"/>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&lt; 90 seconds</w:t>
            </w:r>
          </w:p>
        </w:tc>
      </w:tr>
    </w:tbl>
    <w:p>
      <w:r>
        <w:br w:type="page"/>
      </w:r>
    </w:p>
    <w:p>
      <w:pPr>
        <w:pStyle w:val="Heading1"/>
        <w:spacing w:after="180" w:before="360"/>
      </w:pPr>
      <w:r>
        <w:rPr>
          <w:rFonts w:ascii="Arial" w:cs="Arial" w:eastAsia="Arial" w:hAnsi="Arial"/>
          <w:b/>
          <w:bCs/>
          <w:color w:val="1A3A6B"/>
          <w:sz w:val="36"/>
          <w:szCs w:val="36"/>
        </w:rPr>
        <w:t xml:space="preserve">7. Acceptance Criteria</w:t>
      </w:r>
    </w:p>
    <w:p>
      <w:pPr>
        <w:spacing w:after="80" w:before="60"/>
      </w:pPr>
      <w:r>
        <w:rPr>
          <w:rFonts w:ascii="Arial" w:cs="Arial" w:eastAsia="Arial" w:hAnsi="Arial"/>
          <w:sz w:val="20"/>
          <w:szCs w:val="20"/>
        </w:rPr>
        <w:t xml:space="preserve">Each phase of the POC will be formally accepted by the Client following review of the stated criteria. The Client's nominated technical contact must confirm acceptance in writing (email is acceptable) within 5 business days of deliverable receipt. Silence after 5 business days constitutes tacit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396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c>
          <w:tcPr>
            <w:tcW w:type="dxa" w:w="396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Verification Method</w:t>
            </w:r>
          </w:p>
        </w:tc>
      </w:tr>
      <w:tr>
        <w:tc>
          <w:tcPr>
            <w:tcW w:type="dxa" w:w="144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bCs/>
                <w:sz w:val="18"/>
                <w:szCs w:val="18"/>
              </w:rPr>
              <w:t xml:space="preserve">Phase 1</w:t>
            </w:r>
          </w:p>
        </w:tc>
        <w:tc>
          <w:tcPr>
            <w:tcW w:type="dxa" w:w="39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 7 Docker containers report healthy status. n8n editor accessible at localhost:5678. OpenClaw gateway responds to health check at localhost:18789/health.</w:t>
            </w:r>
          </w:p>
        </w:tc>
        <w:tc>
          <w:tcPr>
            <w:tcW w:type="dxa" w:w="39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Vendor executes healthcheck.sh script and shares console output with Client</w:t>
            </w:r>
          </w:p>
        </w:tc>
      </w:tr>
      <w:tr>
        <w:tc>
          <w:tcPr>
            <w:tcW w:type="dxa" w:w="144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Phase 2</w:t>
            </w:r>
          </w:p>
        </w:tc>
        <w:tc>
          <w:tcPr>
            <w:tcW w:type="dxa" w:w="39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 3 nominated external service connections pass connectivity test in n8n. LLM gateway returns valid completion response via OpenClaw endpoint.</w:t>
            </w:r>
          </w:p>
        </w:tc>
        <w:tc>
          <w:tcPr>
            <w:tcW w:type="dxa" w:w="39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n8n credential test UI shows green status. API test call via curl documented and shared.</w:t>
            </w:r>
          </w:p>
        </w:tc>
      </w:tr>
      <w:tr>
        <w:tc>
          <w:tcPr>
            <w:tcW w:type="dxa" w:w="144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bCs/>
                <w:sz w:val="18"/>
                <w:szCs w:val="18"/>
              </w:rPr>
              <w:t xml:space="preserve">Phase 3</w:t>
            </w:r>
          </w:p>
        </w:tc>
        <w:tc>
          <w:tcPr>
            <w:tcW w:type="dxa" w:w="39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Both pilot workflows execute successfully end-to-end with agreed test inputs and produce expected outputs. Error handling triggers as designed on invalid input.</w:t>
            </w:r>
          </w:p>
        </w:tc>
        <w:tc>
          <w:tcPr>
            <w:tcW w:type="dxa" w:w="39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Client executes agreed test cases using provided test data. Results documented in test log.</w:t>
            </w:r>
          </w:p>
        </w:tc>
      </w:tr>
      <w:tr>
        <w:tc>
          <w:tcPr>
            <w:tcW w:type="dxa" w:w="144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Phase 4</w:t>
            </w:r>
          </w:p>
        </w:tc>
        <w:tc>
          <w:tcPr>
            <w:tcW w:type="dxa" w:w="39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Client technical team demonstrates ability to independently create a simple 3-node workflow without Vendor assistance. All documents delivered.</w:t>
            </w:r>
          </w:p>
        </w:tc>
        <w:tc>
          <w:tcPr>
            <w:tcW w:type="dxa" w:w="39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Observed during knowledge transfer session. Document receipt confirmed by email.</w:t>
            </w:r>
          </w:p>
        </w:tc>
      </w:tr>
    </w:tbl>
    <w:p>
      <w:r>
        <w:br w:type="page"/>
      </w:r>
    </w:p>
    <w:p>
      <w:pPr>
        <w:pStyle w:val="Heading1"/>
        <w:spacing w:after="180" w:before="360"/>
      </w:pPr>
      <w:r>
        <w:rPr>
          <w:rFonts w:ascii="Arial" w:cs="Arial" w:eastAsia="Arial" w:hAnsi="Arial"/>
          <w:b/>
          <w:bCs/>
          <w:color w:val="1A3A6B"/>
          <w:sz w:val="36"/>
          <w:szCs w:val="36"/>
        </w:rPr>
        <w:t xml:space="preserve">8. Commercials and Pricing</w:t>
      </w:r>
    </w:p>
    <w:p>
      <w:pPr>
        <w:spacing w:after="80" w:before="60"/>
      </w:pPr>
      <w:r>
        <w:rPr>
          <w:rFonts w:ascii="Arial" w:cs="Arial" w:eastAsia="Arial" w:hAnsi="Arial"/>
          <w:sz w:val="20"/>
          <w:szCs w:val="20"/>
        </w:rPr>
        <w:t xml:space="preserve">The following pricing table sets out the commercial structure for this POC engagement. All rates are indicative and subject to final confirmation. Pricing is exclusive of applicable taxes.</w:t>
      </w:r>
    </w:p>
    <w:p>
      <w:pPr>
        <w:pStyle w:val="Heading2"/>
        <w:spacing w:after="120" w:before="240"/>
      </w:pPr>
      <w:r>
        <w:rPr>
          <w:rFonts w:ascii="Arial" w:cs="Arial" w:eastAsia="Arial" w:hAnsi="Arial"/>
          <w:b/>
          <w:bCs/>
          <w:color w:val="2E5FA3"/>
          <w:sz w:val="28"/>
          <w:szCs w:val="28"/>
        </w:rPr>
        <w:t xml:space="preserve">8.1 Effort and Rate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Activity</w:t>
            </w:r>
          </w:p>
        </w:tc>
        <w:tc>
          <w:tcPr>
            <w:tcW w:type="dxa" w:w="156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156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Days</w:t>
            </w:r>
          </w:p>
        </w:tc>
        <w:tc>
          <w:tcPr>
            <w:tcW w:type="dxa" w:w="156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Day Rate (USD)</w:t>
            </w:r>
          </w:p>
        </w:tc>
        <w:tc>
          <w:tcPr>
            <w:tcW w:type="dxa" w:w="156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Total (USD)</w:t>
            </w:r>
          </w:p>
        </w:tc>
      </w:tr>
      <w:tr>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Pre-engagement discovery</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Solutions Engineer</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0.5</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[RATE]</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[AMOUNT]</w:t>
            </w:r>
          </w:p>
        </w:tc>
      </w:tr>
      <w:tr>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Environment Setup &amp; Deployment</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Solutions Engineer</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[RATE]</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[AMOUNT]</w:t>
            </w:r>
          </w:p>
        </w:tc>
      </w:tr>
      <w:tr>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Integration Configuration</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Solutions Engineer</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[RATE]</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[AMOUNT]</w:t>
            </w:r>
          </w:p>
        </w:tc>
      </w:tr>
      <w:tr>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Pilot Workflow 1 Development</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Technical Consultant</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[RATE]</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[AMOUNT]</w:t>
            </w:r>
          </w:p>
        </w:tc>
      </w:tr>
      <w:tr>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Pilot Workflow 2 Development</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Technical Consultant</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[RATE]</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[AMOUNT]</w:t>
            </w:r>
          </w:p>
        </w:tc>
      </w:tr>
      <w:tr>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Knowledge Transfer &amp; Training</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Solutions Engineer</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[RATE]</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[AMOUNT]</w:t>
            </w:r>
          </w:p>
        </w:tc>
      </w:tr>
      <w:tr>
        <w:tc>
          <w:tcPr>
            <w:tcW w:type="dxa" w:w="312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Documentation Delivery</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Technical Consultant</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0.5</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[RATE]</w:t>
            </w:r>
          </w:p>
        </w:tc>
        <w:tc>
          <w:tcPr>
            <w:tcW w:type="dxa" w:w="156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[AMOUNT]</w:t>
            </w:r>
          </w:p>
        </w:tc>
      </w:tr>
      <w:tr>
        <w:tc>
          <w:tcPr>
            <w:tcW w:type="dxa" w:w="312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Post-Handover Support (10 days)</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Solutions Engineer</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[RATE]</w:t>
            </w:r>
          </w:p>
        </w:tc>
        <w:tc>
          <w:tcPr>
            <w:tcW w:type="dxa" w:w="156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[AMOUNT]</w:t>
            </w:r>
          </w:p>
        </w:tc>
      </w:tr>
      <w:tr>
        <w:tc>
          <w:tcPr>
            <w:tcW w:type="dxa" w:w="3120"/>
            <w:tcBorders>
              <w:top w:val="single" w:color="C0CCE0" w:sz="1"/>
              <w:left w:val="single" w:color="C0CCE0" w:sz="1"/>
              <w:bottom w:val="single" w:color="C0CCE0" w:sz="1"/>
              <w:right w:val="single" w:color="C0CCE0" w:sz="1"/>
            </w:tcBorders>
            <w:shd w:fill="EEF4FB" w:val="clear"/>
            <w:tcMar>
              <w:top w:type="dxa" w:w="80"/>
              <w:left w:type="dxa" w:w="120"/>
              <w:bottom w:type="dxa" w:w="80"/>
              <w:right w:type="dxa" w:w="120"/>
            </w:tcMar>
          </w:tcPr>
          <w:p>
            <w:pPr>
              <w:jc w:val="left"/>
            </w:pPr>
            <w:r>
              <w:rPr>
                <w:rFonts w:ascii="Arial" w:cs="Arial" w:eastAsia="Arial" w:hAnsi="Arial"/>
                <w:b/>
                <w:bCs/>
                <w:sz w:val="18"/>
                <w:szCs w:val="18"/>
              </w:rPr>
              <w:t xml:space="preserve">TOTAL</w:t>
            </w:r>
          </w:p>
        </w:tc>
        <w:tc>
          <w:tcPr>
            <w:tcW w:type="dxa" w:w="1560"/>
            <w:tcBorders>
              <w:top w:val="single" w:color="C0CCE0" w:sz="1"/>
              <w:left w:val="single" w:color="C0CCE0" w:sz="1"/>
              <w:bottom w:val="single" w:color="C0CCE0" w:sz="1"/>
              <w:right w:val="single" w:color="C0CCE0" w:sz="1"/>
            </w:tcBorders>
            <w:shd w:fill="EEF4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c>
          <w:tcPr>
            <w:tcW w:type="dxa" w:w="1560"/>
            <w:tcBorders>
              <w:top w:val="single" w:color="C0CCE0" w:sz="1"/>
              <w:left w:val="single" w:color="C0CCE0" w:sz="1"/>
              <w:bottom w:val="single" w:color="C0CCE0" w:sz="1"/>
              <w:right w:val="single" w:color="C0CCE0" w:sz="1"/>
            </w:tcBorders>
            <w:shd w:fill="EEF4FB" w:val="clear"/>
            <w:tcMar>
              <w:top w:type="dxa" w:w="80"/>
              <w:left w:type="dxa" w:w="120"/>
              <w:bottom w:type="dxa" w:w="80"/>
              <w:right w:type="dxa" w:w="120"/>
            </w:tcMar>
          </w:tcPr>
          <w:p>
            <w:pPr>
              <w:jc w:val="left"/>
            </w:pPr>
            <w:r>
              <w:rPr>
                <w:rFonts w:ascii="Arial" w:cs="Arial" w:eastAsia="Arial" w:hAnsi="Arial"/>
                <w:b/>
                <w:bCs/>
                <w:sz w:val="18"/>
                <w:szCs w:val="18"/>
              </w:rPr>
              <w:t xml:space="preserve">12 days</w:t>
            </w:r>
          </w:p>
        </w:tc>
        <w:tc>
          <w:tcPr>
            <w:tcW w:type="dxa" w:w="1560"/>
            <w:tcBorders>
              <w:top w:val="single" w:color="C0CCE0" w:sz="1"/>
              <w:left w:val="single" w:color="C0CCE0" w:sz="1"/>
              <w:bottom w:val="single" w:color="C0CCE0" w:sz="1"/>
              <w:right w:val="single" w:color="C0CCE0" w:sz="1"/>
            </w:tcBorders>
            <w:shd w:fill="EEF4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w:r>
          </w:p>
        </w:tc>
        <w:tc>
          <w:tcPr>
            <w:tcW w:type="dxa" w:w="1560"/>
            <w:tcBorders>
              <w:top w:val="single" w:color="C0CCE0" w:sz="1"/>
              <w:left w:val="single" w:color="C0CCE0" w:sz="1"/>
              <w:bottom w:val="single" w:color="C0CCE0" w:sz="1"/>
              <w:right w:val="single" w:color="C0CCE0" w:sz="1"/>
            </w:tcBorders>
            <w:shd w:fill="EEF4FB" w:val="clear"/>
            <w:tcMar>
              <w:top w:type="dxa" w:w="80"/>
              <w:left w:type="dxa" w:w="120"/>
              <w:bottom w:type="dxa" w:w="80"/>
              <w:right w:type="dxa" w:w="120"/>
            </w:tcMar>
          </w:tcPr>
          <w:p>
            <w:pPr>
              <w:jc w:val="left"/>
            </w:pPr>
            <w:r>
              <w:rPr>
                <w:rFonts w:ascii="Arial" w:cs="Arial" w:eastAsia="Arial" w:hAnsi="Arial"/>
                <w:b/>
                <w:bCs/>
                <w:sz w:val="18"/>
                <w:szCs w:val="18"/>
              </w:rPr>
              <w:t xml:space="preserve">[TOTAL USD]</w:t>
            </w:r>
          </w:p>
        </w:tc>
      </w:tr>
    </w:tbl>
    <w:p>
      <w:pPr>
        <w:spacing w:after="100" w:before="100"/>
      </w:pPr>
      <w:r>
        <w:t xml:space="preserve"/>
      </w:r>
    </w:p>
    <w:p>
      <w:pPr>
        <w:pStyle w:val="Heading2"/>
        <w:spacing w:after="120" w:before="240"/>
      </w:pPr>
      <w:r>
        <w:rPr>
          <w:rFonts w:ascii="Arial" w:cs="Arial" w:eastAsia="Arial" w:hAnsi="Arial"/>
          <w:b/>
          <w:bCs/>
          <w:color w:val="2E5FA3"/>
          <w:sz w:val="28"/>
          <w:szCs w:val="28"/>
        </w:rPr>
        <w:t xml:space="preserve">8.2 Payment Terms</w:t>
      </w:r>
    </w:p>
    <w:p>
      <w:pPr>
        <w:pStyle w:val="ListParagraph"/>
        <w:numPr>
          <w:ilvl w:val="0"/>
          <w:numId w:val="2"/>
        </w:numPr>
        <w:spacing w:after="40" w:before="40"/>
      </w:pPr>
      <w:r>
        <w:rPr>
          <w:rFonts w:ascii="Arial" w:cs="Arial" w:eastAsia="Arial" w:hAnsi="Arial"/>
          <w:sz w:val="20"/>
          <w:szCs w:val="20"/>
        </w:rPr>
        <w:t xml:space="preserve">50% of total engagement fee due upon SOW execution</w:t>
      </w:r>
    </w:p>
    <w:p>
      <w:pPr>
        <w:pStyle w:val="ListParagraph"/>
        <w:numPr>
          <w:ilvl w:val="0"/>
          <w:numId w:val="2"/>
        </w:numPr>
        <w:spacing w:after="40" w:before="40"/>
      </w:pPr>
      <w:r>
        <w:rPr>
          <w:rFonts w:ascii="Arial" w:cs="Arial" w:eastAsia="Arial" w:hAnsi="Arial"/>
          <w:sz w:val="20"/>
          <w:szCs w:val="20"/>
        </w:rPr>
        <w:t xml:space="preserve">25% of total engagement fee due upon Phase 3 completion (pilot workflow acceptance)</w:t>
      </w:r>
    </w:p>
    <w:p>
      <w:pPr>
        <w:pStyle w:val="ListParagraph"/>
        <w:numPr>
          <w:ilvl w:val="0"/>
          <w:numId w:val="2"/>
        </w:numPr>
        <w:spacing w:after="40" w:before="40"/>
      </w:pPr>
      <w:r>
        <w:rPr>
          <w:rFonts w:ascii="Arial" w:cs="Arial" w:eastAsia="Arial" w:hAnsi="Arial"/>
          <w:sz w:val="20"/>
          <w:szCs w:val="20"/>
        </w:rPr>
        <w:t xml:space="preserve">25% of total engagement fee due upon Phase 4 completion (knowledge transfer acceptance)</w:t>
      </w:r>
    </w:p>
    <w:p>
      <w:pPr>
        <w:pStyle w:val="ListParagraph"/>
        <w:numPr>
          <w:ilvl w:val="0"/>
          <w:numId w:val="2"/>
        </w:numPr>
        <w:spacing w:after="40" w:before="40"/>
      </w:pPr>
      <w:r>
        <w:rPr>
          <w:rFonts w:ascii="Arial" w:cs="Arial" w:eastAsia="Arial" w:hAnsi="Arial"/>
          <w:sz w:val="20"/>
          <w:szCs w:val="20"/>
        </w:rPr>
        <w:t xml:space="preserve">Payment terms: Net 30 days from invoice date</w:t>
      </w:r>
    </w:p>
    <w:p>
      <w:pPr>
        <w:pStyle w:val="ListParagraph"/>
        <w:numPr>
          <w:ilvl w:val="0"/>
          <w:numId w:val="2"/>
        </w:numPr>
        <w:spacing w:after="40" w:before="40"/>
      </w:pPr>
      <w:r>
        <w:rPr>
          <w:rFonts w:ascii="Arial" w:cs="Arial" w:eastAsia="Arial" w:hAnsi="Arial"/>
          <w:sz w:val="20"/>
          <w:szCs w:val="20"/>
        </w:rPr>
        <w:t xml:space="preserve">Currency: USD (other currencies available upon request)</w:t>
      </w:r>
    </w:p>
    <w:p>
      <w:pPr>
        <w:pStyle w:val="ListParagraph"/>
        <w:numPr>
          <w:ilvl w:val="0"/>
          <w:numId w:val="2"/>
        </w:numPr>
        <w:spacing w:after="40" w:before="40"/>
      </w:pPr>
      <w:r>
        <w:rPr>
          <w:rFonts w:ascii="Arial" w:cs="Arial" w:eastAsia="Arial" w:hAnsi="Arial"/>
          <w:sz w:val="20"/>
          <w:szCs w:val="20"/>
        </w:rPr>
        <w:t xml:space="preserve">Travel and expenses: Any required travel will be billed at cost with prior Client approval; remote delivery assumed for this engagement</w:t>
      </w:r>
    </w:p>
    <w:p>
      <w:pPr>
        <w:pStyle w:val="Heading2"/>
        <w:spacing w:after="120" w:before="240"/>
      </w:pPr>
      <w:r>
        <w:rPr>
          <w:rFonts w:ascii="Arial" w:cs="Arial" w:eastAsia="Arial" w:hAnsi="Arial"/>
          <w:b/>
          <w:bCs/>
          <w:color w:val="2E5FA3"/>
          <w:sz w:val="28"/>
          <w:szCs w:val="28"/>
        </w:rPr>
        <w:t xml:space="preserve">8.3 Software Licensing</w:t>
      </w:r>
    </w:p>
    <w:p>
      <w:pPr>
        <w:spacing w:after="80" w:before="60"/>
      </w:pPr>
      <w:r>
        <w:rPr>
          <w:rFonts w:ascii="Arial" w:cs="Arial" w:eastAsia="Arial" w:hAnsi="Arial"/>
          <w:sz w:val="20"/>
          <w:szCs w:val="20"/>
        </w:rPr>
        <w:t xml:space="preserve">This engagement uses the following software. Licensing terms are as follows:</w:t>
      </w:r>
    </w:p>
    <w:p>
      <w:pPr>
        <w:pStyle w:val="ListParagraph"/>
        <w:numPr>
          <w:ilvl w:val="0"/>
          <w:numId w:val="2"/>
        </w:numPr>
        <w:spacing w:after="40" w:before="40"/>
      </w:pPr>
      <w:r>
        <w:rPr>
          <w:rFonts w:ascii="Arial" w:cs="Arial" w:eastAsia="Arial" w:hAnsi="Arial"/>
          <w:sz w:val="20"/>
          <w:szCs w:val="20"/>
        </w:rPr>
        <w:t xml:space="preserve">n8n: Fair-code license. Self-hosted deployment included in engagement. Refer to n8n fair-code license for usage restrictions.</w:t>
      </w:r>
    </w:p>
    <w:p>
      <w:pPr>
        <w:pStyle w:val="ListParagraph"/>
        <w:numPr>
          <w:ilvl w:val="0"/>
          <w:numId w:val="2"/>
        </w:numPr>
        <w:spacing w:after="40" w:before="40"/>
      </w:pPr>
      <w:r>
        <w:rPr>
          <w:rFonts w:ascii="Arial" w:cs="Arial" w:eastAsia="Arial" w:hAnsi="Arial"/>
          <w:sz w:val="20"/>
          <w:szCs w:val="20"/>
        </w:rPr>
        <w:t xml:space="preserve">OpenClaw AI Gateway: Commercial license. POC usage rights included for the duration of this SOW. Production license to be negotiated separately.</w:t>
      </w:r>
    </w:p>
    <w:p>
      <w:pPr>
        <w:pStyle w:val="ListParagraph"/>
        <w:numPr>
          <w:ilvl w:val="0"/>
          <w:numId w:val="2"/>
        </w:numPr>
        <w:spacing w:after="40" w:before="40"/>
      </w:pPr>
      <w:r>
        <w:rPr>
          <w:rFonts w:ascii="Arial" w:cs="Arial" w:eastAsia="Arial" w:hAnsi="Arial"/>
          <w:sz w:val="20"/>
          <w:szCs w:val="20"/>
        </w:rPr>
        <w:t xml:space="preserve">PostgreSQL, Redis, pgvector: Open source. No licensing fees.</w:t>
      </w:r>
    </w:p>
    <w:p>
      <w:pPr>
        <w:pStyle w:val="ListParagraph"/>
        <w:numPr>
          <w:ilvl w:val="0"/>
          <w:numId w:val="2"/>
        </w:numPr>
        <w:spacing w:after="40" w:before="40"/>
      </w:pPr>
      <w:r>
        <w:rPr>
          <w:rFonts w:ascii="Arial" w:cs="Arial" w:eastAsia="Arial" w:hAnsi="Arial"/>
          <w:sz w:val="20"/>
          <w:szCs w:val="20"/>
        </w:rPr>
        <w:t xml:space="preserve">Docker Engine: Community Edition. No licensing fees for POC use.</w:t>
      </w:r>
    </w:p>
    <w:p>
      <w:r>
        <w:br w:type="page"/>
      </w:r>
    </w:p>
    <w:p>
      <w:pPr>
        <w:pStyle w:val="Heading1"/>
        <w:spacing w:after="180" w:before="360"/>
      </w:pPr>
      <w:r>
        <w:rPr>
          <w:rFonts w:ascii="Arial" w:cs="Arial" w:eastAsia="Arial" w:hAnsi="Arial"/>
          <w:b/>
          <w:bCs/>
          <w:color w:val="1A3A6B"/>
          <w:sz w:val="36"/>
          <w:szCs w:val="36"/>
        </w:rPr>
        <w:t xml:space="preserve">9. Change Management</w:t>
      </w:r>
    </w:p>
    <w:p>
      <w:pPr>
        <w:pStyle w:val="Heading2"/>
        <w:spacing w:after="120" w:before="240"/>
      </w:pPr>
      <w:r>
        <w:rPr>
          <w:rFonts w:ascii="Arial" w:cs="Arial" w:eastAsia="Arial" w:hAnsi="Arial"/>
          <w:b/>
          <w:bCs/>
          <w:color w:val="2E5FA3"/>
          <w:sz w:val="28"/>
          <w:szCs w:val="28"/>
        </w:rPr>
        <w:t xml:space="preserve">9.1 Change Request Process</w:t>
      </w:r>
    </w:p>
    <w:p>
      <w:pPr>
        <w:spacing w:after="80" w:before="60"/>
      </w:pPr>
      <w:r>
        <w:rPr>
          <w:rFonts w:ascii="Arial" w:cs="Arial" w:eastAsia="Arial" w:hAnsi="Arial"/>
          <w:sz w:val="20"/>
          <w:szCs w:val="20"/>
        </w:rPr>
        <w:t xml:space="preserve">Any request to modify the scope, timeline, or commercial terms of this SOW must follow the change request process outlined below. Verbal change requests will not be accepted without a corresponding written Change Request (CR).</w:t>
      </w:r>
    </w:p>
    <w:p>
      <w:pPr>
        <w:pStyle w:val="ListParagraph"/>
        <w:numPr>
          <w:ilvl w:val="0"/>
          <w:numId w:val="3"/>
        </w:numPr>
        <w:spacing w:after="40" w:before="40"/>
      </w:pPr>
      <w:r>
        <w:rPr>
          <w:rFonts w:ascii="Arial" w:cs="Arial" w:eastAsia="Arial" w:hAnsi="Arial"/>
          <w:sz w:val="20"/>
          <w:szCs w:val="20"/>
        </w:rPr>
        <w:t xml:space="preserve">Either party may initiate a Change Request by submitting a written description of the requested change to the other party's nominated contact</w:t>
      </w:r>
    </w:p>
    <w:p>
      <w:pPr>
        <w:pStyle w:val="ListParagraph"/>
        <w:numPr>
          <w:ilvl w:val="0"/>
          <w:numId w:val="3"/>
        </w:numPr>
        <w:spacing w:after="40" w:before="40"/>
      </w:pPr>
      <w:r>
        <w:rPr>
          <w:rFonts w:ascii="Arial" w:cs="Arial" w:eastAsia="Arial" w:hAnsi="Arial"/>
          <w:sz w:val="20"/>
          <w:szCs w:val="20"/>
        </w:rPr>
        <w:t xml:space="preserve">The Vendor will assess the impact of the requested change on scope, timeline, effort, and cost within 5 business days</w:t>
      </w:r>
    </w:p>
    <w:p>
      <w:pPr>
        <w:pStyle w:val="ListParagraph"/>
        <w:numPr>
          <w:ilvl w:val="0"/>
          <w:numId w:val="3"/>
        </w:numPr>
        <w:spacing w:after="40" w:before="40"/>
      </w:pPr>
      <w:r>
        <w:rPr>
          <w:rFonts w:ascii="Arial" w:cs="Arial" w:eastAsia="Arial" w:hAnsi="Arial"/>
          <w:sz w:val="20"/>
          <w:szCs w:val="20"/>
        </w:rPr>
        <w:t xml:space="preserve">The Vendor will issue a Change Request document detailing the impact assessment and revised commercials</w:t>
      </w:r>
    </w:p>
    <w:p>
      <w:pPr>
        <w:pStyle w:val="ListParagraph"/>
        <w:numPr>
          <w:ilvl w:val="0"/>
          <w:numId w:val="3"/>
        </w:numPr>
        <w:spacing w:after="40" w:before="40"/>
      </w:pPr>
      <w:r>
        <w:rPr>
          <w:rFonts w:ascii="Arial" w:cs="Arial" w:eastAsia="Arial" w:hAnsi="Arial"/>
          <w:sz w:val="20"/>
          <w:szCs w:val="20"/>
        </w:rPr>
        <w:t xml:space="preserve">The Client must approve or reject the Change Request in writing within 5 business days</w:t>
      </w:r>
    </w:p>
    <w:p>
      <w:pPr>
        <w:pStyle w:val="ListParagraph"/>
        <w:numPr>
          <w:ilvl w:val="0"/>
          <w:numId w:val="3"/>
        </w:numPr>
        <w:spacing w:after="40" w:before="40"/>
      </w:pPr>
      <w:r>
        <w:rPr>
          <w:rFonts w:ascii="Arial" w:cs="Arial" w:eastAsia="Arial" w:hAnsi="Arial"/>
          <w:sz w:val="20"/>
          <w:szCs w:val="20"/>
        </w:rPr>
        <w:t xml:space="preserve">Upon Client approval, the Change Request becomes an amendment to this SOW and is binding on both parties</w:t>
      </w:r>
    </w:p>
    <w:p>
      <w:pPr>
        <w:pStyle w:val="ListParagraph"/>
        <w:numPr>
          <w:ilvl w:val="0"/>
          <w:numId w:val="3"/>
        </w:numPr>
        <w:spacing w:after="40" w:before="40"/>
      </w:pPr>
      <w:r>
        <w:rPr>
          <w:rFonts w:ascii="Arial" w:cs="Arial" w:eastAsia="Arial" w:hAnsi="Arial"/>
          <w:sz w:val="20"/>
          <w:szCs w:val="20"/>
        </w:rPr>
        <w:t xml:space="preserve">Work on the changed scope will not commence until the Change Request is signed by both parties</w:t>
      </w:r>
    </w:p>
    <w:p>
      <w:pPr>
        <w:pStyle w:val="Heading2"/>
        <w:spacing w:after="120" w:before="240"/>
      </w:pPr>
      <w:r>
        <w:rPr>
          <w:rFonts w:ascii="Arial" w:cs="Arial" w:eastAsia="Arial" w:hAnsi="Arial"/>
          <w:b/>
          <w:bCs/>
          <w:color w:val="2E5FA3"/>
          <w:sz w:val="28"/>
          <w:szCs w:val="28"/>
        </w:rPr>
        <w:t xml:space="preserve">9.2 Scope Creep Prevention</w:t>
      </w:r>
    </w:p>
    <w:p>
      <w:pPr>
        <w:spacing w:after="80" w:before="60"/>
      </w:pPr>
      <w:r>
        <w:rPr>
          <w:rFonts w:ascii="Arial" w:cs="Arial" w:eastAsia="Arial" w:hAnsi="Arial"/>
          <w:sz w:val="20"/>
          <w:szCs w:val="20"/>
        </w:rPr>
        <w:t xml:space="preserve">The following guidelines apply to prevent uncontrolled scope expansion:</w:t>
      </w:r>
    </w:p>
    <w:p>
      <w:pPr>
        <w:pStyle w:val="ListParagraph"/>
        <w:numPr>
          <w:ilvl w:val="0"/>
          <w:numId w:val="2"/>
        </w:numPr>
        <w:spacing w:after="40" w:before="40"/>
      </w:pPr>
      <w:r>
        <w:rPr>
          <w:rFonts w:ascii="Arial" w:cs="Arial" w:eastAsia="Arial" w:hAnsi="Arial"/>
          <w:sz w:val="20"/>
          <w:szCs w:val="20"/>
        </w:rPr>
        <w:t xml:space="preserve">Requests for additional pilot workflows (beyond 2) will automatically trigger a Change Request</w:t>
      </w:r>
    </w:p>
    <w:p>
      <w:pPr>
        <w:pStyle w:val="ListParagraph"/>
        <w:numPr>
          <w:ilvl w:val="0"/>
          <w:numId w:val="2"/>
        </w:numPr>
        <w:spacing w:after="40" w:before="40"/>
      </w:pPr>
      <w:r>
        <w:rPr>
          <w:rFonts w:ascii="Arial" w:cs="Arial" w:eastAsia="Arial" w:hAnsi="Arial"/>
          <w:sz w:val="20"/>
          <w:szCs w:val="20"/>
        </w:rPr>
        <w:t xml:space="preserve">Requests for integration with additional services (beyond 3) will automatically trigger a Change Request</w:t>
      </w:r>
    </w:p>
    <w:p>
      <w:pPr>
        <w:pStyle w:val="ListParagraph"/>
        <w:numPr>
          <w:ilvl w:val="0"/>
          <w:numId w:val="2"/>
        </w:numPr>
        <w:spacing w:after="40" w:before="40"/>
      </w:pPr>
      <w:r>
        <w:rPr>
          <w:rFonts w:ascii="Arial" w:cs="Arial" w:eastAsia="Arial" w:hAnsi="Arial"/>
          <w:sz w:val="20"/>
          <w:szCs w:val="20"/>
        </w:rPr>
        <w:t xml:space="preserve">Requests for custom n8n node development will automatically trigger a Change Request</w:t>
      </w:r>
    </w:p>
    <w:p>
      <w:pPr>
        <w:pStyle w:val="ListParagraph"/>
        <w:numPr>
          <w:ilvl w:val="0"/>
          <w:numId w:val="2"/>
        </w:numPr>
        <w:spacing w:after="40" w:before="40"/>
      </w:pPr>
      <w:r>
        <w:rPr>
          <w:rFonts w:ascii="Arial" w:cs="Arial" w:eastAsia="Arial" w:hAnsi="Arial"/>
          <w:sz w:val="20"/>
          <w:szCs w:val="20"/>
        </w:rPr>
        <w:t xml:space="preserve">The Vendor will flag potential scope creep risks to the Client in writing before beginning any activity that may be outside scope</w:t>
      </w:r>
    </w:p>
    <w:p>
      <w:r>
        <w:br w:type="page"/>
      </w:r>
    </w:p>
    <w:p>
      <w:pPr>
        <w:pStyle w:val="Heading1"/>
        <w:spacing w:after="180" w:before="360"/>
      </w:pPr>
      <w:r>
        <w:rPr>
          <w:rFonts w:ascii="Arial" w:cs="Arial" w:eastAsia="Arial" w:hAnsi="Arial"/>
          <w:b/>
          <w:bCs/>
          <w:color w:val="1A3A6B"/>
          <w:sz w:val="36"/>
          <w:szCs w:val="36"/>
        </w:rPr>
        <w:t xml:space="preserve">10. Terms and Conditions</w:t>
      </w:r>
    </w:p>
    <w:p>
      <w:pPr>
        <w:pStyle w:val="Heading2"/>
        <w:spacing w:after="120" w:before="240"/>
      </w:pPr>
      <w:r>
        <w:rPr>
          <w:rFonts w:ascii="Arial" w:cs="Arial" w:eastAsia="Arial" w:hAnsi="Arial"/>
          <w:b/>
          <w:bCs/>
          <w:color w:val="2E5FA3"/>
          <w:sz w:val="28"/>
          <w:szCs w:val="28"/>
        </w:rPr>
        <w:t xml:space="preserve">10.1 Confidentiality</w:t>
      </w:r>
    </w:p>
    <w:p>
      <w:pPr>
        <w:spacing w:after="80" w:before="60"/>
      </w:pPr>
      <w:r>
        <w:rPr>
          <w:rFonts w:ascii="Arial" w:cs="Arial" w:eastAsia="Arial" w:hAnsi="Arial"/>
          <w:sz w:val="20"/>
          <w:szCs w:val="20"/>
        </w:rPr>
        <w:t xml:space="preserve">Both parties agree to maintain the confidentiality of all proprietary information, trade secrets, business data, and technical configurations shared during this engagement. Confidential information shall not be disclosed to any third party without prior written consent. This obligation survives termination of this SOW for a period of three (3) years.</w:t>
      </w:r>
    </w:p>
    <w:p>
      <w:pPr>
        <w:pStyle w:val="Heading2"/>
        <w:spacing w:after="120" w:before="240"/>
      </w:pPr>
      <w:r>
        <w:rPr>
          <w:rFonts w:ascii="Arial" w:cs="Arial" w:eastAsia="Arial" w:hAnsi="Arial"/>
          <w:b/>
          <w:bCs/>
          <w:color w:val="2E5FA3"/>
          <w:sz w:val="28"/>
          <w:szCs w:val="28"/>
        </w:rPr>
        <w:t xml:space="preserve">10.2 Intellectual Property</w:t>
      </w:r>
    </w:p>
    <w:p>
      <w:pPr>
        <w:spacing w:after="80" w:before="60"/>
      </w:pPr>
      <w:r>
        <w:rPr>
          <w:rFonts w:ascii="Arial" w:cs="Arial" w:eastAsia="Arial" w:hAnsi="Arial"/>
          <w:sz w:val="20"/>
          <w:szCs w:val="20"/>
        </w:rPr>
        <w:t xml:space="preserve">All pre-existing intellectual property of each party remains the property of that party. Deliverables created specifically for and funded by the Client under this SOW (including pilot workflow JSON files and configuration) become the property of the Client upon full payment. Platform software, deployment scripts, and proprietary tooling remain the property of OpenClaw Technologies.</w:t>
      </w:r>
    </w:p>
    <w:p>
      <w:pPr>
        <w:pStyle w:val="Heading2"/>
        <w:spacing w:after="120" w:before="240"/>
      </w:pPr>
      <w:r>
        <w:rPr>
          <w:rFonts w:ascii="Arial" w:cs="Arial" w:eastAsia="Arial" w:hAnsi="Arial"/>
          <w:b/>
          <w:bCs/>
          <w:color w:val="2E5FA3"/>
          <w:sz w:val="28"/>
          <w:szCs w:val="28"/>
        </w:rPr>
        <w:t xml:space="preserve">10.3 Data Handling</w:t>
      </w:r>
    </w:p>
    <w:p>
      <w:pPr>
        <w:spacing w:after="80" w:before="60"/>
      </w:pPr>
      <w:r>
        <w:rPr>
          <w:rFonts w:ascii="Arial" w:cs="Arial" w:eastAsia="Arial" w:hAnsi="Arial"/>
          <w:sz w:val="20"/>
          <w:szCs w:val="20"/>
        </w:rPr>
        <w:t xml:space="preserve">The Client is responsible for ensuring that any data used in the POC environment complies with applicable data protection regulations. The Vendor will not store, export, or process Client data outside the Client's provisioned hardware unless explicitly authorized. No personal data (PII) should be used in POC workflows without appropriate safeguards.</w:t>
      </w:r>
    </w:p>
    <w:p>
      <w:pPr>
        <w:pStyle w:val="Heading2"/>
        <w:spacing w:after="120" w:before="240"/>
      </w:pPr>
      <w:r>
        <w:rPr>
          <w:rFonts w:ascii="Arial" w:cs="Arial" w:eastAsia="Arial" w:hAnsi="Arial"/>
          <w:b/>
          <w:bCs/>
          <w:color w:val="2E5FA3"/>
          <w:sz w:val="28"/>
          <w:szCs w:val="28"/>
        </w:rPr>
        <w:t xml:space="preserve">10.4 Limitation of Liability</w:t>
      </w:r>
    </w:p>
    <w:p>
      <w:pPr>
        <w:spacing w:after="80" w:before="60"/>
      </w:pPr>
      <w:r>
        <w:rPr>
          <w:rFonts w:ascii="Arial" w:cs="Arial" w:eastAsia="Arial" w:hAnsi="Arial"/>
          <w:sz w:val="20"/>
          <w:szCs w:val="20"/>
        </w:rPr>
        <w:t xml:space="preserve">To the maximum extent permitted by law, the Vendor's total liability under this SOW shall not exceed the total fees paid by the Client under this agreement. Neither party shall be liable for indirect, consequential, or punitive damages. The POC platform is provided for evaluation purposes; the Vendor makes no warranties regarding fitness for production use.</w:t>
      </w:r>
    </w:p>
    <w:p>
      <w:pPr>
        <w:pStyle w:val="Heading2"/>
        <w:spacing w:after="120" w:before="240"/>
      </w:pPr>
      <w:r>
        <w:rPr>
          <w:rFonts w:ascii="Arial" w:cs="Arial" w:eastAsia="Arial" w:hAnsi="Arial"/>
          <w:b/>
          <w:bCs/>
          <w:color w:val="2E5FA3"/>
          <w:sz w:val="28"/>
          <w:szCs w:val="28"/>
        </w:rPr>
        <w:t xml:space="preserve">10.5 Termination</w:t>
      </w:r>
    </w:p>
    <w:p>
      <w:pPr>
        <w:spacing w:after="80" w:before="60"/>
      </w:pPr>
      <w:r>
        <w:rPr>
          <w:rFonts w:ascii="Arial" w:cs="Arial" w:eastAsia="Arial" w:hAnsi="Arial"/>
          <w:sz w:val="20"/>
          <w:szCs w:val="20"/>
        </w:rPr>
        <w:t xml:space="preserve">Either party may terminate this SOW with 10 business days written notice. In the event of termination, the Client shall pay for all work completed to the date of termination at the agreed day rates. The Vendor will deliver all work products completed to that date.</w:t>
      </w:r>
    </w:p>
    <w:p>
      <w:pPr>
        <w:pStyle w:val="Heading2"/>
        <w:spacing w:after="120" w:before="240"/>
      </w:pPr>
      <w:r>
        <w:rPr>
          <w:rFonts w:ascii="Arial" w:cs="Arial" w:eastAsia="Arial" w:hAnsi="Arial"/>
          <w:b/>
          <w:bCs/>
          <w:color w:val="2E5FA3"/>
          <w:sz w:val="28"/>
          <w:szCs w:val="28"/>
        </w:rPr>
        <w:t xml:space="preserve">10.6 Governing Law</w:t>
      </w:r>
    </w:p>
    <w:p>
      <w:pPr>
        <w:spacing w:after="80" w:before="60"/>
      </w:pPr>
      <w:r>
        <w:rPr>
          <w:rFonts w:ascii="Arial" w:cs="Arial" w:eastAsia="Arial" w:hAnsi="Arial"/>
          <w:sz w:val="20"/>
          <w:szCs w:val="20"/>
        </w:rPr>
        <w:t xml:space="preserve">This SOW shall be governed by the laws of [Jurisdiction to be confirmed]. Any disputes arising under this SOW shall first be subject to good-faith negotiation between the parties, followed by mediation if negotiation fails.</w:t>
      </w:r>
    </w:p>
    <w:p>
      <w:pPr>
        <w:pStyle w:val="Heading2"/>
        <w:spacing w:after="120" w:before="240"/>
      </w:pPr>
      <w:r>
        <w:rPr>
          <w:rFonts w:ascii="Arial" w:cs="Arial" w:eastAsia="Arial" w:hAnsi="Arial"/>
          <w:b/>
          <w:bCs/>
          <w:color w:val="2E5FA3"/>
          <w:sz w:val="28"/>
          <w:szCs w:val="28"/>
        </w:rPr>
        <w:t xml:space="preserve">10.7 Entire Agreement</w:t>
      </w:r>
    </w:p>
    <w:p>
      <w:pPr>
        <w:spacing w:after="80" w:before="60"/>
      </w:pPr>
      <w:r>
        <w:rPr>
          <w:rFonts w:ascii="Arial" w:cs="Arial" w:eastAsia="Arial" w:hAnsi="Arial"/>
          <w:sz w:val="20"/>
          <w:szCs w:val="20"/>
        </w:rPr>
        <w:t xml:space="preserve">This SOW, together with any executed Change Requests, constitutes the entire agreement between the parties with respect to the subject matter herein and supersedes all prior discussions and representations.</w:t>
      </w:r>
    </w:p>
    <w:p>
      <w:r>
        <w:br w:type="page"/>
      </w:r>
    </w:p>
    <w:p>
      <w:pPr>
        <w:pStyle w:val="Heading1"/>
        <w:spacing w:after="180" w:before="360"/>
      </w:pPr>
      <w:r>
        <w:rPr>
          <w:rFonts w:ascii="Arial" w:cs="Arial" w:eastAsia="Arial" w:hAnsi="Arial"/>
          <w:b/>
          <w:bCs/>
          <w:color w:val="1A3A6B"/>
          <w:sz w:val="36"/>
          <w:szCs w:val="36"/>
        </w:rPr>
        <w:t xml:space="preserve">11. Signature and Execution</w:t>
      </w:r>
    </w:p>
    <w:p>
      <w:pPr>
        <w:spacing w:after="80" w:before="60"/>
      </w:pPr>
      <w:r>
        <w:rPr>
          <w:rFonts w:ascii="Arial" w:cs="Arial" w:eastAsia="Arial" w:hAnsi="Arial"/>
          <w:sz w:val="20"/>
          <w:szCs w:val="20"/>
        </w:rPr>
        <w:t xml:space="preserve">By signing below, both parties agree to be bound by the terms and conditions of this Statement of Work.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OpenClaw Technologies (Vendor)</w:t>
            </w:r>
          </w:p>
        </w:tc>
        <w:tc>
          <w:tcPr>
            <w:tcW w:type="dxa" w:w="4680"/>
            <w:tcBorders>
              <w:top w:val="single" w:color="C0CCE0" w:sz="1"/>
              <w:left w:val="single" w:color="C0CCE0" w:sz="1"/>
              <w:bottom w:val="single" w:color="C0CCE0" w:sz="1"/>
              <w:right w:val="single" w:color="C0CCE0" w:sz="1"/>
            </w:tcBorders>
            <w:shd w:fill="1A3A6B" w:val="clear"/>
            <w:tcMar>
              <w:top w:type="dxa" w:w="100"/>
              <w:left w:type="dxa" w:w="120"/>
              <w:bottom w:type="dxa" w:w="100"/>
              <w:right w:type="dxa" w:w="120"/>
            </w:tcMar>
          </w:tcPr>
          <w:p>
            <w:r>
              <w:rPr>
                <w:rFonts w:ascii="Arial" w:cs="Arial" w:eastAsia="Arial" w:hAnsi="Arial"/>
                <w:b/>
                <w:bCs/>
                <w:color w:val="FFFFFF"/>
                <w:sz w:val="20"/>
                <w:szCs w:val="20"/>
              </w:rPr>
              <w:t xml:space="preserve">[Client Organization Name] (Client)</w:t>
            </w:r>
          </w:p>
        </w:tc>
      </w:tr>
      <w:tr>
        <w:tc>
          <w:tcPr>
            <w:tcW w:type="dxa" w:w="4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Signature: ___________________________</w:t>
            </w:r>
          </w:p>
        </w:tc>
        <w:tc>
          <w:tcPr>
            <w:tcW w:type="dxa" w:w="4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Signature: ___________________________</w:t>
            </w:r>
          </w:p>
        </w:tc>
      </w:tr>
      <w:tr>
        <w:tc>
          <w:tcPr>
            <w:tcW w:type="dxa" w:w="4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Name: _______________________________</w:t>
            </w:r>
          </w:p>
        </w:tc>
        <w:tc>
          <w:tcPr>
            <w:tcW w:type="dxa" w:w="4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Name: _______________________________</w:t>
            </w:r>
          </w:p>
        </w:tc>
      </w:tr>
      <w:tr>
        <w:tc>
          <w:tcPr>
            <w:tcW w:type="dxa" w:w="4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Title: _______________________________</w:t>
            </w:r>
          </w:p>
        </w:tc>
        <w:tc>
          <w:tcPr>
            <w:tcW w:type="dxa" w:w="4680"/>
            <w:tcBorders>
              <w:top w:val="single" w:color="C0CCE0" w:sz="1"/>
              <w:left w:val="single" w:color="C0CCE0" w:sz="1"/>
              <w:bottom w:val="single" w:color="C0CCE0" w:sz="1"/>
              <w:right w:val="single" w:color="C0CCE0" w:sz="1"/>
            </w:tcBorders>
            <w:shd w:fill="F5F8FE"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Title: _______________________________</w:t>
            </w:r>
          </w:p>
        </w:tc>
      </w:tr>
      <w:tr>
        <w:tc>
          <w:tcPr>
            <w:tcW w:type="dxa" w:w="4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Date:  _______________________________</w:t>
            </w:r>
          </w:p>
        </w:tc>
        <w:tc>
          <w:tcPr>
            <w:tcW w:type="dxa" w:w="4680"/>
            <w:tcBorders>
              <w:top w:val="single" w:color="C0CCE0" w:sz="1"/>
              <w:left w:val="single" w:color="C0CCE0" w:sz="1"/>
              <w:bottom w:val="single" w:color="C0CCE0" w:sz="1"/>
              <w:right w:val="single" w:color="C0CCE0"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Date:  _______________________________</w:t>
            </w:r>
          </w:p>
        </w:tc>
      </w:tr>
    </w:tbl>
    <w:p>
      <w:pPr>
        <w:spacing w:after="100" w:before="100"/>
      </w:pPr>
      <w:r>
        <w:t xml:space="preserve"/>
      </w:r>
    </w:p>
    <w:p>
      <w:pPr>
        <w:pBdr>
          <w:top w:val="single" w:color="2E5FA3" w:sz="4" w:space="1"/>
        </w:pBdr>
        <w:spacing w:before="120"/>
        <w:jc w:val="center"/>
      </w:pPr>
      <w:r>
        <w:rPr>
          <w:rFonts w:ascii="Arial" w:cs="Arial" w:eastAsia="Arial" w:hAnsi="Arial"/>
          <w:i/>
          <w:iCs/>
          <w:color w:val="666666"/>
          <w:sz w:val="18"/>
          <w:szCs w:val="18"/>
        </w:rPr>
        <w:t xml:space="preserve">Document Classification: CONFIDENTIAL  |  Version 1.0  |  June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360"/>
      </w:tabs>
    </w:pPr>
    <w:r>
      <w:rPr>
        <w:rFonts w:ascii="Arial" w:cs="Arial" w:eastAsia="Arial" w:hAnsi="Arial"/>
        <w:color w:val="666666"/>
        <w:sz w:val="16"/>
        <w:szCs w:val="16"/>
      </w:rPr>
      <w:t xml:space="preserve">© 2025 OpenClaw Technologies. Proprietary and 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360"/>
      </w:tabs>
    </w:pPr>
    <w:r>
      <w:rPr>
        <w:rFonts w:ascii="Arial" w:cs="Arial" w:eastAsia="Arial" w:hAnsi="Arial"/>
        <w:color w:val="666666"/>
        <w:sz w:val="16"/>
        <w:szCs w:val="16"/>
      </w:rPr>
      <w:t xml:space="preserve">CONFIDENTIAL  |  OpenClaw + n8n AI Orchestration Platform</w:t>
    </w:r>
    <w:r>
      <w:rPr>
        <w:rFonts w:ascii="Arial" w:cs="Arial" w:eastAsia="Arial" w:hAnsi="Arial"/>
        <w:color w:val="666666"/>
        <w:sz w:val="16"/>
        <w:szCs w:val="16"/>
      </w:rPr>
      <w:t xml:space="preserve">	Statement of Work — POC Engagement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2026-06-18T20:37:04.053Z</dcterms:created>
  <dcterms:modified xsi:type="dcterms:W3CDTF">2026-06-18T20:37:04.054Z</dcterms:modified>
</cp:coreProperties>
</file>

<file path=docProps/custom.xml><?xml version="1.0" encoding="utf-8"?>
<Properties xmlns="http://schemas.openxmlformats.org/officeDocument/2006/custom-properties" xmlns:vt="http://schemas.openxmlformats.org/officeDocument/2006/docPropsVTypes"/>
</file>