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b/>
          <w:bCs/>
          <w:sz w:val="48"/>
          <w:szCs w:val="48"/>
        </w:rPr>
        <w:t xml:space="preserve">Technical Specification</w:t>
      </w:r>
    </w:p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Canonical Data Model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Entities, relationships, multi-tenancy, audit, and migration</w:t>
      </w:r>
    </w:p>
    <w:p>
      <w:pPr>
        <w:spacing w:after="100"/>
        <w:jc w:val="center"/>
      </w:pPr>
      <w:r>
        <w:rPr>
          <w:sz w:val="22"/>
          <w:szCs w:val="22"/>
        </w:rPr>
        <w:t xml:space="preserve">Companion document to: UROP Project Brief v1.2</w:t>
      </w:r>
    </w:p>
    <w:p>
      <w:pPr>
        <w:spacing w:after="100"/>
        <w:jc w:val="center"/>
      </w:pPr>
      <w:r>
        <w:rPr>
          <w:sz w:val="22"/>
          <w:szCs w:val="22"/>
        </w:rPr>
        <w:t xml:space="preserve">Audience: All engineering teams; foundation for every other module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Purpose and Scope</w:t>
      </w:r>
    </w:p>
    <w:p>
      <w:pPr>
        <w:spacing w:after="160" w:line="300"/>
      </w:pPr>
      <w:r>
        <w:t xml:space="preserve">This document specifies the canonical data model — the central schema that every module reads from and writes to. It is the foundation document for the platform; the AI Engagement Layer, Distribution Engine, CRM, ATS, Compliance, and Sales Intelligence modules all depend on the entities defined here.</w:t>
      </w:r>
    </w:p>
    <w:p>
      <w:pPr>
        <w:spacing w:after="160" w:line="300"/>
      </w:pPr>
      <w:r>
        <w:t xml:space="preserve">Read this document first. The other specifications assume familiarity with the entities below.</w:t>
      </w:r>
    </w:p>
    <w:p>
      <w:pPr>
        <w:spacing w:after="160" w:line="300"/>
      </w:pPr>
      <w:r>
        <w:t xml:space="preserve">Scope: entity definitions, relationships, multi-tenancy strategy, audit and event sourcing approach, identifier conventions, and migration strategy from acquired-agency systems. Out of scope: physical database schema (indexes, partitioning, view definitions), API surface contracts, UI representations.</w:t>
      </w:r>
    </w:p>
    <w:p>
      <w:pPr>
        <w:pStyle w:val="Heading1"/>
        <w:spacing w:after="200" w:before="360"/>
      </w:pPr>
      <w:r>
        <w:t xml:space="preserve">2. Modelling Principles</w:t>
      </w:r>
    </w:p>
    <w:p>
      <w:pPr>
        <w:spacing w:after="160" w:line="300"/>
      </w:pPr>
      <w:r>
        <w:rPr>
          <w:b/>
          <w:bCs/>
        </w:rPr>
        <w:t xml:space="preserve">One model, many tenants. </w:t>
      </w:r>
      <w:r>
        <w:t xml:space="preserve">Every operational entity is multi-tenanted by AgencyBrand. The same person can exist as a Candidate under multiple brands; the data model handles this explicitly rather than papering over it.</w:t>
      </w:r>
    </w:p>
    <w:p>
      <w:pPr>
        <w:spacing w:after="160" w:line="300"/>
      </w:pPr>
      <w:r>
        <w:rPr>
          <w:b/>
          <w:bCs/>
        </w:rPr>
        <w:t xml:space="preserve">Stable identity is paramount. </w:t>
      </w:r>
      <w:r>
        <w:t xml:space="preserve">Internal IDs are platform-generated UUIDs and never change. External identifiers (legacy IDs, government references) are stored as attributes, never as primary keys.</w:t>
      </w:r>
    </w:p>
    <w:p>
      <w:pPr>
        <w:spacing w:after="160" w:line="300"/>
      </w:pPr>
      <w:r>
        <w:rPr>
          <w:b/>
          <w:bCs/>
        </w:rPr>
        <w:t xml:space="preserve">Truth flows from canonical entities, not from channels. </w:t>
      </w:r>
      <w:r>
        <w:t xml:space="preserve">Pay rates, vacancy details, and candidate attributes live on canonical records. Channel-specific representations (a Find a Job listing, a WhatsApp message) are projections, not sources of truth.</w:t>
      </w:r>
    </w:p>
    <w:p>
      <w:pPr>
        <w:spacing w:after="160" w:line="300"/>
      </w:pPr>
      <w:r>
        <w:rPr>
          <w:b/>
          <w:bCs/>
        </w:rPr>
        <w:t xml:space="preserve">Time matters. </w:t>
      </w:r>
      <w:r>
        <w:t xml:space="preserve">Critical entities — Vacancies, Placements, Compliance documents, Pay rates — are temporal. We track when something was true, not just what is true now. Tribunals, audits, and AWR calculations all require this.</w:t>
      </w:r>
    </w:p>
    <w:p>
      <w:pPr>
        <w:spacing w:after="160" w:line="300"/>
      </w:pPr>
      <w:r>
        <w:rPr>
          <w:b/>
          <w:bCs/>
        </w:rPr>
        <w:t xml:space="preserve">Events are first-class. </w:t>
      </w:r>
      <w:r>
        <w:t xml:space="preserve">Financial, compliance, and AI agent activity are recorded as immutable events alongside the mutable canonical records. The current state can be reconstructed from events; the events explain how it got there.</w:t>
      </w:r>
    </w:p>
    <w:p>
      <w:pPr>
        <w:spacing w:after="160" w:line="300"/>
      </w:pPr>
      <w:r>
        <w:rPr>
          <w:b/>
          <w:bCs/>
        </w:rPr>
        <w:t xml:space="preserve">Soft delete by default. </w:t>
      </w:r>
      <w:r>
        <w:t xml:space="preserve">Records are deactivated, not destroyed. Hard delete only for GDPR right-to-erasure requests, performed via a controlled erasure workflow that preserves audit lineage where lawful.</w:t>
      </w:r>
    </w:p>
    <w:p>
      <w:pPr>
        <w:pStyle w:val="Heading1"/>
        <w:spacing w:after="200" w:before="360"/>
      </w:pPr>
      <w:r>
        <w:t xml:space="preserve">3. Core Entities</w:t>
      </w:r>
    </w:p>
    <w:p>
      <w:pPr>
        <w:spacing w:after="160" w:line="300"/>
      </w:pPr>
      <w:r>
        <w:t xml:space="preserve">Each entity below carries a stable UUID, created/updated timestamps, soft-delete flag, and tenancy reference (AgencyBrand). Those fields are common to all entities and are not repeated in the per-entity tables. Where fields are listed in tables, they are the entity-specific fields beyond the common set.</w:t>
      </w:r>
    </w:p>
    <w:p>
      <w:pPr>
        <w:pStyle w:val="Heading2"/>
        <w:spacing w:after="160" w:before="280"/>
      </w:pPr>
      <w:r>
        <w:t xml:space="preserve">3.1 AgencyBrand</w:t>
      </w:r>
    </w:p>
    <w:p>
      <w:pPr>
        <w:spacing w:after="160" w:line="300"/>
      </w:pPr>
      <w:r>
        <w:t xml:space="preserve">Represents one of the acquired (or future) agencies operating on the platform. Customer-facing identity, branding, regulatory registrations, and tenancy boundary.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legal_name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Registered company name as it appears at Companies House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trading_name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Customer-facing brand name (may differ from legal name)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companies_house_number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UK company number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vat_number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VAT registration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glaa_licence_number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Where applicable to sectors operated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registered_address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for Conduct Regs 2003 advert identification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primary_contact_email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dwp_account_id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Find a Job employer account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paused, retired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onboarded_at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When migrated onto the platform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parent_group_id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If part of an internal grouping (e.g. brands sharing a P&amp;L)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3.2 Branch</w:t>
      </w:r>
    </w:p>
    <w:p>
      <w:pPr>
        <w:spacing w:after="160" w:line="300"/>
      </w:pPr>
      <w:r>
        <w:t xml:space="preserve">A physical or virtual branch within an AgencyBrand. Branches own consultants, geographies, and (often) clients.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to AgencyBrand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e.g. "London Construction"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GeoArea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Postcode prefixes or shapefile served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retired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3.3 User</w:t>
      </w:r>
    </w:p>
    <w:p>
      <w:pPr>
        <w:spacing w:after="160" w:line="300"/>
      </w:pPr>
      <w:r>
        <w:t xml:space="preserve">Internal user — consultant, manager, compliance officer, finance, etc. Identity for authentication, authorisation, and accountability.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SSO identifier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brand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branch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Role[]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Branch-scoped, brand-scoped, or group-scoped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suspended, retired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3.4 Candidate</w:t>
      </w:r>
    </w:p>
    <w:p>
      <w:pPr>
        <w:spacing w:after="160" w:line="300"/>
      </w:pPr>
      <w:r>
        <w:t xml:space="preserve">A worker available for placement. The most heavily referenced entity in the platform. Held per AgencyBrand, with cross-brand linking via PersonIdentity (§3.5).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Tenancy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person_identity_id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to cross-brand PersonIdentity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preferred_name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en, pl, ro, bg, lt, uk, pt, ...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primary_phone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E.164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secondary_phone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phone?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Address?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right_to_work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RightToWork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Status, evidence document refs, expiry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Trade[]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Tagged trades with self-reported and verified levels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cards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TicketCard[]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CSCS, CPCS, NPORS, etc. with expiry and document refs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other_certifications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Certification[]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First aid, asbestos awareness,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TransportProfile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Own vehicle, driving licence categories, willingness to travel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AvailabilityCalendar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Pattern + exceptions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preferred_geographies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GeoArea[]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Postcode preferences and radius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pay_preferences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PayPreference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PAYE / CIS / Umbrella / Ltd preferences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consent_flags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ConsentSet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 channel: SMS, WhatsApp, email, marketing, share with clients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reliability_score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Derived; see §6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How acquired (Find a Job, referral, walk-in, migrated)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source_legacy_id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External ID from legacy system at migration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dormant, suspended, opted_out, retired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3.5 PersonIdentity</w:t>
      </w:r>
    </w:p>
    <w:p>
      <w:pPr>
        <w:spacing w:after="160" w:line="300"/>
      </w:pPr>
      <w:r>
        <w:t xml:space="preserve">Cross-brand reference for the same human individual. A candidate appearing under three acquired brands shares one PersonIdentity. Used for de-duplication, AWR aggregation across brands, and modern slavery red-flag detection.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primary_phone_hash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Hashed for matching without exposing PII unnecessarily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national_insurance_number_hash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Where collected; hashed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passport_number_hash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Where collected; hashed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full_name_normalised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Normalised form for matching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Where collected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candidate_links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CandidateLink[]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Candidate records linked to this identity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retired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Note: some candidates legitimately work under multiple brands (different sectors, different relationships). PersonIdentity makes this visible without forcing consolidation.</w:t>
      </w:r>
    </w:p>
    <w:p>
      <w:pPr>
        <w:pStyle w:val="Heading2"/>
        <w:spacing w:after="160" w:before="280"/>
      </w:pPr>
      <w:r>
        <w:t xml:space="preserve">3.6 Client</w:t>
      </w:r>
    </w:p>
    <w:p>
      <w:pPr>
        <w:spacing w:after="160" w:line="300"/>
      </w:pPr>
      <w:r>
        <w:t xml:space="preserve">An end customer engaging the agency to supply temp workers.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Tenancy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company_identity_id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to cross-brand CompanyIdentity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legal_name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trading_name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companies_house_number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Sector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Main contractor / sub-contractor / civils / M&amp;E / FM /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tier_1, tier_2, sme, sole_trader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primary_branch_id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Owning branch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addresses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Address[]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Registered + sites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Site[]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Operational sites worked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psl_status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preferred, approved, untiered, blacklisted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credit_status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CreditStatus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Limit, terms, current exposure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rate_card_default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RateCard?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per-trade pay/bill schedule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compliance_pack_required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DocPackSpec?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What compliance docs the client requires from 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paused, retired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3.7 CompanyIdentity</w:t>
      </w:r>
    </w:p>
    <w:p>
      <w:pPr>
        <w:spacing w:after="160" w:line="300"/>
      </w:pPr>
      <w:r>
        <w:t xml:space="preserve">Cross-brand reference for the same end company. Mirrors PersonIdentity but for clients. Critical when the same main contractor is worked by multiple acquired brands.</w:t>
      </w:r>
    </w:p>
    <w:p>
      <w:pPr>
        <w:pStyle w:val="Heading2"/>
        <w:spacing w:after="160" w:before="280"/>
      </w:pPr>
      <w:r>
        <w:t xml:space="preserve">3.8 Contact</w:t>
      </w:r>
    </w:p>
    <w:p>
      <w:pPr>
        <w:spacing w:after="160" w:line="300"/>
      </w:pPr>
      <w:r>
        <w:t xml:space="preserve">A named human at a Client — site managers, agency liaisons, finance contacts.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role_title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phone?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primary_for_categories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ContactCategory[]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site_manager, accounts_payable, compliance,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communication_preferences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ChannelPrefs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Preferred contact channel and times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retired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3.9 Vacancy</w:t>
      </w:r>
    </w:p>
    <w:p>
      <w:pPr>
        <w:spacing w:after="160" w:line="300"/>
      </w:pPr>
      <w:r>
        <w:t xml:space="preserve">The single source of truth for a role to be filled. The Distribution Engine and AI Content Agent project from this; nothing they do creates new truth that does not exist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site_id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Specific site within client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role_title_canonical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From canonical job-title taxonomy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trade_required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Trade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trade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additional_skills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cards_required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CardRequirement[]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CSCS level required,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pay_rate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PayRate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Numeric, with explicit treatment of holiday pay under AWR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bill_rate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BillRate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Internal only — never exposed externally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pay_basis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paye, cis, umbrella, ltd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expected_end_date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shift_pattern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ShiftPattern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Days, hours, breaks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headcount_required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Multiple candidates per Vacancy supported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Postcode + descriptive — must be specific for Find a Job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consultant_owner_id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sourcing_owner_id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created_from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manual, ai_brief_intake, sales_intelligence_lead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VacancyStatus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draft, validated, live, paused, filled, closed_unfilled, cancelled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compliance_validation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ValidationResult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Result of last compliance check, with timestamps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distribution_targets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ChannelSelection[]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Which channels selected for distribution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public_advert_drafts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AdvertDraft[]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Per-channel drafts produced by the AI agent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sensitive_flags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Flag[]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high_pay, sensitive_sector, new_client, requires_human_approval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3.10 Site</w:t>
      </w:r>
    </w:p>
    <w:p>
      <w:pPr>
        <w:spacing w:after="160" w:line="300"/>
      </w:pPr>
      <w:r>
        <w:t xml:space="preserve">A specific location within a Client where work is performed. Distinct from Client because one client typically has many sites, each with its own postcode, contact, induction process, and rate card variations.</w:t>
      </w:r>
    </w:p>
    <w:p>
      <w:pPr>
        <w:pStyle w:val="Heading2"/>
        <w:spacing w:after="160" w:before="280"/>
      </w:pPr>
      <w:r>
        <w:t xml:space="preserve">3.11 Placement</w:t>
      </w:r>
    </w:p>
    <w:p>
      <w:pPr>
        <w:spacing w:after="160" w:line="300"/>
      </w:pPr>
      <w:r>
        <w:t xml:space="preserve">A Candidate confirmed for a Vacancy. Placements are temporal, with daily granularity for shift-based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vacancy_id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 while 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pay_rate_at_start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PayRate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Snapshotted from Vacancy at confirmation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bill_rate_at_start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BillRate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Snapshotted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awr_qualifying_clock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AwrClock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Tracks 12-week qualifying period across breaks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confirmed, started, completed, terminated_early, no_show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or AgentAction reference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3.12 Shift</w:t>
      </w:r>
    </w:p>
    <w:p>
      <w:pPr>
        <w:spacing w:after="160" w:line="300"/>
      </w:pPr>
      <w:r>
        <w:t xml:space="preserve">A single shift instance under a Placement. Daily granularity supports per-day timesheets, no-shows, and partial-day attendance.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placement_id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scheduled_start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scheduled_end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actual_start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From clock-in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actual_end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From clock-out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clock_in_geo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GeoPoint?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Validated against site geofence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clock_out_geo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GeoPoint?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scheduled, attended, no_show, cancelled, in_dispute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timesheet_id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Link to Timesheet entry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3.13 Timesheet</w:t>
      </w:r>
    </w:p>
    <w:p>
      <w:pPr>
        <w:spacing w:after="160" w:line="300"/>
      </w:pPr>
      <w:r>
        <w:t xml:space="preserve">Aggregated record of hours worked over a pay period, used as the basis for both pay and bill calculations.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period_end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entries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TimesheetEntry[]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Per-shift hours, breaks, codes (basic, OT1, OT2, bank holiday, etc.)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client_approval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Approval?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Approver, timestamp, channel (email/portal/WhatsApp)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draft, submitted, approved, rejected, in_dispute, paid, billed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pay_calculation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PayCalculation?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Resulting gross pay; references PayRate snapshot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bill_calculation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BillCalculation?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Resulting client invoice line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3.14 Invoice</w:t>
      </w:r>
    </w:p>
    <w:p>
      <w:pPr>
        <w:spacing w:after="160" w:line="300"/>
      </w:pPr>
      <w:r>
        <w:t xml:space="preserve">Outbound bill to a Client, typically self-bill for temp recruitment.</w:t>
      </w:r>
    </w:p>
    <w:p>
      <w:pPr>
        <w:pStyle w:val="Heading2"/>
        <w:spacing w:after="160" w:before="280"/>
      </w:pPr>
      <w:r>
        <w:t xml:space="preserve">3.15 PayRun</w:t>
      </w:r>
    </w:p>
    <w:p>
      <w:pPr>
        <w:spacing w:after="160" w:line="300"/>
      </w:pPr>
      <w:r>
        <w:t xml:space="preserve">A batch of pay calculations sent to the configured payroll provider. Holds the integration's run identifier and reconciliation status.</w:t>
      </w:r>
    </w:p>
    <w:p>
      <w:pPr>
        <w:pStyle w:val="Heading2"/>
        <w:spacing w:after="160" w:before="280"/>
      </w:pPr>
      <w:r>
        <w:t xml:space="preserve">3.16 Lead</w:t>
      </w:r>
    </w:p>
    <w:p>
      <w:pPr>
        <w:spacing w:after="160" w:line="300"/>
      </w:pPr>
      <w:r>
        <w:t xml:space="preserve">A sales opportunity surfaced by the Sales Intelligence Engine or entered manually. Distinct from Client until conversion.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assigned_branch_id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Routing destination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assigned_user_id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Sales consultant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planning_portal, contracts_finder, companies_house, trade_press, manual, referral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source_record_ref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External ID for traceability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company_identity_id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Linked if known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project_details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ProjectDetails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Value, scheme, location, expected start, anticipated trades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enrichment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Enrichment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Geocoding, company linkage, predicted labour requirements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pipeline_stage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new, qualified, contacted, opportunity, won, lost, dormant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retired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3.17 Channel</w:t>
      </w:r>
    </w:p>
    <w:p>
      <w:pPr>
        <w:spacing w:after="160" w:line="300"/>
      </w:pPr>
      <w:r>
        <w:t xml:space="preserve">A configured outbound channel (per agency brand, per channel type). Holds credentials reference, ToS version, rate limit profile, and feature flags.</w:t>
      </w:r>
    </w:p>
    <w:p>
      <w:pPr>
        <w:pStyle w:val="Heading2"/>
        <w:spacing w:after="160" w:before="280"/>
      </w:pPr>
      <w:r>
        <w:t xml:space="preserve">3.18 Post</w:t>
      </w:r>
    </w:p>
    <w:p>
      <w:pPr>
        <w:spacing w:after="160" w:line="300"/>
      </w:pPr>
      <w:r>
        <w:t xml:space="preserve">A specific instance of a vacancy distributed via a channel. Holds the channel-side identifier (post URL, message ID, feed entry ID), the rendered draft, dispatch timestamp, and metrics.</w:t>
      </w:r>
    </w:p>
    <w:p>
      <w:pPr>
        <w:pStyle w:val="Heading2"/>
        <w:spacing w:after="160" w:before="280"/>
      </w:pPr>
      <w:r>
        <w:t xml:space="preserve">3.19 Conversation</w:t>
      </w:r>
    </w:p>
    <w:p>
      <w:pPr>
        <w:spacing w:after="160" w:line="300"/>
      </w:pPr>
      <w:r>
        <w:t xml:space="preserve">A thread of messages between a candidate (or contact) and an agent or human, scoped to a channel. Messages within a Conversation are time-ordered Message records.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agency_brand_id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whatsapp, telegram, sms, email, messenger, instagram_dm, ...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Or contact_id for client conversations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linked_vacancy_id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Where the conversation was triggered by a specific vacancy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assigned_user_id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Human owner if escalated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assigned_agent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AgentRef?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agent owning while autonomous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disclosure_state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ai_disclosed, human_handover, n_a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active, awaiting_candidate, awaiting_human, resolved, archived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3.20 Message</w:t>
      </w:r>
    </w:p>
    <w:p>
      <w:pPr>
        <w:spacing w:after="160" w:line="300"/>
      </w:pPr>
      <w:r>
        <w:t xml:space="preserve">A single inbound or outbound message within a Conversation. Carries channel-specific identifiers, content (with sensitive data redaction applied), attachments, and the AgentAction reference if produced by an agent.</w:t>
      </w:r>
    </w:p>
    <w:p>
      <w:pPr>
        <w:pStyle w:val="Heading2"/>
        <w:spacing w:after="160" w:before="280"/>
      </w:pPr>
      <w:r>
        <w:t xml:space="preserve">3.21 Application</w:t>
      </w:r>
    </w:p>
    <w:p>
      <w:pPr>
        <w:spacing w:after="160" w:line="300"/>
      </w:pPr>
      <w:r>
        <w:t xml:space="preserve">An expression of interest in a specific Vacancy from a Candidate, regardless of channel. Conversations and CV emails alike normalise into Applications.</w:t>
      </w:r>
    </w:p>
    <w:p>
      <w:pPr>
        <w:pStyle w:val="Heading2"/>
        <w:spacing w:after="160" w:before="280"/>
      </w:pPr>
      <w:r>
        <w:t xml:space="preserve">3.22 ComplianceDocument</w:t>
      </w:r>
    </w:p>
    <w:p>
      <w:pPr>
        <w:spacing w:after="160" w:line="300"/>
      </w:pPr>
      <w:r>
        <w:t xml:space="preserve">A piece of evidence held against a Candidate or Client — right-to-work documents, CSCS card scans, insurance certificates, etc. Versioned, expirable, and audit-trailed.</w:t>
      </w:r>
    </w:p>
    <w:p>
      <w:pPr>
        <w:pStyle w:val="Heading2"/>
        <w:spacing w:after="160" w:before="280"/>
      </w:pPr>
      <w:r>
        <w:t xml:space="preserve">3.23 AgentAction</w:t>
      </w:r>
    </w:p>
    <w:p>
      <w:pPr>
        <w:spacing w:after="160" w:line="300"/>
      </w:pPr>
      <w:r>
        <w:t xml:space="preserve">Every action taken by an AI agent — message drafted, message sent, screening decision, escalation, candidate field updated, advert generated. Immutable. The audit log of the AI layer.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agent_family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advert_authoring, candidate_engagement, client_communication, sourcing_matching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agent_version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Semantic version of the agent at time of action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model_identifier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Which underlying model was invoked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prompt_version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Version of the prompt template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trust_level_at_action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0–3, recorded for audit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inputs_hash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Hash of structured inputs (full content stored separately)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tool_calls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ToolCall[]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Sequence of tool invocations made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ActionOutput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Generated content, decisions, escalation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guardrail_decisions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GuardrailRecord[]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Which guardrails ran, results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auto_executed, queued_for_approval, escalated, blocked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downstream_signals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Signal[]?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Subsequent acceptance, edit, candidate response, etc.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60" w:before="280"/>
      </w:pPr>
      <w:r>
        <w:t xml:space="preserve">3.24 ConsentRecord</w:t>
      </w:r>
    </w:p>
    <w:p>
      <w:pPr>
        <w:spacing w:after="160" w:line="300"/>
      </w:pPr>
      <w:r>
        <w:t xml:space="preserve">Versioned record of a candidate's consent for each communication channel and purpose. Mutations create new versions; the prior consent state is preserved for audit.</w:t>
      </w:r>
    </w:p>
    <w:p>
      <w:pPr>
        <w:pStyle w:val="Heading1"/>
        <w:spacing w:after="200" w:before="360"/>
      </w:pPr>
      <w:r>
        <w:t xml:space="preserve">4. Key Relationships</w:t>
      </w:r>
    </w:p>
    <w:p>
      <w:pPr>
        <w:spacing w:after="160" w:line="300"/>
      </w:pPr>
      <w:r>
        <w:t xml:space="preserve">The diagram below describes the principal relationships in prose; the engineering team will produce the visual ERD as part of detailed design.</w:t>
      </w:r>
    </w:p>
    <w:p>
      <w:pPr>
        <w:shd w:fill="F4F4F4" w:val="clear"/>
        <w:spacing w:after="160" w:before="120" w:line="280"/>
      </w:pPr>
      <w:r>
        <w:rPr>
          <w:rFonts w:ascii="Consolas" w:cs="Consolas" w:eastAsia="Consolas" w:hAnsi="Consolas"/>
          <w:sz w:val="19"/>
          <w:szCs w:val="19"/>
        </w:rPr>
        <w:t xml:space="preserve">AgencyBrand ─&lt; Branch ─&lt; User
AgencyBrand ─&lt; Candidate &gt;─ PersonIdentity (cross-brand)
AgencyBrand ─&lt; Client    &gt;─ CompanyIdentity (cross-brand)
Client ─&lt; Contact
Client ─&lt; Site
Client ─&lt; Vacancy ─&lt; Placement ─&lt; Shift ─&lt; Timesheet
Vacancy ─&lt; Application
Vacancy ─&lt; Post (per Channel)
Channel ─&lt; Post
Candidate ─&lt; Application
Candidate ─&lt; Conversation ─&lt; Message
Candidate ─&lt; ComplianceDocument
Candidate ─&lt; Placement
Lead ── (conversion) ──&gt; Client
AgentAction is referenced by Message, Vacancy.public_advert_drafts,
Conversation.assigned_agent, Application (where AI screened), etc.</w:t>
      </w:r>
    </w:p>
    <w:p>
      <w:pPr>
        <w:pStyle w:val="Heading1"/>
        <w:spacing w:after="200" w:before="360"/>
      </w:pPr>
      <w:r>
        <w:t xml:space="preserve">5. Multi-Tenancy and Cross-Brand Behaviour</w:t>
      </w:r>
    </w:p>
    <w:p>
      <w:pPr>
        <w:spacing w:after="160" w:line="300"/>
      </w:pPr>
      <w:r>
        <w:t xml:space="preserve">Most data is owned by exactly one AgencyBrand. The exceptions are PersonIdentity, CompanyIdentity, and certain group-level reporting structures.</w:t>
      </w:r>
    </w:p>
    <w:p>
      <w:pPr>
        <w:spacing w:after="160" w:line="300"/>
      </w:pPr>
      <w:r>
        <w:rPr>
          <w:b/>
          <w:bCs/>
        </w:rPr>
        <w:t xml:space="preserve">Default isolation. </w:t>
      </w:r>
      <w:r>
        <w:t xml:space="preserve">A consultant working for Brand A sees Brand A's candidates, clients, and vacancies. A search returning zero matches must not leak the existence of a record under Brand B.</w:t>
      </w:r>
    </w:p>
    <w:p>
      <w:pPr>
        <w:spacing w:after="160" w:line="300"/>
      </w:pPr>
      <w:r>
        <w:rPr>
          <w:b/>
          <w:bCs/>
        </w:rPr>
        <w:t xml:space="preserve">Cross-brand visibility (controlled). </w:t>
      </w:r>
      <w:r>
        <w:t xml:space="preserve">Group-level roles can see across brands for reporting, compliance, and sales-intelligence purposes. Cross-brand visibility into PII is logged as an access event.</w:t>
      </w:r>
    </w:p>
    <w:p>
      <w:pPr>
        <w:spacing w:after="160" w:line="300"/>
      </w:pPr>
      <w:r>
        <w:rPr>
          <w:b/>
          <w:bCs/>
        </w:rPr>
        <w:t xml:space="preserve">Cross-brand candidate visibility. </w:t>
      </w:r>
      <w:r>
        <w:t xml:space="preserve">PersonIdentity makes it possible to see that the same human is registered under two brands. Whether a consultant in Brand A can see the Brand B Candidate record is governed by role and by candidate consent. Default: no cross-brand candidate detail without explicit consent.</w:t>
      </w:r>
    </w:p>
    <w:p>
      <w:pPr>
        <w:spacing w:after="160" w:line="300"/>
      </w:pPr>
      <w:r>
        <w:rPr>
          <w:b/>
          <w:bCs/>
        </w:rPr>
        <w:t xml:space="preserve">Cross-brand AWR aggregation. </w:t>
      </w:r>
      <w:r>
        <w:t xml:space="preserve">AWR's 12-week qualifying period applies to the same individual irrespective of which brand booked them. The platform aggregates qualifying weeks at PersonIdentity level for compliance — this is one of the few cases where cross-brand data merging is not optional.</w:t>
      </w:r>
    </w:p>
    <w:p>
      <w:pPr>
        <w:spacing w:after="160" w:line="300"/>
      </w:pPr>
      <w:r>
        <w:rPr>
          <w:b/>
          <w:bCs/>
        </w:rPr>
        <w:t xml:space="preserve">Modern slavery detection. </w:t>
      </w:r>
      <w:r>
        <w:t xml:space="preserve">PersonIdentity-level red flags (same bank account across multiple workers, same controlling phone number, same recruiter introducing many candidates) are evaluated cross-brand. The platform must not have blind spots here just because brands are isolated by default.</w:t>
      </w:r>
    </w:p>
    <w:p>
      <w:pPr>
        <w:pStyle w:val="Heading1"/>
        <w:spacing w:after="200" w:before="360"/>
      </w:pPr>
      <w:r>
        <w:t xml:space="preserve">6. Derived Fields and Scores</w:t>
      </w:r>
    </w:p>
    <w:p>
      <w:pPr>
        <w:spacing w:after="160" w:line="300"/>
      </w:pPr>
      <w:r>
        <w:t xml:space="preserve">Several fields on canonical entities are derived from underlying events, not entered directly. Their derivation must be reproducible and the inputs must be auditable.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Candidate.reliability_score. </w:t>
      </w:r>
      <w:r>
        <w:t xml:space="preserve">Derived from completed Shifts vs scheduled Shifts, no-show rate, last-minute cancellations, client feedback signals, document responsiveness. Method documented and versioned; changes to the method are themselves versioned events.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Vacancy.compliance_validation. </w:t>
      </w:r>
      <w:r>
        <w:t xml:space="preserve">Result of running the validation suite at last save; recomputed on any field change.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Lead.enrichment.predicted_labour_requirements. </w:t>
      </w:r>
      <w:r>
        <w:t xml:space="preserve">Output of the Sales Intelligence enrichment pipeline; method versioned.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Placement.awr_qualifying_clock. </w:t>
      </w:r>
      <w:r>
        <w:t xml:space="preserve">Computed from PersonIdentity-level history with the AWR algorithm; computation must be reproducible from the underlying Shift records for audit.</w:t>
      </w:r>
    </w:p>
    <w:p>
      <w:pPr>
        <w:pStyle w:val="Heading1"/>
        <w:spacing w:after="200" w:before="360"/>
      </w:pPr>
      <w:r>
        <w:t xml:space="preserve">7. Event Sourcing for Critical Domains</w:t>
      </w:r>
    </w:p>
    <w:p>
      <w:pPr>
        <w:spacing w:after="160" w:line="300"/>
      </w:pPr>
      <w:r>
        <w:t xml:space="preserve">Three domains are event-sourced because regulators, auditors, and tribunals all may demand reconstruction of historical state.</w:t>
      </w:r>
    </w:p>
    <w:p>
      <w:pPr>
        <w:pStyle w:val="Heading2"/>
        <w:spacing w:after="160" w:before="280"/>
      </w:pPr>
      <w:r>
        <w:t xml:space="preserve">7.1 Financial events</w:t>
      </w:r>
    </w:p>
    <w:p>
      <w:pPr>
        <w:spacing w:after="160" w:line="300"/>
      </w:pPr>
      <w:r>
        <w:t xml:space="preserve">Pay calculations, invoices, credit notes, adjustments. The current state of any pay or bill record is derivable from the event stream. No financial figure is ever silently mutated.</w:t>
      </w:r>
    </w:p>
    <w:p>
      <w:pPr>
        <w:pStyle w:val="Heading2"/>
        <w:spacing w:after="160" w:before="280"/>
      </w:pPr>
      <w:r>
        <w:t xml:space="preserve">7.2 Compliance events</w:t>
      </w:r>
    </w:p>
    <w:p>
      <w:pPr>
        <w:spacing w:after="160" w:line="300"/>
      </w:pPr>
      <w:r>
        <w:t xml:space="preserve">Right-to-work checks, document additions and expiries, AWR clock progressions, Conduct Regs 2003 advert validations, GLAA-relevant events. Required for client compliance audits and for defending decisions taken on compliance grounds.</w:t>
      </w:r>
    </w:p>
    <w:p>
      <w:pPr>
        <w:pStyle w:val="Heading2"/>
        <w:spacing w:after="160" w:before="280"/>
      </w:pPr>
      <w:r>
        <w:t xml:space="preserve">7.3 AI agent events</w:t>
      </w:r>
    </w:p>
    <w:p>
      <w:pPr>
        <w:spacing w:after="160" w:line="300"/>
      </w:pPr>
      <w:r>
        <w:t xml:space="preserve">Every AgentAction is an event. The agent's behaviour over the life of any conversation, vacancy, or candidate must be reconstructible — for trust-dial review, for incident investigation, and for regulatory transparency.</w:t>
      </w:r>
    </w:p>
    <w:p>
      <w:pPr>
        <w:spacing w:after="160" w:line="300"/>
      </w:pPr>
      <w:r>
        <w:t xml:space="preserve">Event sourcing here means: events are immutable; the canonical mutable record reflects current state; current state is reproducible from the event stream by replay; events are stored with sufficient detail to reproduce the relevant business decision.</w:t>
      </w:r>
    </w:p>
    <w:p>
      <w:pPr>
        <w:pStyle w:val="Heading1"/>
        <w:spacing w:after="200" w:before="360"/>
      </w:pPr>
      <w:r>
        <w:t xml:space="preserve">8. Identifier Conventions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Internal primary keys: UUID v7 (time-sortable). Never exposed externally where avoidable.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External-facing references: short, human-friendly identifiers per entity type — e.g. VAC-2026-A4F2 — generated from the UUID and a per-tenant prefix.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Legacy IDs from migration: stored as a structured external_references map on the entity, never as primary keys. Multiple legacy systems supported per entity.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Government identifiers (Companies House, NI numbers, passport numbers): hashed for matching where used; full values stored only where lawful basis requires.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Channel-side identifiers (WhatsApp message IDs, Find a Job feed entry IDs, Indeed posting IDs): stored on Post and Message records; never primary keys.</w:t>
      </w:r>
    </w:p>
    <w:p>
      <w:pPr>
        <w:pStyle w:val="Heading1"/>
        <w:spacing w:after="200" w:before="360"/>
      </w:pPr>
      <w:r>
        <w:t xml:space="preserve">9. PII Handling, Retention, and Erasure</w:t>
      </w:r>
    </w:p>
    <w:p>
      <w:pPr>
        <w:spacing w:after="160" w:line="300"/>
      </w:pPr>
      <w:r>
        <w:t xml:space="preserve">The data model is designed with GDPR / UK Data Protection Act 2018 obligations as constraints, not afterthoughts.</w:t>
      </w:r>
    </w:p>
    <w:p>
      <w:pPr>
        <w:spacing w:after="160" w:line="300"/>
      </w:pPr>
      <w:r>
        <w:rPr>
          <w:b/>
          <w:bCs/>
        </w:rPr>
        <w:t xml:space="preserve">Lawful basis is recorded per data category. </w:t>
      </w:r>
      <w:r>
        <w:t xml:space="preserve">Candidate operational data: contract performance. Marketing communications: consent. Compliance documents: legal obligation. Sales intelligence on company contacts: legitimate interests with assessment recorded.</w:t>
      </w:r>
    </w:p>
    <w:p>
      <w:pPr>
        <w:spacing w:after="160" w:line="300"/>
      </w:pPr>
      <w:r>
        <w:rPr>
          <w:b/>
          <w:bCs/>
        </w:rPr>
        <w:t xml:space="preserve">Retention periods are enforced. </w:t>
      </w:r>
      <w:r>
        <w:t xml:space="preserve">Default Candidate retention: 24 months from last contact (configurable per agency, with regulatory minima respected). ComplianceDocuments: longer where legally required. ConversationRecords: matched to the underlying entity's retention.</w:t>
      </w:r>
    </w:p>
    <w:p>
      <w:pPr>
        <w:spacing w:after="160" w:line="300"/>
      </w:pPr>
      <w:r>
        <w:rPr>
          <w:b/>
          <w:bCs/>
        </w:rPr>
        <w:t xml:space="preserve">Right to erasure. </w:t>
      </w:r>
      <w:r>
        <w:t xml:space="preserve">Implemented as a controlled workflow: PII fields are scrubbed from the canonical record; lawful-basis-required records (e.g. payroll history) are retained but pseudonymised; AgentAction events are retained with PII redacted; PersonIdentity is severed but retained for AWR aggregation continuity if required by law. The erasure workflow is itself an event.</w:t>
      </w:r>
    </w:p>
    <w:p>
      <w:pPr>
        <w:spacing w:after="160" w:line="300"/>
      </w:pPr>
      <w:r>
        <w:rPr>
          <w:b/>
          <w:bCs/>
        </w:rPr>
        <w:t xml:space="preserve">Subject access requests. </w:t>
      </w:r>
      <w:r>
        <w:t xml:space="preserve">Supported by a standard export covering all entities, conversations, agent actions, and consent history pertaining to a PersonIdentity, scoped per brand.</w:t>
      </w:r>
    </w:p>
    <w:p>
      <w:pPr>
        <w:spacing w:after="160" w:line="300"/>
      </w:pPr>
      <w:r>
        <w:rPr>
          <w:b/>
          <w:bCs/>
        </w:rPr>
        <w:t xml:space="preserve">Cross-border processing. </w:t>
      </w:r>
      <w:r>
        <w:t xml:space="preserve">Where AI model calls cross borders, the data category and lawful basis are checked against the model layer's configured allowed-regions list. High-sensitivity content is routed only to in-region models.</w:t>
      </w:r>
    </w:p>
    <w:p>
      <w:pPr>
        <w:pStyle w:val="Heading1"/>
        <w:spacing w:after="200" w:before="360"/>
      </w:pPr>
      <w:r>
        <w:t xml:space="preserve">10. Migration from Legacy Systems</w:t>
      </w:r>
    </w:p>
    <w:p>
      <w:pPr>
        <w:spacing w:after="160" w:line="300"/>
      </w:pPr>
      <w:r>
        <w:t xml:space="preserve">Each acquired agency arrives with a different legacy system — Bullhorn, RDB, Itris, Mercury, Access Recruitment, custom-built tools, spreadsheets in some cases. The canonical data model is the migration target; legacy schemas are the source.</w:t>
      </w:r>
    </w:p>
    <w:p>
      <w:pPr>
        <w:pStyle w:val="Heading2"/>
        <w:spacing w:after="160" w:before="280"/>
      </w:pPr>
      <w:r>
        <w:t xml:space="preserve">10.1 Migration approach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Discovery via MCP. </w:t>
      </w:r>
      <w:r>
        <w:t xml:space="preserve">A read-only MCP connection to the legacy system allows Claude Code to inspect actual record shapes, not just documented ones. Real systems always diverge from their documentation.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Mapping document. </w:t>
      </w:r>
      <w:r>
        <w:t xml:space="preserve">Per legacy system, a mapping document records the source-to-canonical field mapping, transformation rules, defaults for missing fields, and known gaps.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Staged migration. </w:t>
      </w:r>
      <w:r>
        <w:t xml:space="preserve">Stage 1: read-only mirror of legacy data into the platform alongside its existing system. Stage 2: dual-write while operations validate parity. Stage 3: cutover. Stage 4: legacy decommission.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Identity reconciliation. </w:t>
      </w:r>
      <w:r>
        <w:t xml:space="preserve">Before cutover, the migration tooling identifies cross-brand PersonIdentity matches, presents them for review, and creates the cross-brand links. This is critical and must not be done silently.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</w:rPr>
        <w:t xml:space="preserve">Compliance documents. </w:t>
      </w:r>
      <w:r>
        <w:t xml:space="preserve">Legacy compliance documents are migrated with their original timestamps and source references; expiry dates trigger immediate re-validation if past or approaching.</w:t>
      </w:r>
    </w:p>
    <w:p>
      <w:pPr>
        <w:pStyle w:val="Heading2"/>
        <w:spacing w:after="160" w:before="280"/>
      </w:pPr>
      <w:r>
        <w:t xml:space="preserve">10.2 Per-acquisition migration playbook</w:t>
      </w:r>
    </w:p>
    <w:p>
      <w:pPr>
        <w:spacing w:after="160" w:line="300"/>
      </w:pPr>
      <w:r>
        <w:t xml:space="preserve">Every acquisition uses the same playbook, executed via Claude Code in plan mode: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Stand up MCP read access; produce data inventory.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Generate mapping document; review with operational lead from acquired agency.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Generate migration scripts via the "generate a migration script from legacy schema X" skill.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Run dry-run migration to UAT; reconcile counts and spot-check records.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Identity reconciliation review.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Dual-write stage.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Cutover with rollback plan.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Legacy decommission after 90-day quiet period.</w:t>
      </w:r>
    </w:p>
    <w:p>
      <w:pPr>
        <w:pStyle w:val="Heading1"/>
        <w:spacing w:after="200" w:before="360"/>
      </w:pPr>
      <w:r>
        <w:t xml:space="preserve">11. Engineering Practices in Claude Code</w:t>
      </w:r>
    </w:p>
    <w:p>
      <w:pPr>
        <w:spacing w:after="160" w:line="300"/>
      </w:pPr>
      <w:r>
        <w:rPr>
          <w:b/>
          <w:bCs/>
        </w:rPr>
        <w:t xml:space="preserve">Schema as the contract. </w:t>
      </w:r>
      <w:r>
        <w:t xml:space="preserve">The canonical entities are defined as code in a /schema directory at the repository root. Every module imports from this single source. Schema changes require a versioned migration and a paired sign-off.</w:t>
      </w:r>
    </w:p>
    <w:p>
      <w:pPr>
        <w:spacing w:after="160" w:line="300"/>
      </w:pPr>
      <w:r>
        <w:rPr>
          <w:b/>
          <w:bCs/>
        </w:rPr>
        <w:t xml:space="preserve">Schema-aware sub-agents. </w:t>
      </w:r>
      <w:r>
        <w:t xml:space="preserve">Module sub-agents in Claude Code reference the same schema files. The root CLAUDE.md points to the schema; module CLAUDE.mds inherit.</w:t>
      </w:r>
    </w:p>
    <w:p>
      <w:pPr>
        <w:spacing w:after="160" w:line="300"/>
      </w:pPr>
      <w:r>
        <w:rPr>
          <w:b/>
          <w:bCs/>
        </w:rPr>
        <w:t xml:space="preserve">Migration skill. </w:t>
      </w:r>
      <w:r>
        <w:t xml:space="preserve">A custom skill produces migration script scaffolding given a legacy schema description and an MCP connection to the legacy system.</w:t>
      </w:r>
    </w:p>
    <w:p>
      <w:pPr>
        <w:spacing w:after="160" w:line="300"/>
      </w:pPr>
      <w:r>
        <w:rPr>
          <w:b/>
          <w:bCs/>
        </w:rPr>
        <w:t xml:space="preserve">Schema change hook. </w:t>
      </w:r>
      <w:r>
        <w:t xml:space="preserve">A pre-commit hook detects changes to /schema and requires a paired migration file plus impact assessment. Schema changes never merge without a migration script.</w:t>
      </w:r>
    </w:p>
    <w:p>
      <w:pPr>
        <w:spacing w:after="160" w:line="300"/>
      </w:pPr>
      <w:r>
        <w:rPr>
          <w:b/>
          <w:bCs/>
        </w:rPr>
        <w:t xml:space="preserve">Event store as background concern. </w:t>
      </w:r>
      <w:r>
        <w:t xml:space="preserve">Event sourcing for financial, compliance, and agent domains is implemented behind a clean interface. Background agents handle event projections to read models without blocking the main request flow.</w:t>
      </w:r>
    </w:p>
    <w:p>
      <w:pPr>
        <w:spacing w:after="160" w:line="300"/>
      </w:pPr>
      <w:r>
        <w:rPr>
          <w:b/>
          <w:bCs/>
        </w:rPr>
        <w:t xml:space="preserve">Plan mode for migrations. </w:t>
      </w:r>
      <w:r>
        <w:t xml:space="preserve">Each acquired-agency migration begins in plan mode; the plan is the migration playbook.</w:t>
      </w:r>
    </w:p>
    <w:p>
      <w:pPr>
        <w:pStyle w:val="Heading1"/>
        <w:spacing w:after="200" w:before="360"/>
      </w:pPr>
      <w:r>
        <w:t xml:space="preserve">12. Open Questions for Resolution Before Build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Confirm the canonical job-title taxonomy — bought-in (e.g. SOC codes), industry-standard (e.g. CITB), or platform-defined.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Decide event store technology — application-level (e.g. EventStoreDB), database-native (Postgres + outbox), or workflow-engine native (Temporal histories where applicable).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Resolve PersonIdentity matching policy — automatic exact match only, or fuzzy match with human review threshold.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Confirm legal advice on cross-brand AWR aggregation as a lawful basis for cross-brand data linkage.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Decide retention defaults per data category, with operational and legal sign-off.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Choose the first acquired agency's legacy system as the reference migration; this dictates the order of MCP wrappers and migration skills built in Phase 1.</w:t>
      </w:r>
    </w:p>
    <w:p>
      <w:pPr>
        <w:pBdr>
          <w:bottom w:val="single" w:color="999999" w:sz="6" w:space="1"/>
        </w:pBdr>
        <w:spacing w:after="200" w:before="400"/>
      </w:pPr>
      <w:r>
        <w:t xml:space="preserve"/>
      </w:r>
    </w:p>
    <w:p>
      <w:pPr>
        <w:jc w:val="center"/>
      </w:pPr>
      <w:r>
        <w:rPr>
          <w:i/>
          <w:iCs/>
          <w:color w:val="777777"/>
        </w:rPr>
        <w:t xml:space="preserve">End of specification — Canonical Data Model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2026-05-05T15:51:46.718Z</dcterms:created>
  <dcterms:modified xsi:type="dcterms:W3CDTF">2026-05-05T15:51:46.719Z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