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a636d28e1bef0a17c0549ba786a274044849f2"/>
    <w:p>
      <w:pPr>
        <w:pStyle w:val="Heading1"/>
      </w:pPr>
      <w:r>
        <w:t xml:space="preserve">Morphonic Synthesis — Review, Correlations, and Experimental Schema</w:t>
      </w:r>
    </w:p>
    <w:bookmarkStart w:id="20" w:name="task-definition-what-i-will-do"/>
    <w:p>
      <w:pPr>
        <w:pStyle w:val="Heading2"/>
      </w:pPr>
      <w:r>
        <w:t xml:space="preserve">0 — Task definition (what I will do)</w:t>
      </w:r>
    </w:p>
    <w:p>
      <w:pPr>
        <w:pStyle w:val="FirstParagraph"/>
      </w:pPr>
      <w:r>
        <w:t xml:space="preserve">I will:</w:t>
      </w:r>
      <w:r>
        <w:t xml:space="preserve"> </w:t>
      </w:r>
      <w:r>
        <w:t xml:space="preserve">1. Review the three uploaded representations of your paper (PDF, DOCX, MD) and the supporting</w:t>
      </w:r>
      <w:r>
        <w:t xml:space="preserve"> </w:t>
      </w:r>
      <w:r>
        <w:rPr>
          <w:rStyle w:val="VerbatimChar"/>
        </w:rPr>
        <w:t xml:space="preserve">Slices</w:t>
      </w:r>
      <w:r>
        <w:t xml:space="preserve"> </w:t>
      </w:r>
      <w:r>
        <w:t xml:space="preserve">and ancillary text files you uploaded in this session. Treat them as the same work in different formats and extract the invariant claims, definitions, and experimental results.</w:t>
      </w:r>
      <w:r>
        <w:t xml:space="preserve"> </w:t>
      </w:r>
      <w:r>
        <w:t xml:space="preserve">2. Produce a laddered, triality-linked design that binds the theoretical claims to a practical experiment and a reproducible testbed (schema + steps) that implements your</w:t>
      </w:r>
      <w:r>
        <w:t xml:space="preserve"> </w:t>
      </w:r>
      <w:r>
        <w:t xml:space="preserve">“beam / morphon”</w:t>
      </w:r>
      <w:r>
        <w:t xml:space="preserve"> </w:t>
      </w:r>
      <w:r>
        <w:t xml:space="preserve">ideas in a way we can run, measure, and iterate.</w:t>
      </w:r>
      <w:r>
        <w:t xml:space="preserve"> </w:t>
      </w:r>
      <w:r>
        <w:t xml:space="preserve">3. Propose a compact experiment (with measurable metrics and data flows) that you can run locally (phone or laptop) or on a modest cloud instance. Include the exact artifacts to save, the checkpoints, and the wrapping/sidecar operations you insisted on (embeddings-as-sidecars, de Bruijn wrapping, Joules as a unit where applicable).</w:t>
      </w:r>
    </w:p>
    <w:p>
      <w:pPr>
        <w:pStyle w:val="BodyText"/>
      </w:pPr>
      <w:r>
        <w:t xml:space="preserve">I will not claim to have executed code or external web scrapes here. This is a formal, self-contained plan and report intended for implementation and iteration. The full details and runnable pseudocode are included so you can run these tests and feed results back.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-short"/>
    <w:p>
      <w:pPr>
        <w:pStyle w:val="Heading2"/>
      </w:pPr>
      <w:r>
        <w:t xml:space="preserve">1 — Executive summary (short)</w:t>
      </w:r>
    </w:p>
    <w:p>
      <w:pPr>
        <w:pStyle w:val="FirstParagraph"/>
      </w:pPr>
      <w:r>
        <w:t xml:space="preserve">Your corpus asserts a unifying hypothesis: tokens, glyphs, numbers, letters and physical primitives are geometries of 1D tape embeddings that, when projected and paired via dihedral/palindromic mirrorings, produce higher-order lattices (E₈, Niemeier/Leech structures, 24D rootless lattices) that explain closure behavior in language, computation and physical systems.</w:t>
      </w:r>
    </w:p>
    <w:p>
      <w:pPr>
        <w:pStyle w:val="BodyText"/>
      </w:pPr>
      <w:r>
        <w:t xml:space="preserve">The three uploaded versions of</w:t>
      </w:r>
      <w:r>
        <w:t xml:space="preserve"> </w:t>
      </w:r>
      <w:r>
        <w:rPr>
          <w:i/>
          <w:iCs/>
        </w:rPr>
        <w:t xml:space="preserve">Morphonic Manifolds as Mandelbrot Sets in E₈ Space</w:t>
      </w:r>
      <w:r>
        <w:t xml:space="preserve"> </w:t>
      </w:r>
      <w:r>
        <w:t xml:space="preserve">are semantically the same paper; they present the same definitions, examples (e.g., runes, glyph embeddings), and computational experiments. The supporting</w:t>
      </w:r>
      <w:r>
        <w:t xml:space="preserve"> </w:t>
      </w:r>
      <w:r>
        <w:rPr>
          <w:rStyle w:val="VerbatimChar"/>
        </w:rPr>
        <w:t xml:space="preserve">Slices</w:t>
      </w:r>
      <w:r>
        <w:t xml:space="preserve"> </w:t>
      </w:r>
      <w:r>
        <w:t xml:space="preserve">files hold design rationale, lambda rules, and tests. Taken together they contain: core definitions (morphon, morphonic identity), experimental method ideas (1D tape → embeddings → beams → closure at 8/24 dims), and operational rules (sidecar embeddings, de Bruijn wrapping, save-on-success heuristics).</w:t>
      </w:r>
    </w:p>
    <w:p>
      <w:pPr>
        <w:pStyle w:val="BodyText"/>
      </w:pPr>
      <w:r>
        <w:t xml:space="preserve">This report extracts the invariants and maps them into a practical, testable experiment: a three-level (laddered) system that I call Triality Beams: (A) Data &amp; exemplar layer, (B) Morphonic embedding + sidecar layer, (C) Beam closure solver layer. The test will quantify closure (percent of lawful reconstruction), parity / Hamming distance, and energy-like cost in Joules (estimate via CPU/GPU time × power). The report contains a reproducible experiment design and a recommended minimal implementation path.</w:t>
      </w:r>
    </w:p>
    <w:p>
      <w:r>
        <w:pict>
          <v:rect style="width:0;height:1.5pt" o:hralign="center" o:hrstd="t" o:hr="t"/>
        </w:pict>
      </w:r>
    </w:p>
    <w:bookmarkEnd w:id="21"/>
    <w:bookmarkStart w:id="22" w:name="X89bc3d40cd8977508707d1947503ab45759a294"/>
    <w:p>
      <w:pPr>
        <w:pStyle w:val="Heading2"/>
      </w:pPr>
      <w:r>
        <w:t xml:space="preserve">2 — Core invariants extracted from the documents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Morphon</w:t>
      </w:r>
      <w:r>
        <w:t xml:space="preserve">: a bounded, observable cluster of embeddings that demonstrates closure in a defined view. Morphons are discovered when data naturally forms a near-complete closed orbit under a family of dihedral transforms.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Morphonic identity / legality</w:t>
      </w:r>
      <w:r>
        <w:t xml:space="preserve">: an observational constraint derived from how data embeds; not fixed globally but consistent for a morphon under a chosen context (task-dependent).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Beam model</w:t>
      </w:r>
      <w:r>
        <w:t xml:space="preserve">: computation is a single directed beam (solve) that implicitly has a mirrored return-beam — both must be accounted for to produce full closure. The beam’s schema dictates the state-space the beam will occupy.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Dimensional ladder</w:t>
      </w:r>
      <w:r>
        <w:t xml:space="preserve">: 1D tape → 3D vectors → 8D orbit vertices → 24D lattice spreads → higher powers (32, 64, 128…) where closure checkpoints appear every power-of-2 expansions, and 7-to-8 or 7-fold transforms often mark critical closure steps.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Embeddings as sidecars</w:t>
      </w:r>
      <w:r>
        <w:t xml:space="preserve">: every mid-solve state should generate ephemeral embeddings (sidecars) that are snapshotted and optionally persisted when they contribute to closure. De Bruijn wrapping is used as a final unify/wrap step.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Testable signals</w:t>
      </w:r>
      <w:r>
        <w:t xml:space="preserve">: closure rate (fraction of correctly rehydrated structure), Hamming-related distance measures, and a power/time-derived</w:t>
      </w:r>
      <w:r>
        <w:t xml:space="preserve"> </w:t>
      </w:r>
      <w:r>
        <w:t xml:space="preserve">“Joule cost”</w:t>
      </w:r>
      <w:r>
        <w:t xml:space="preserve"> </w:t>
      </w:r>
      <w:r>
        <w:t xml:space="preserve">for the solve.</w:t>
      </w:r>
    </w:p>
    <w:p>
      <w:r>
        <w:pict>
          <v:rect style="width:0;height:1.5pt" o:hralign="center" o:hrstd="t" o:hr="t"/>
        </w:pict>
      </w:r>
    </w:p>
    <w:bookmarkEnd w:id="22"/>
    <w:bookmarkStart w:id="23" w:name="X1583821d477c93d3a77352fec23a0561f3690f9"/>
    <w:p>
      <w:pPr>
        <w:pStyle w:val="Heading2"/>
      </w:pPr>
      <w:r>
        <w:t xml:space="preserve">3 — Correlary connections between the three formats and the working slices</w:t>
      </w:r>
    </w:p>
    <w:p>
      <w:pPr>
        <w:pStyle w:val="FirstParagraph"/>
      </w:pPr>
      <w:r>
        <w:t xml:space="preserve">I parsed the material for invariant claims and algorithmic guidance. Short mapping: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Morphonic_Manifolds_</w:t>
      </w:r>
      <w:r>
        <w:t xml:space="preserve">.pdf/.docx/.md — provide the formal definitions, the E₈ framing, and mathematical motifs (Mandelbrot analogies). These are the canonical statements of the idea.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Slices_*</w:t>
      </w:r>
      <w:r>
        <w:t xml:space="preserve"> </w:t>
      </w:r>
      <w:r>
        <w:t xml:space="preserve">and the other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uploads — contain implementation heuristics, lambda rules, braiding/mesh interpretations, the practical</w:t>
      </w:r>
      <w:r>
        <w:t xml:space="preserve"> </w:t>
      </w:r>
      <w:r>
        <w:t xml:space="preserve">‘how’</w:t>
      </w:r>
      <w:r>
        <w:t xml:space="preserve"> </w:t>
      </w:r>
      <w:r>
        <w:t xml:space="preserve">of sidecars and embedding management. They are the operational companion to the paper.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Lambda_Rules_Spec.pdf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Codec‑Composer</w:t>
      </w:r>
      <w:r>
        <w:t xml:space="preserve"> </w:t>
      </w:r>
      <w:r>
        <w:t xml:space="preserve">notes — show the expected runtime behaviours and how to format inputs/outputs for the beam, including the palindromic/mirrored run rules and the notion of auto-promotion when resources permit.</w:t>
      </w:r>
    </w:p>
    <w:p>
      <w:pPr>
        <w:pStyle w:val="FirstParagraph"/>
      </w:pPr>
      <w:r>
        <w:t xml:space="preserve">Together they form: theory (paper), engineering design (slices/spec), runtime packaging (codec/composer). For experiments, we will use the engineering slices as the action plan and the paper as the justification and metric spec.</w:t>
      </w:r>
    </w:p>
    <w:p>
      <w:r>
        <w:pict>
          <v:rect style="width:0;height:1.5pt" o:hralign="center" o:hrstd="t" o:hr="t"/>
        </w:pict>
      </w:r>
    </w:p>
    <w:bookmarkEnd w:id="23"/>
    <w:bookmarkStart w:id="27" w:name="Xd0b1203edd60886a1f9d571bae23184e29ac004"/>
    <w:p>
      <w:pPr>
        <w:pStyle w:val="Heading2"/>
      </w:pPr>
      <w:r>
        <w:t xml:space="preserve">4 — Laddered triality architecture (conceptual)</w:t>
      </w:r>
    </w:p>
    <w:p>
      <w:pPr>
        <w:pStyle w:val="FirstParagraph"/>
      </w:pPr>
      <w:r>
        <w:t xml:space="preserve">Design three cooperating layers that communicate via triality-linked beams (bi-directional pairing + palindromic mirroring):</w:t>
      </w:r>
    </w:p>
    <w:bookmarkStart w:id="24" w:name="a-exemplar-layer-data-ground-truth"/>
    <w:p>
      <w:pPr>
        <w:pStyle w:val="Heading3"/>
      </w:pPr>
      <w:r>
        <w:t xml:space="preserve">A — Exemplar layer (Data &amp; Ground Truth)</w:t>
      </w:r>
    </w:p>
    <w:p>
      <w:pPr>
        <w:pStyle w:val="Compact"/>
        <w:numPr>
          <w:ilvl w:val="0"/>
          <w:numId w:val="1003"/>
        </w:numPr>
      </w:pPr>
      <w:r>
        <w:t xml:space="preserve">Input corpora: short glyph sets (runes, Latin capitals, digits 0–9), Rongo-Rongo glyph corpus (from your uploaded docs), and a small English/Latin parallel set for proto-number experiments.</w:t>
      </w:r>
    </w:p>
    <w:p>
      <w:pPr>
        <w:pStyle w:val="Compact"/>
        <w:numPr>
          <w:ilvl w:val="0"/>
          <w:numId w:val="1003"/>
        </w:numPr>
      </w:pPr>
      <w:r>
        <w:t xml:space="preserve">Output: canonical vectors for each glyph/token (initial embeddings). These are persisted and versioned.</w:t>
      </w:r>
    </w:p>
    <w:bookmarkEnd w:id="24"/>
    <w:bookmarkStart w:id="25" w:name="b-morphonic-embedding-layer-sidecars"/>
    <w:p>
      <w:pPr>
        <w:pStyle w:val="Heading3"/>
      </w:pPr>
      <w:r>
        <w:t xml:space="preserve">B — Morphonic embedding layer (Sidecars)</w:t>
      </w:r>
    </w:p>
    <w:p>
      <w:pPr>
        <w:pStyle w:val="Compact"/>
        <w:numPr>
          <w:ilvl w:val="0"/>
          <w:numId w:val="1004"/>
        </w:numPr>
      </w:pPr>
      <w:r>
        <w:t xml:space="preserve">For each beam step, produce ephemeral embeddings (vectors) that represent the solver’s intermediate states. Sidecars are saved when they produce higher closure in validation checks (auto-promote only when savings allow).</w:t>
      </w:r>
    </w:p>
    <w:p>
      <w:pPr>
        <w:pStyle w:val="Compact"/>
        <w:numPr>
          <w:ilvl w:val="0"/>
          <w:numId w:val="1004"/>
        </w:numPr>
      </w:pPr>
      <w:r>
        <w:t xml:space="preserve">Embedding operations: mirror-palindromic duplication, de Bruijn edge wrapping, small-lattice E₈ projection tests (8→24 inference).</w:t>
      </w:r>
    </w:p>
    <w:bookmarkEnd w:id="25"/>
    <w:bookmarkStart w:id="26" w:name="c-solver-beam-layer"/>
    <w:p>
      <w:pPr>
        <w:pStyle w:val="Heading3"/>
      </w:pPr>
      <w:r>
        <w:t xml:space="preserve">C — Solver / Beam layer</w:t>
      </w:r>
    </w:p>
    <w:p>
      <w:pPr>
        <w:pStyle w:val="Compact"/>
        <w:numPr>
          <w:ilvl w:val="0"/>
          <w:numId w:val="1005"/>
        </w:numPr>
      </w:pPr>
      <w:r>
        <w:t xml:space="preserve">The active solver uses the exemplar vectors and morphonic sidecars to drive a search across dihedral projections. The solver maintains both the forward beam and the negative mirrored beam as co-evaluated processes and records their meeting points (closure checkpoints).</w:t>
      </w:r>
    </w:p>
    <w:p>
      <w:pPr>
        <w:pStyle w:val="Compact"/>
        <w:numPr>
          <w:ilvl w:val="0"/>
          <w:numId w:val="1005"/>
        </w:numPr>
      </w:pPr>
      <w:r>
        <w:t xml:space="preserve">When beams fail to close, the solver spawns a sidecar embedding process to explore the negative lane and returns metrics.</w:t>
      </w:r>
    </w:p>
    <w:p>
      <w:pPr>
        <w:pStyle w:val="FirstParagraph"/>
      </w:pPr>
      <w:r>
        <w:t xml:space="preserve">Data flow: A → B (bootstrap) ; B ↔ C (active solve + sidecar snapshots) ; C → A (successful merged morphons become new exemplars if promoted).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1e18c0ae2f59ed7aa7730399feaabae630f851e"/>
    <w:p>
      <w:pPr>
        <w:pStyle w:val="Heading2"/>
      </w:pPr>
      <w:r>
        <w:t xml:space="preserve">5 — Concrete experimental schema (single-run reproducible test)</w:t>
      </w:r>
    </w:p>
    <w:p>
      <w:pPr>
        <w:pStyle w:val="FirstParagraph"/>
      </w:pPr>
      <w:r>
        <w:t xml:space="preserve">Goal: prove that small glyph sets produce predictable closure patterns (8 step closure) and quantify the closure and energetic cost.</w:t>
      </w:r>
    </w:p>
    <w:bookmarkStart w:id="28" w:name="inputs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6"/>
        </w:numPr>
      </w:pPr>
      <w:r>
        <w:t xml:space="preserve">Glyph set #1: Elder Futhark (24 runes) — canonical shapes converted to binary stroke vectors.</w:t>
      </w:r>
    </w:p>
    <w:p>
      <w:pPr>
        <w:pStyle w:val="Compact"/>
        <w:numPr>
          <w:ilvl w:val="0"/>
          <w:numId w:val="1006"/>
        </w:numPr>
      </w:pPr>
      <w:r>
        <w:t xml:space="preserve">Glyph set #2: Latin capitals A–Z (26 glyphs).</w:t>
      </w:r>
    </w:p>
    <w:p>
      <w:pPr>
        <w:pStyle w:val="Compact"/>
        <w:numPr>
          <w:ilvl w:val="0"/>
          <w:numId w:val="1006"/>
        </w:numPr>
      </w:pPr>
      <w:r>
        <w:t xml:space="preserve">Digit set: 0–9 shapes.</w:t>
      </w:r>
    </w:p>
    <w:p>
      <w:pPr>
        <w:pStyle w:val="Compact"/>
        <w:numPr>
          <w:ilvl w:val="0"/>
          <w:numId w:val="1006"/>
        </w:numPr>
      </w:pPr>
      <w:r>
        <w:t xml:space="preserve">Rongo-Rongo snippets (from your uploaded files) — tokenized.</w:t>
      </w:r>
    </w:p>
    <w:bookmarkEnd w:id="28"/>
    <w:bookmarkStart w:id="29" w:name="preprocessing"/>
    <w:p>
      <w:pPr>
        <w:pStyle w:val="Heading3"/>
      </w:pPr>
      <w:r>
        <w:t xml:space="preserve">Preprocessing</w:t>
      </w:r>
    </w:p>
    <w:p>
      <w:pPr>
        <w:pStyle w:val="Compact"/>
        <w:numPr>
          <w:ilvl w:val="0"/>
          <w:numId w:val="1007"/>
        </w:numPr>
      </w:pPr>
      <w:r>
        <w:t xml:space="preserve">Render each glyph to a normalized 64×64 monochrome raster, center-of-mass aligned, then extract vector skeletons. Convert skeletons into ordered stroke sequences (1D tape encoding).</w:t>
      </w:r>
    </w:p>
    <w:p>
      <w:pPr>
        <w:pStyle w:val="Compact"/>
        <w:numPr>
          <w:ilvl w:val="0"/>
          <w:numId w:val="1007"/>
        </w:numPr>
      </w:pPr>
      <w:r>
        <w:t xml:space="preserve">Produce initial embeddings: for each stroke tape, compute an n-d real-valued embedding (e.g., length-128 float vector via FFT + PCA on strokes). These are the exemplar vectors.</w:t>
      </w:r>
    </w:p>
    <w:bookmarkEnd w:id="29"/>
    <w:bookmarkStart w:id="30" w:name="beam-solve-single-morphon-test"/>
    <w:p>
      <w:pPr>
        <w:pStyle w:val="Heading3"/>
      </w:pPr>
      <w:r>
        <w:t xml:space="preserve">Beam solve (single morphon test)</w:t>
      </w:r>
    </w:p>
    <w:p>
      <w:pPr>
        <w:pStyle w:val="Compact"/>
        <w:numPr>
          <w:ilvl w:val="0"/>
          <w:numId w:val="1008"/>
        </w:numPr>
      </w:pPr>
      <w:r>
        <w:t xml:space="preserve">Pick a single exemplar as the seed (e.g., rune</w:t>
      </w:r>
      <w:r>
        <w:t xml:space="preserve"> </w:t>
      </w:r>
      <w:r>
        <w:rPr>
          <w:i/>
          <w:iCs/>
        </w:rPr>
        <w:t xml:space="preserve">Ansuz</w:t>
      </w:r>
      <w:r>
        <w:t xml:space="preserve">). Start a forward beam that applies seven dihedral/odd transforms (mirror, rotate, scale, prime permutation, de Bruijn shift, palindromic reflection, orthogonal projection). Produce embeddings at each step.</w:t>
      </w:r>
    </w:p>
    <w:p>
      <w:pPr>
        <w:pStyle w:val="Compact"/>
        <w:numPr>
          <w:ilvl w:val="0"/>
          <w:numId w:val="1008"/>
        </w:numPr>
      </w:pPr>
      <w:r>
        <w:t xml:space="preserve">In parallel spawn a reflected beam (return-beam) that starts at the same seed but applies inverse transforms.</w:t>
      </w:r>
    </w:p>
    <w:p>
      <w:pPr>
        <w:pStyle w:val="Compact"/>
        <w:numPr>
          <w:ilvl w:val="0"/>
          <w:numId w:val="1008"/>
        </w:numPr>
      </w:pPr>
      <w:r>
        <w:t xml:space="preserve">After step 7, attempt to measure closure: compute cosine similarity matrix across forward and return-beam embeddings; closure is present if an embedding pair similarity &gt; threshold (e.g., 0.94) and Hamming-like structural distance &lt; ε.</w:t>
      </w:r>
    </w:p>
    <w:p>
      <w:pPr>
        <w:pStyle w:val="Compact"/>
        <w:numPr>
          <w:ilvl w:val="0"/>
          <w:numId w:val="1008"/>
        </w:numPr>
      </w:pPr>
      <w:r>
        <w:t xml:space="preserve">If closure &lt; threshold, spawn sidecar embeddings (generate additional transforms from intermediate embeddings) using de Bruijn wrapping and re-test.</w:t>
      </w:r>
    </w:p>
    <w:bookmarkEnd w:id="30"/>
    <w:bookmarkStart w:id="31" w:name="metrics"/>
    <w:p>
      <w:pPr>
        <w:pStyle w:val="Heading3"/>
      </w:pPr>
      <w:r>
        <w:t xml:space="preserve">Metrics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Closure%</w:t>
      </w:r>
      <w:r>
        <w:t xml:space="preserve">: fraction of seeds that reach similarity &gt; 0.94 within 7 transforms.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Mean Hamming (structural) distance</w:t>
      </w:r>
      <w:r>
        <w:t xml:space="preserve"> </w:t>
      </w:r>
      <w:r>
        <w:t xml:space="preserve">across skeleton discretizations.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Energy cost (Joules)</w:t>
      </w:r>
      <w:r>
        <w:t xml:space="preserve"> </w:t>
      </w:r>
      <w:r>
        <w:t xml:space="preserve">= run_time_seconds × device_power_watts (measure device power during runs or use typical CPU TDP estimate). Keep as both measured and estimated.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Auto-promote count</w:t>
      </w:r>
      <w:r>
        <w:t xml:space="preserve">: number of sidecar embeddings persisted to exemplar store.</w:t>
      </w:r>
    </w:p>
    <w:bookmarkEnd w:id="31"/>
    <w:bookmarkStart w:id="32" w:name="success-criteria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10"/>
        </w:numPr>
      </w:pPr>
      <w:r>
        <w:t xml:space="preserve">Demonstrate that at least N% (target 70% first pass) of seeds produce closure without manual heuristics, and that auto-promoted exemplars improve closure on a subsequent pass.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173bb968dc9662bdfa2d3d0ca356d3df0b88aa5"/>
    <w:p>
      <w:pPr>
        <w:pStyle w:val="Heading2"/>
      </w:pPr>
      <w:r>
        <w:t xml:space="preserve">6 — Implementation notes &amp; minimal pseudocode (Python outline)</w:t>
      </w:r>
    </w:p>
    <w:p>
      <w:pPr>
        <w:pStyle w:val="FirstParagraph"/>
      </w:pPr>
      <w:r>
        <w:t xml:space="preserve">(Full runnable code omitted here; this is a clear blueprint you can implement.)</w:t>
      </w:r>
    </w:p>
    <w:p>
      <w:pPr>
        <w:pStyle w:val="Compact"/>
        <w:numPr>
          <w:ilvl w:val="0"/>
          <w:numId w:val="1011"/>
        </w:numPr>
      </w:pPr>
      <w:r>
        <w:t xml:space="preserve">Preprocess glyphs → stroke tapes → skeleton arrays.</w:t>
      </w:r>
    </w:p>
    <w:p>
      <w:pPr>
        <w:pStyle w:val="Compact"/>
        <w:numPr>
          <w:ilvl w:val="0"/>
          <w:numId w:val="1011"/>
        </w:numPr>
      </w:pPr>
      <w:r>
        <w:t xml:space="preserve">Embeddings:</w:t>
      </w:r>
      <w:r>
        <w:t xml:space="preserve"> </w:t>
      </w:r>
      <w:r>
        <w:rPr>
          <w:rStyle w:val="VerbatimChar"/>
        </w:rPr>
        <w:t xml:space="preserve">embed(tape) -&gt; float[128]</w:t>
      </w:r>
      <w:r>
        <w:t xml:space="preserve"> </w:t>
      </w:r>
      <w:r>
        <w:t xml:space="preserve">(FFT of stroke distances + PCA).</w:t>
      </w:r>
    </w:p>
    <w:p>
      <w:pPr>
        <w:pStyle w:val="Compact"/>
        <w:numPr>
          <w:ilvl w:val="0"/>
          <w:numId w:val="1011"/>
        </w:numPr>
      </w:pPr>
      <w:r>
        <w:t xml:space="preserve">Transform operators: define a small library of dihedral transforms acting on tape (rotate, reverse, prime-permute, mirror, deBruijn-shift).</w:t>
      </w:r>
    </w:p>
    <w:p>
      <w:pPr>
        <w:pStyle w:val="Compact"/>
        <w:numPr>
          <w:ilvl w:val="0"/>
          <w:numId w:val="1011"/>
        </w:numPr>
      </w:pPr>
      <w:r>
        <w:t xml:space="preserve">Beam engine: orchestrate forward &amp; return beams with snapshotting of sidecars. At each step, evaluate pairwise similarities.</w:t>
      </w:r>
    </w:p>
    <w:p>
      <w:pPr>
        <w:pStyle w:val="Compact"/>
        <w:numPr>
          <w:ilvl w:val="0"/>
          <w:numId w:val="1011"/>
        </w:numPr>
      </w:pPr>
      <w:r>
        <w:t xml:space="preserve">Persist sidecars to a lightweight RAG-style local store (file-based or simple sqlite).</w:t>
      </w:r>
    </w:p>
    <w:p>
      <w:pPr>
        <w:pStyle w:val="Compact"/>
        <w:numPr>
          <w:ilvl w:val="0"/>
          <w:numId w:val="1011"/>
        </w:numPr>
      </w:pPr>
      <w:r>
        <w:t xml:space="preserve">Final wrap: apply de Bruijn wrap on all sidecars and re-test closure.</w:t>
      </w:r>
    </w:p>
    <w:p>
      <w:pPr>
        <w:pStyle w:val="FirstParagraph"/>
      </w:pPr>
      <w:r>
        <w:t xml:space="preserve">I will include runnable snippets in a follow-up on request; here I focused on the overall design.</w:t>
      </w:r>
    </w:p>
    <w:p>
      <w:r>
        <w:pict>
          <v:rect style="width:0;height:1.5pt" o:hralign="center" o:hrstd="t" o:hr="t"/>
        </w:pict>
      </w:r>
    </w:p>
    <w:bookmarkEnd w:id="34"/>
    <w:bookmarkStart w:id="35" w:name="X06cf205c99331dd5ec894886281461b01a639e7"/>
    <w:p>
      <w:pPr>
        <w:pStyle w:val="Heading2"/>
      </w:pPr>
      <w:r>
        <w:t xml:space="preserve">7 — Triality linking and laddered beams: how to wire it</w:t>
      </w:r>
    </w:p>
    <w:p>
      <w:pPr>
        <w:pStyle w:val="Compact"/>
        <w:numPr>
          <w:ilvl w:val="0"/>
          <w:numId w:val="1012"/>
        </w:numPr>
      </w:pPr>
      <w:r>
        <w:t xml:space="preserve">Each of the three layers exposes a small API. Triality means: layer A can identify a morphon candidate and call B to embed it; B then returns sidecar candidates to C which runs closure tests. If closure found, C returns a validation token to A to allow promotion.</w:t>
      </w:r>
    </w:p>
    <w:p>
      <w:pPr>
        <w:pStyle w:val="Compact"/>
        <w:numPr>
          <w:ilvl w:val="0"/>
          <w:numId w:val="1012"/>
        </w:numPr>
      </w:pPr>
      <w:r>
        <w:t xml:space="preserve">The beams are logged as (seed_id, forward_path_vectors, return_path_vectors, closure_score, promoted_flag).</w:t>
      </w:r>
    </w:p>
    <w:p>
      <w:pPr>
        <w:pStyle w:val="Compact"/>
        <w:numPr>
          <w:ilvl w:val="0"/>
          <w:numId w:val="1012"/>
        </w:numPr>
      </w:pPr>
      <w:r>
        <w:t xml:space="preserve">A periodic background task merges promoted exemplars and prunes low-value sidecars (auto-promote only when storage/joule budget allows).</w:t>
      </w:r>
    </w:p>
    <w:p>
      <w:r>
        <w:pict>
          <v:rect style="width:0;height:1.5pt" o:hralign="center" o:hrstd="t" o:hr="t"/>
        </w:pict>
      </w:r>
    </w:p>
    <w:bookmarkEnd w:id="35"/>
    <w:bookmarkStart w:id="36" w:name="Xd4b5d70f9b0c523bbadea4ea96c52c9d6cb252f"/>
    <w:p>
      <w:pPr>
        <w:pStyle w:val="Heading2"/>
      </w:pPr>
      <w:r>
        <w:t xml:space="preserve">8 — Measurement plan and expected timeline for first pass</w:t>
      </w:r>
    </w:p>
    <w:p>
      <w:pPr>
        <w:pStyle w:val="Compact"/>
        <w:numPr>
          <w:ilvl w:val="0"/>
          <w:numId w:val="1013"/>
        </w:numPr>
      </w:pPr>
      <w:r>
        <w:t xml:space="preserve">Implement preprocessing + embedding functions (1–2 days).</w:t>
      </w:r>
    </w:p>
    <w:p>
      <w:pPr>
        <w:pStyle w:val="Compact"/>
        <w:numPr>
          <w:ilvl w:val="0"/>
          <w:numId w:val="1013"/>
        </w:numPr>
      </w:pPr>
      <w:r>
        <w:t xml:space="preserve">Implement beam engine and transform library (2–3 days).</w:t>
      </w:r>
    </w:p>
    <w:p>
      <w:pPr>
        <w:pStyle w:val="Compact"/>
        <w:numPr>
          <w:ilvl w:val="0"/>
          <w:numId w:val="1013"/>
        </w:numPr>
      </w:pPr>
      <w:r>
        <w:t xml:space="preserve">Run experiments on small CPU/GPU machine (overnight): collect closure metrics and Joule estimates.</w:t>
      </w:r>
    </w:p>
    <w:p>
      <w:pPr>
        <w:pStyle w:val="FirstParagraph"/>
      </w:pPr>
      <w:r>
        <w:t xml:space="preserve">Expected deliverable: a CSV per experiment with columns: seed, forward_steps, return_steps, closure_score, hamming_distance, runtime_seconds, estimated_joules, promoted_flag.</w:t>
      </w:r>
    </w:p>
    <w:p>
      <w:r>
        <w:pict>
          <v:rect style="width:0;height:1.5pt" o:hralign="center" o:hrstd="t" o:hr="t"/>
        </w:pict>
      </w:r>
    </w:p>
    <w:bookmarkEnd w:id="36"/>
    <w:bookmarkStart w:id="37" w:name="Xed04b9970a44c30f94d674f8fd151df2146e452"/>
    <w:p>
      <w:pPr>
        <w:pStyle w:val="Heading2"/>
      </w:pPr>
      <w:r>
        <w:t xml:space="preserve">9 — Next steps I recommend (practical and immediate)</w:t>
      </w:r>
    </w:p>
    <w:p>
      <w:pPr>
        <w:pStyle w:val="Compact"/>
        <w:numPr>
          <w:ilvl w:val="0"/>
          <w:numId w:val="1014"/>
        </w:numPr>
      </w:pPr>
      <w:r>
        <w:t xml:space="preserve">Implement the preprocessing and transform library on your phone (Python on Android) or laptop and run 10 seeds overnight.</w:t>
      </w:r>
    </w:p>
    <w:p>
      <w:pPr>
        <w:pStyle w:val="Compact"/>
        <w:numPr>
          <w:ilvl w:val="0"/>
          <w:numId w:val="1014"/>
        </w:numPr>
      </w:pPr>
      <w:r>
        <w:t xml:space="preserve">Share the CSV results back here; I will analyze closure statistics and propose parameter updates (thresholds, transform banks, de Bruijn wrap sizes).</w:t>
      </w:r>
    </w:p>
    <w:p>
      <w:pPr>
        <w:pStyle w:val="Compact"/>
        <w:numPr>
          <w:ilvl w:val="0"/>
          <w:numId w:val="1014"/>
        </w:numPr>
      </w:pPr>
      <w:r>
        <w:t xml:space="preserve">If the small test succeeds, scale by adding Rongo-Rongo and other glyph corpora, and compare which scripts map into the same morphonic clusters.</w:t>
      </w:r>
    </w:p>
    <w:p>
      <w:r>
        <w:pict>
          <v:rect style="width:0;height:1.5pt" o:hralign="center" o:hrstd="t" o:hr="t"/>
        </w:pict>
      </w:r>
    </w:p>
    <w:bookmarkEnd w:id="37"/>
    <w:bookmarkStart w:id="38" w:name="X34aec522f74d8b63613f07b5e47c0ae76b5d71e"/>
    <w:p>
      <w:pPr>
        <w:pStyle w:val="Heading2"/>
      </w:pPr>
      <w:r>
        <w:t xml:space="preserve">10 — Appendix: quick glossary (your terms mapped to standard terms)</w:t>
      </w:r>
    </w:p>
    <w:p>
      <w:pPr>
        <w:pStyle w:val="Compact"/>
        <w:numPr>
          <w:ilvl w:val="0"/>
          <w:numId w:val="1015"/>
        </w:numPr>
      </w:pPr>
      <w:r>
        <w:t xml:space="preserve">morphon = local motif / cluster / motif-embedding with closure properties</w:t>
      </w:r>
    </w:p>
    <w:p>
      <w:pPr>
        <w:pStyle w:val="Compact"/>
        <w:numPr>
          <w:ilvl w:val="0"/>
          <w:numId w:val="1015"/>
        </w:numPr>
      </w:pPr>
      <w:r>
        <w:t xml:space="preserve">sidecar embeddings = ephemeral checkpoints / snapshot embeddings</w:t>
      </w:r>
    </w:p>
    <w:p>
      <w:pPr>
        <w:pStyle w:val="Compact"/>
        <w:numPr>
          <w:ilvl w:val="0"/>
          <w:numId w:val="1015"/>
        </w:numPr>
      </w:pPr>
      <w:r>
        <w:t xml:space="preserve">beam = directed solver trajectory (forward) and mirrored trajectory (return)</w:t>
      </w:r>
    </w:p>
    <w:p>
      <w:pPr>
        <w:pStyle w:val="Compact"/>
        <w:numPr>
          <w:ilvl w:val="0"/>
          <w:numId w:val="1015"/>
        </w:numPr>
      </w:pPr>
      <w:r>
        <w:t xml:space="preserve">closure = high cosine similarity + low structural distance between forward and return beam nodes</w:t>
      </w:r>
    </w:p>
    <w:p>
      <w:pPr>
        <w:pStyle w:val="FirstParagraph"/>
      </w:pPr>
      <w:r>
        <w:rPr>
          <w:i/>
          <w:iCs/>
        </w:rPr>
        <w:t xml:space="preserve">End of report — implementable schema and measurement plan enclosed.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2025-10-24T00:34:44Z</dcterms:created>
  <dcterms:modified xsi:type="dcterms:W3CDTF">2025-10-24T00:34:44Z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