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7B6D" w14:textId="4A0F28A6" w:rsidR="0035377D" w:rsidRDefault="0035377D" w:rsidP="0035377D">
      <w:pPr>
        <w:spacing w:after="0" w:line="480" w:lineRule="auto"/>
        <w:rPr>
          <w:rFonts w:ascii="Times New Roman" w:hAnsi="Times New Roman" w:cs="Times New Roman"/>
          <w:sz w:val="24"/>
          <w:szCs w:val="24"/>
        </w:rPr>
      </w:pPr>
      <w:r w:rsidRPr="0035377D">
        <w:rPr>
          <w:rFonts w:ascii="Times New Roman" w:hAnsi="Times New Roman" w:cs="Times New Roman"/>
          <w:sz w:val="24"/>
          <w:szCs w:val="24"/>
        </w:rPr>
        <w:t>Article Title: Zero-population growth isocline predicts seasonal variation in environmental conditions and predator abundance limits populations of annual gastropod</w:t>
      </w:r>
    </w:p>
    <w:p w14:paraId="715579D0" w14:textId="77777777" w:rsidR="0035377D" w:rsidRPr="0035377D" w:rsidRDefault="0035377D" w:rsidP="0035377D">
      <w:pPr>
        <w:spacing w:after="0" w:line="480" w:lineRule="auto"/>
        <w:rPr>
          <w:rFonts w:ascii="Times New Roman" w:hAnsi="Times New Roman" w:cs="Times New Roman"/>
          <w:sz w:val="24"/>
          <w:szCs w:val="24"/>
        </w:rPr>
      </w:pPr>
    </w:p>
    <w:p w14:paraId="518DD392" w14:textId="4CBE53BA" w:rsidR="0035377D" w:rsidRDefault="0035377D" w:rsidP="0035377D">
      <w:pPr>
        <w:spacing w:after="0" w:line="480" w:lineRule="auto"/>
        <w:rPr>
          <w:rFonts w:ascii="Times New Roman" w:hAnsi="Times New Roman" w:cs="Times New Roman"/>
          <w:sz w:val="24"/>
          <w:szCs w:val="24"/>
        </w:rPr>
      </w:pPr>
      <w:r w:rsidRPr="0035377D">
        <w:rPr>
          <w:rFonts w:ascii="Times New Roman" w:hAnsi="Times New Roman" w:cs="Times New Roman"/>
          <w:sz w:val="24"/>
          <w:szCs w:val="24"/>
        </w:rPr>
        <w:t>Journal: Functional Ecology</w:t>
      </w:r>
    </w:p>
    <w:p w14:paraId="646DC35E" w14:textId="77777777" w:rsidR="0035377D" w:rsidRPr="0035377D" w:rsidRDefault="0035377D" w:rsidP="0035377D">
      <w:pPr>
        <w:spacing w:after="0" w:line="480" w:lineRule="auto"/>
        <w:rPr>
          <w:rFonts w:ascii="Times New Roman" w:hAnsi="Times New Roman" w:cs="Times New Roman"/>
          <w:sz w:val="24"/>
          <w:szCs w:val="24"/>
        </w:rPr>
      </w:pPr>
    </w:p>
    <w:p w14:paraId="7049DDCD" w14:textId="3C9EE07C" w:rsidR="0035377D" w:rsidRPr="0035377D" w:rsidRDefault="0035377D" w:rsidP="0035377D">
      <w:pPr>
        <w:spacing w:after="0" w:line="480" w:lineRule="auto"/>
        <w:rPr>
          <w:rFonts w:ascii="Times New Roman" w:hAnsi="Times New Roman" w:cs="Times New Roman"/>
          <w:sz w:val="24"/>
          <w:szCs w:val="24"/>
        </w:rPr>
      </w:pPr>
      <w:r w:rsidRPr="0035377D">
        <w:rPr>
          <w:rFonts w:ascii="Times New Roman" w:hAnsi="Times New Roman" w:cs="Times New Roman"/>
          <w:sz w:val="24"/>
          <w:szCs w:val="24"/>
        </w:rPr>
        <w:t>Authors:</w:t>
      </w:r>
    </w:p>
    <w:p w14:paraId="27678713" w14:textId="77777777" w:rsidR="0035377D" w:rsidRPr="0035377D" w:rsidRDefault="0035377D" w:rsidP="0035377D">
      <w:pPr>
        <w:pStyle w:val="NATESTYLE1CommonCollege"/>
      </w:pPr>
      <w:r w:rsidRPr="0035377D">
        <w:t>N. T. Barrus</w:t>
      </w:r>
      <w:r w:rsidRPr="0035377D">
        <w:rPr>
          <w:vertAlign w:val="superscript"/>
        </w:rPr>
        <w:t>1,2,4</w:t>
      </w:r>
      <w:r w:rsidRPr="0035377D">
        <w:t xml:space="preserve">; </w:t>
      </w:r>
      <w:r w:rsidRPr="0035377D">
        <w:rPr>
          <w:rStyle w:val="normaltextrun"/>
          <w:color w:val="000000"/>
          <w:shd w:val="clear" w:color="auto" w:fill="FFFFFF"/>
        </w:rPr>
        <w:t>ORCID: 0000-0001-7503-3120</w:t>
      </w:r>
    </w:p>
    <w:p w14:paraId="49B5A29E" w14:textId="77777777" w:rsidR="0035377D" w:rsidRPr="0035377D" w:rsidRDefault="0035377D" w:rsidP="0035377D">
      <w:pPr>
        <w:pStyle w:val="NATESTYLE1CommonCollege"/>
      </w:pPr>
      <w:r w:rsidRPr="0035377D">
        <w:t>M. I. Cook</w:t>
      </w:r>
      <w:r w:rsidRPr="0035377D">
        <w:rPr>
          <w:vertAlign w:val="superscript"/>
        </w:rPr>
        <w:t>3</w:t>
      </w:r>
      <w:r w:rsidRPr="0035377D">
        <w:t>,</w:t>
      </w:r>
    </w:p>
    <w:p w14:paraId="582C6283" w14:textId="77777777" w:rsidR="0035377D" w:rsidRDefault="0035377D" w:rsidP="0035377D">
      <w:pPr>
        <w:pStyle w:val="NATESTYLE1CommonCollege"/>
        <w:rPr>
          <w:rStyle w:val="normaltextrun"/>
          <w:color w:val="000000"/>
          <w:shd w:val="clear" w:color="auto" w:fill="FFFFFF"/>
        </w:rPr>
      </w:pPr>
      <w:r w:rsidRPr="0035377D">
        <w:t>and N. J. Dorn</w:t>
      </w:r>
      <w:r w:rsidRPr="0035377D">
        <w:rPr>
          <w:vertAlign w:val="superscript"/>
        </w:rPr>
        <w:t xml:space="preserve">2,4 </w:t>
      </w:r>
      <w:r w:rsidRPr="0035377D">
        <w:rPr>
          <w:rStyle w:val="normaltextrun"/>
          <w:color w:val="000000"/>
          <w:shd w:val="clear" w:color="auto" w:fill="FFFFFF"/>
        </w:rPr>
        <w:t>ORCID: 0000-0001-5516-0253</w:t>
      </w:r>
    </w:p>
    <w:p w14:paraId="55A0124D" w14:textId="77777777" w:rsidR="0035377D" w:rsidRPr="0035377D" w:rsidRDefault="0035377D" w:rsidP="0035377D">
      <w:pPr>
        <w:pStyle w:val="NATESTYLE1CommonCollege"/>
        <w:rPr>
          <w:rStyle w:val="normaltextrun"/>
          <w:color w:val="000000"/>
          <w:shd w:val="clear" w:color="auto" w:fill="FFFFFF"/>
        </w:rPr>
      </w:pPr>
    </w:p>
    <w:p w14:paraId="2F92F1FA" w14:textId="77777777" w:rsidR="0035377D" w:rsidRPr="0035377D" w:rsidRDefault="0035377D" w:rsidP="0035377D">
      <w:pPr>
        <w:pStyle w:val="NATESTYLE1CommonCollege"/>
      </w:pPr>
      <w:r w:rsidRPr="0035377D">
        <w:rPr>
          <w:vertAlign w:val="superscript"/>
        </w:rPr>
        <w:t>1</w:t>
      </w:r>
      <w:r w:rsidRPr="0035377D">
        <w:t xml:space="preserve"> Corresponding Author: Nathan T. Barrus, nbarrus1@gmail.com</w:t>
      </w:r>
    </w:p>
    <w:p w14:paraId="3359CCBA" w14:textId="77777777" w:rsidR="0035377D" w:rsidRPr="0035377D" w:rsidRDefault="0035377D" w:rsidP="0035377D">
      <w:pPr>
        <w:pStyle w:val="NATESTYLE1CommonCollege"/>
      </w:pPr>
      <w:r w:rsidRPr="0035377D">
        <w:rPr>
          <w:vertAlign w:val="superscript"/>
        </w:rPr>
        <w:t xml:space="preserve">2 </w:t>
      </w:r>
      <w:r w:rsidRPr="0035377D">
        <w:t>Institute of Environment and Dept. of Biological Sciences, Florida International University, Miami, FL, USA</w:t>
      </w:r>
      <w:r w:rsidRPr="0035377D">
        <w:rPr>
          <w:color w:val="111111"/>
          <w:shd w:val="clear" w:color="auto" w:fill="FFFFFF"/>
        </w:rPr>
        <w:t xml:space="preserve"> </w:t>
      </w:r>
    </w:p>
    <w:p w14:paraId="170FCB4C" w14:textId="77777777" w:rsidR="0035377D" w:rsidRPr="0035377D" w:rsidRDefault="0035377D" w:rsidP="0035377D">
      <w:pPr>
        <w:pStyle w:val="NATESTYLE1CommonCollege"/>
      </w:pPr>
      <w:r w:rsidRPr="0035377D">
        <w:rPr>
          <w:vertAlign w:val="superscript"/>
        </w:rPr>
        <w:t>3</w:t>
      </w:r>
      <w:r w:rsidRPr="0035377D">
        <w:t xml:space="preserve"> South Florida Water Management District. West Palm Beach, FL, USA</w:t>
      </w:r>
    </w:p>
    <w:p w14:paraId="53F6E046" w14:textId="77777777" w:rsidR="0035377D" w:rsidRPr="0035377D" w:rsidRDefault="0035377D" w:rsidP="0035377D">
      <w:pPr>
        <w:pStyle w:val="NATESTYLE1CommonCollege"/>
      </w:pPr>
      <w:r w:rsidRPr="0035377D">
        <w:rPr>
          <w:vertAlign w:val="superscript"/>
        </w:rPr>
        <w:t>4</w:t>
      </w:r>
      <w:r w:rsidRPr="0035377D">
        <w:t xml:space="preserve"> Department of Biological Sciences, Florida Atlantic University, Boca Raton, FL, USA</w:t>
      </w:r>
    </w:p>
    <w:p w14:paraId="64C33346" w14:textId="77777777" w:rsidR="0035377D" w:rsidRPr="0035377D" w:rsidRDefault="0035377D" w:rsidP="0035377D">
      <w:pPr>
        <w:pStyle w:val="NATESTYLE1CommonCollege"/>
        <w:spacing w:after="120"/>
      </w:pPr>
    </w:p>
    <w:p w14:paraId="27F2826A" w14:textId="3B0A63F0" w:rsidR="0035377D" w:rsidRDefault="006C6657">
      <w:pPr>
        <w:rPr>
          <w:rFonts w:ascii="Times New Roman" w:hAnsi="Times New Roman" w:cs="Times New Roman"/>
          <w:b/>
          <w:bCs/>
          <w:sz w:val="28"/>
          <w:szCs w:val="28"/>
        </w:rPr>
      </w:pPr>
      <w:r>
        <w:rPr>
          <w:rFonts w:ascii="Times New Roman" w:hAnsi="Times New Roman" w:cs="Times New Roman"/>
          <w:b/>
          <w:bCs/>
          <w:sz w:val="28"/>
          <w:szCs w:val="28"/>
        </w:rPr>
        <w:t>Supporting Information</w:t>
      </w:r>
    </w:p>
    <w:p w14:paraId="1CB2B5DE" w14:textId="77777777" w:rsidR="006C6657" w:rsidRDefault="006C6657">
      <w:pPr>
        <w:rPr>
          <w:rFonts w:ascii="Times New Roman" w:hAnsi="Times New Roman" w:cs="Times New Roman"/>
          <w:b/>
          <w:bCs/>
          <w:sz w:val="28"/>
          <w:szCs w:val="28"/>
        </w:rPr>
      </w:pPr>
    </w:p>
    <w:p w14:paraId="5071B334" w14:textId="7D299540" w:rsidR="006C6657" w:rsidRPr="006C6657" w:rsidRDefault="006C6657">
      <w:pPr>
        <w:rPr>
          <w:rFonts w:ascii="Times New Roman" w:hAnsi="Times New Roman" w:cs="Times New Roman"/>
          <w:i/>
          <w:iCs/>
          <w:sz w:val="24"/>
          <w:szCs w:val="24"/>
        </w:rPr>
      </w:pPr>
      <w:r w:rsidRPr="006C6657">
        <w:rPr>
          <w:rFonts w:ascii="Times New Roman" w:hAnsi="Times New Roman" w:cs="Times New Roman"/>
          <w:i/>
          <w:iCs/>
          <w:sz w:val="24"/>
          <w:szCs w:val="24"/>
        </w:rPr>
        <w:t>Model Simulations</w:t>
      </w:r>
      <w:r w:rsidR="00886044">
        <w:rPr>
          <w:rFonts w:ascii="Times New Roman" w:hAnsi="Times New Roman" w:cs="Times New Roman"/>
          <w:i/>
          <w:iCs/>
          <w:sz w:val="24"/>
          <w:szCs w:val="24"/>
        </w:rPr>
        <w:t xml:space="preserve"> and Isocline Development</w:t>
      </w:r>
    </w:p>
    <w:p w14:paraId="275261E3" w14:textId="4A2FC783" w:rsidR="0035377D" w:rsidRDefault="0035377D" w:rsidP="0035377D">
      <w:pPr>
        <w:pStyle w:val="NATESTYLE1CommonCollege"/>
        <w:jc w:val="both"/>
      </w:pPr>
      <w:r>
        <w:t>We</w:t>
      </w:r>
      <w:r w:rsidRPr="00524172">
        <w:t xml:space="preserve"> used a published stage-structured model called EVERSNAIL</w:t>
      </w:r>
      <w:r>
        <w:t xml:space="preserve"> </w:t>
      </w:r>
      <w:r>
        <w:fldChar w:fldCharType="begin" w:fldLock="1"/>
      </w:r>
      <w:r>
        <w:instrText xml:space="preserve"> ADDIN ZOTERO_ITEM CSL_CITATION {"citationID":"BZQbOlcS","properties":{"formattedCitation":"(Darby et al., 2015)","plainCitation":"(Darby et al., 2015)","noteIndex":0},"citationItems":[{"id":"nssAQcjc/JlQUXO7v","uris":["http://www.mendeley.com/documents/?uuid=4b3bcdb2-9cf1-4953-bac5-5a7bf31b077a"],"itemData":{"DOI":"10.1007/s10980-015-0205-5","ISSN":"15729761","abstract":"Context: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fldChar w:fldCharType="separate"/>
      </w:r>
      <w:r w:rsidRPr="00B41503">
        <w:t>(Darby et al., 2015)</w:t>
      </w:r>
      <w:r>
        <w:fldChar w:fldCharType="end"/>
      </w:r>
      <w:r w:rsidRPr="00524172">
        <w:t xml:space="preserve"> (hereafter referred to as ‘the population model’</w:t>
      </w:r>
      <w:r>
        <w:t>)</w:t>
      </w:r>
      <w:r w:rsidRPr="00524172">
        <w:t xml:space="preserve"> to identify juvenile survival and </w:t>
      </w:r>
      <w:r>
        <w:t>developmental rate</w:t>
      </w:r>
      <w:r w:rsidRPr="00524172">
        <w:t xml:space="preserve"> parameters that </w:t>
      </w:r>
      <w:r>
        <w:t>are</w:t>
      </w:r>
      <w:r w:rsidRPr="00524172">
        <w:t xml:space="preserve"> expected to produce growing populations of apple snails.</w:t>
      </w:r>
      <w:r>
        <w:t xml:space="preserve"> </w:t>
      </w:r>
      <w:r w:rsidRPr="00524172">
        <w:t xml:space="preserve">The population model was created to project population size across the extent of the Everglades and includes local scale sub-models that </w:t>
      </w:r>
      <w:r>
        <w:t>parameterize</w:t>
      </w:r>
      <w:r w:rsidRPr="00524172">
        <w:t xml:space="preserve"> life history </w:t>
      </w:r>
      <w:r>
        <w:t xml:space="preserve">(i.e., </w:t>
      </w:r>
      <w:r w:rsidRPr="00524172">
        <w:t xml:space="preserve">survival, </w:t>
      </w:r>
      <w:r>
        <w:t>developmental rates</w:t>
      </w:r>
      <w:r w:rsidRPr="00524172">
        <w:t>, and reproduction</w:t>
      </w:r>
      <w:r>
        <w:t>)</w:t>
      </w:r>
      <w:r w:rsidRPr="00524172">
        <w:t>.</w:t>
      </w:r>
      <w:r>
        <w:t xml:space="preserve"> </w:t>
      </w:r>
      <w:r w:rsidRPr="00524172">
        <w:lastRenderedPageBreak/>
        <w:t>The model projects age</w:t>
      </w:r>
      <w:r>
        <w:t>-</w:t>
      </w:r>
      <w:r w:rsidRPr="00524172">
        <w:t xml:space="preserve"> and size</w:t>
      </w:r>
      <w:r>
        <w:t>-</w:t>
      </w:r>
      <w:r w:rsidRPr="00524172">
        <w:t xml:space="preserve"> structure on a daily time step.</w:t>
      </w:r>
      <w:r>
        <w:t xml:space="preserve"> </w:t>
      </w:r>
      <w:r w:rsidRPr="00524172">
        <w:t>Survival during hydrological droughts and depth-dependent reproduction</w:t>
      </w:r>
      <w:r>
        <w:t xml:space="preserve"> tie the model</w:t>
      </w:r>
      <w:r w:rsidRPr="00524172">
        <w:t xml:space="preserve"> to hydrologic variation</w:t>
      </w:r>
      <w:r>
        <w:t xml:space="preserve"> </w:t>
      </w:r>
      <w:r w:rsidRPr="00524172">
        <w:fldChar w:fldCharType="begin" w:fldLock="1"/>
      </w:r>
      <w:r>
        <w:instrText xml:space="preserve"> ADDIN ZOTERO_ITEM CSL_CITATION {"citationID":"IFhdpBMo","properties":{"formattedCitation":"(Darby et al., 2015)","plainCitation":"(Darby et al., 2015)","noteIndex":0},"citationItems":[{"id":"nssAQcjc/JlQUXO7v","uris":["http://www.mendeley.com/documents/?uuid=4b3bcdb2-9cf1-4953-bac5-5a7bf31b077a"],"itemData":{"DOI":"10.1007/s10980-015-0205-5","ISSN":"15729761","abstract":"Context: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rsidRPr="00524172">
        <w:fldChar w:fldCharType="separate"/>
      </w:r>
      <w:r w:rsidRPr="00B41503">
        <w:t>(Darby et al., 2015)</w:t>
      </w:r>
      <w:r w:rsidRPr="00524172">
        <w:fldChar w:fldCharType="end"/>
      </w:r>
      <w:r w:rsidRPr="00524172">
        <w:t>.</w:t>
      </w:r>
      <w:r>
        <w:t xml:space="preserve"> </w:t>
      </w:r>
      <w:r w:rsidRPr="00524172">
        <w:t xml:space="preserve"> </w:t>
      </w:r>
      <w:r>
        <w:t xml:space="preserve">Depth and temperature data used in the population model from </w:t>
      </w:r>
      <w:r w:rsidRPr="00524172">
        <w:t>the Everglades was provided from the Everglades Depth Estimation Network</w:t>
      </w:r>
      <w:r>
        <w:t xml:space="preserve"> </w:t>
      </w:r>
      <w:r>
        <w:fldChar w:fldCharType="begin" w:fldLock="1"/>
      </w:r>
      <w:r>
        <w:instrText xml:space="preserve"> ADDIN ZOTERO_ITEM CSL_CITATION {"citationID":"neNTgcT8","properties":{"formattedCitation":"(Jones, 2015)","plainCitation":"(Jones, 2015)","dontUpdate":true,"noteIndex":0},"citationItems":[{"id":"nssAQcjc/irxCbQ7W","uris":["http://www.mendeley.com/documents/?uuid=4cb4da13-c336-4e5a-acd9-420fdd754145"],"itemData":{"DOI":"10.3390/rs70912503","ISSN":"20724292","abstract":"The U.S. Geological Survey is developing new Landsat science products. One, named Dynamic Surface Water Extent (DSWE), is focused on the representation of ground surface inundation as detected in cloud-/shadow-/snow-free pixels for scenes collected over the U.S. and its territories. Characterization of DSWE uncertainty to facilitate its appropriate use in science and resource management is a primary objective. A unique evaluation dataset developed from data made publicly available through the Everglades Depth Estimation Network (EDEN) was used to evaluate one candidate DSWE algorithm that is relatively simple, requires no scene-based calibration data, and is intended to detect inundation in the presence of marshland vegetation. A conceptual model of expected algorithm performance in vegetated wetland environments was postulated, tested and revised. Agreement scores were calculated at the level of scenes and vegetation communities, vegetation index classes, water depths, and individual EDEN gage sites for a variety of temporal aggregations. Landsat Archive cloud cover attribution errors were documented. Cloud cover had some effect on model performance. Error rates increased with vegetation cover. Relatively low error rates for locations of little/no vegetation were unexpectedly dominated by omission errors due to variable substrates and mixed pixel effects. Examined discrepancies between satellite and in situ modeled inundation demonstrated the utility of such comparisons for EDEN database improvement. Importantly, there seems no trend or bias in candidate algorithm performance as a function of time or general hydrologic conditions, an important finding for long-term monitoring. The developed database and knowledge gained from this analysis will be used for improved evaluation of candidate DSWE algorithms as well as other measurements made on Everglades surface inundation, surface water heights and vegetation using radar, lidar and hyperspectral instruments. Although no other sites have such an extensive in situ network or long-term records, the broader applicability of this and other candidate DSWE algorithms is being evaluated in other wetlands using this work as a guide. Continued interaction among DSWE producers and potential users will help determine whether the measured accuracies are adequate for practical utility in resource management.","author":[{"dropping-particle":"","family":"Jones","given":"John W.","non-dropping-particle":"","parse-names":false,"suffix":""}],"container-title":"Remote Sensing","id":"ITEM-1","issue":"9","issued":{"date-parts":[["2015"]]},"page":"12503-12538","title":"Efficient wetland surface water detection and monitoring via landsat: Comparison with in situ data from the everglades depth estimation network","type":"article-journal","volume":"7"}}],"schema":"https://github.com/citation-style-language/schema/raw/master/csl-citation.json"} </w:instrText>
      </w:r>
      <w:r>
        <w:fldChar w:fldCharType="separate"/>
      </w:r>
      <w:r w:rsidRPr="007954A5">
        <w:t>(</w:t>
      </w:r>
      <w:r>
        <w:t xml:space="preserve">EDEN; </w:t>
      </w:r>
      <w:r w:rsidRPr="007954A5">
        <w:t>Jones, 2015)</w:t>
      </w:r>
      <w:r>
        <w:fldChar w:fldCharType="end"/>
      </w:r>
      <w:r>
        <w:t xml:space="preserve"> </w:t>
      </w:r>
      <w:r w:rsidRPr="00524172">
        <w:t>and South Florida Water Management Districts online database (</w:t>
      </w:r>
      <w:proofErr w:type="spellStart"/>
      <w:r w:rsidRPr="00524172">
        <w:t>DBHydro</w:t>
      </w:r>
      <w:proofErr w:type="spellEnd"/>
      <w:r w:rsidRPr="00524172">
        <w:t xml:space="preserve">; </w:t>
      </w:r>
      <w:r w:rsidRPr="00323B89">
        <w:t>www.sfwmd.gov/science-data/dbhydro</w:t>
      </w:r>
      <w:r>
        <w:t>), respectively</w:t>
      </w:r>
      <w:r w:rsidRPr="00524172">
        <w:t>.</w:t>
      </w:r>
      <w:r>
        <w:t xml:space="preserve"> </w:t>
      </w:r>
      <w:r w:rsidRPr="00524172">
        <w:t xml:space="preserve">The population model was built with the best available understanding of </w:t>
      </w:r>
      <w:r>
        <w:rPr>
          <w:iCs/>
        </w:rPr>
        <w:t>the Florida Apple Snail</w:t>
      </w:r>
      <w:r w:rsidRPr="00524172">
        <w:t xml:space="preserve"> life history and </w:t>
      </w:r>
      <w:r>
        <w:t xml:space="preserve">includes life history </w:t>
      </w:r>
      <w:r w:rsidRPr="00524172">
        <w:t>responses to hydrologic variation</w:t>
      </w:r>
      <w:r>
        <w:t>.</w:t>
      </w:r>
    </w:p>
    <w:p w14:paraId="1E821922" w14:textId="065E296F" w:rsidR="0035377D" w:rsidRPr="00524172" w:rsidRDefault="0035377D" w:rsidP="0035377D">
      <w:pPr>
        <w:pStyle w:val="NATESTYLE1CommonCollege"/>
        <w:ind w:firstLine="720"/>
        <w:jc w:val="both"/>
      </w:pPr>
      <w:r>
        <w:t xml:space="preserve">We </w:t>
      </w:r>
      <w:r w:rsidRPr="00524172">
        <w:t xml:space="preserve">wanted to use the model </w:t>
      </w:r>
      <w:r>
        <w:t>to examine</w:t>
      </w:r>
      <w:r w:rsidRPr="00524172">
        <w:t xml:space="preserve"> individual juvenile stage parameters and </w:t>
      </w:r>
      <w:r>
        <w:t>at a local scale, so</w:t>
      </w:r>
      <w:r w:rsidRPr="00524172">
        <w:t xml:space="preserve"> </w:t>
      </w:r>
      <w:r>
        <w:t xml:space="preserve">we </w:t>
      </w:r>
      <w:r w:rsidRPr="00524172">
        <w:t>re-coded the population model for research in R version 4.0.3 using the parameter details found in the supplement</w:t>
      </w:r>
      <w:r>
        <w:t xml:space="preserve"> </w:t>
      </w:r>
      <w:r w:rsidRPr="00524172">
        <w:fldChar w:fldCharType="begin" w:fldLock="1"/>
      </w:r>
      <w:r>
        <w:instrText xml:space="preserve"> ADDIN ZOTERO_ITEM CSL_CITATION {"citationID":"TzLYTx4Z","properties":{"formattedCitation":"(Darby et al., 2015)","plainCitation":"(Darby et al., 2015)","noteIndex":0},"citationItems":[{"id":"nssAQcjc/JlQUXO7v","uris":["http://www.mendeley.com/documents/?uuid=4b3bcdb2-9cf1-4953-bac5-5a7bf31b077a"],"itemData":{"DOI":"10.1007/s10980-015-0205-5","ISSN":"15729761","abstract":"Context: The Florida Everglades has diminished in size and its existing wetland hydrology has been altered. The endangered snail kite (Rostrhamus sociabilis) has nearly abandoned the Everglades, and its prey, the apple snail (Pomacea paludosa), has declined. Objective: We developed a population model (EverSnail) to understand apple snail response to inter- and intra-annual fluctuations in water depths over the Everglades landscape. EverSnail was developed as a tool to understand how apple snails respond to different hydrologic scenarios. Methods: EverSnail is an age- and size-structured, spatially-explicit landscape model of P. paludosa in the Everglades. Landscape-level inputs are water depth and air temperature. We conducted sensitivity analyses by running EverSnail with ±20 % the baseline value of eight parameters. Results: EverSnail was sensitive to changes in survival and water depth associated with reproduction. The EverSnail population varied with changes and/or differences in depth generally consistent with empirical data; site-specific comparisons to field data proved less reliable. A simulated 3-year wet period resulted in a shift in apple snail distribution, but little change in total abundance over the landscape. In contrast, a simulated 3-year succession of relatively dry years resulted in overall lower snail abundances. Conclusions: Comparisons of model output to empirical data indicate the need for more data to better understand, and eventually parameterize, several aspects of snail ecology in support of EverSnail. A primary value of EverSnail is its capacity to describe the relative response of snail abundance to alternative hydrologic scenarios considered for Everglades water management and restoration.","author":[{"dropping-particle":"","family":"Darby","given":"Philip C.","non-dropping-particle":"","parse-names":false,"suffix":""},{"dropping-particle":"","family":"DeAngelis","given":"Donald L.","non-dropping-particle":"","parse-names":false,"suffix":""},{"dropping-particle":"","family":"Romañach","given":"Stephanie S.","non-dropping-particle":"","parse-names":false,"suffix":""},{"dropping-particle":"","family":"Suir","given":"Kevin","non-dropping-particle":"","parse-names":false,"suffix":""},{"dropping-particle":"","family":"Bridevaux","given":"Joshua","non-dropping-particle":"","parse-names":false,"suffix":""}],"container-title":"Landscape Ecology","id":"ITEM-1","issue":"8","issued":{"date-parts":[["2015"]]},"page":"1497-1510","title":"Modeling apple snail population dynamics on the Everglades landscape","type":"article-journal","volume":"30"}}],"schema":"https://github.com/citation-style-language/schema/raw/master/csl-citation.json"} </w:instrText>
      </w:r>
      <w:r w:rsidRPr="00524172">
        <w:fldChar w:fldCharType="separate"/>
      </w:r>
      <w:r w:rsidRPr="00B41503">
        <w:t>(Darby et al., 2015)</w:t>
      </w:r>
      <w:r w:rsidRPr="00524172">
        <w:fldChar w:fldCharType="end"/>
      </w:r>
      <w:r>
        <w:t>.</w:t>
      </w:r>
      <w:r w:rsidRPr="00524172">
        <w:t xml:space="preserve"> While most of the parameters were left as described by the original model (Table S1.1)</w:t>
      </w:r>
      <w:r>
        <w:t>,</w:t>
      </w:r>
      <w:r w:rsidRPr="00524172">
        <w:t xml:space="preserve"> two parameters were altered.</w:t>
      </w:r>
      <w:r>
        <w:t xml:space="preserve"> </w:t>
      </w:r>
      <w:r w:rsidRPr="00524172">
        <w:t>First, the number of egg masses produced per female was changed by standardizing reproductive effort across the life span of a female snail.</w:t>
      </w:r>
      <w:r>
        <w:t xml:space="preserve"> </w:t>
      </w:r>
      <w:r w:rsidRPr="00524172">
        <w:t>A maximum number of egg masses that a female can produce was discussed in a large unpublished review of apple snail ecology</w:t>
      </w:r>
      <w:r>
        <w:t xml:space="preserve"> </w:t>
      </w:r>
      <w:r w:rsidRPr="00524172">
        <w:fldChar w:fldCharType="begin" w:fldLock="1"/>
      </w:r>
      <w:r>
        <w:instrText xml:space="preserve"> ADDIN ZOTERO_ITEM CSL_CITATION {"citationID":"6wWr5JkZ","properties":{"formattedCitation":"(Pomacea Project, 2013)","plainCitation":"(Pomacea Project, 2013)","noteIndex":0},"citationItems":[{"id":"nssAQcjc/DLaoK2ta","uris":["http://www.mendeley.com/documents/?uuid=6e9ba5b5-5e27-4622-b29a-a9db3a48b6cb"],"itemData":{"author":[{"dropping-particle":"","family":"Pomacea Project","given":"Inc.","non-dropping-particle":"","parse-names":false,"suffix":""}],"container-title":"Final.Report Submitted to National Park Service, Everglades National Park, by The Pomacea Project, Inc., Pensacola, Florida","id":"ITEM-1","issued":{"date-parts":[["2013"]]},"title":"Literature Review of Florida Apple Snails and Snail Kites , and Recommendations for their Adaptive Management","type":"article-journal"}}],"schema":"https://github.com/citation-style-language/schema/raw/master/csl-citation.json"} </w:instrText>
      </w:r>
      <w:r w:rsidRPr="00524172">
        <w:fldChar w:fldCharType="separate"/>
      </w:r>
      <w:r w:rsidRPr="00B41503">
        <w:t>(Pomacea Project, 2013)</w:t>
      </w:r>
      <w:r w:rsidRPr="00524172">
        <w:fldChar w:fldCharType="end"/>
      </w:r>
      <w:r w:rsidRPr="00524172">
        <w:t>; to standardize reproductive output, the population model’s current parameter (Mass Size) was multiplied by the maximum number of egg masses a female can lay and then divided by the life span of the female (500 days in the model).</w:t>
      </w:r>
      <w:r>
        <w:t xml:space="preserve"> </w:t>
      </w:r>
      <w:r w:rsidRPr="00524172">
        <w:t xml:space="preserve">Second, </w:t>
      </w:r>
      <w:r>
        <w:t>we</w:t>
      </w:r>
      <w:r w:rsidRPr="00524172">
        <w:t xml:space="preserve"> removed the carrying capacity from the model </w:t>
      </w:r>
      <w:r>
        <w:t>to examine</w:t>
      </w:r>
      <w:r w:rsidRPr="00524172">
        <w:t xml:space="preserve"> what parameter value</w:t>
      </w:r>
      <w:r>
        <w:t xml:space="preserve">s allow </w:t>
      </w:r>
      <w:r w:rsidRPr="00524172">
        <w:t xml:space="preserve">the population to increase. </w:t>
      </w:r>
    </w:p>
    <w:p w14:paraId="000AF4C3" w14:textId="77777777" w:rsidR="0035377D" w:rsidRPr="00524172" w:rsidRDefault="0035377D" w:rsidP="0035377D">
      <w:pPr>
        <w:pStyle w:val="NATESTYLE1CommonCollege"/>
        <w:ind w:firstLine="720"/>
        <w:jc w:val="both"/>
      </w:pPr>
      <w:r w:rsidRPr="00524172">
        <w:t xml:space="preserve">Four parameters were used to model </w:t>
      </w:r>
      <w:r>
        <w:t>developmental rates</w:t>
      </w:r>
      <w:r w:rsidRPr="00524172">
        <w:t xml:space="preserve"> and juvenile survival.</w:t>
      </w:r>
      <w:r>
        <w:t xml:space="preserve"> Developmental rates were determined by the parameter </w:t>
      </w:r>
      <w:proofErr w:type="spellStart"/>
      <w:r w:rsidRPr="00524172">
        <w:t>k</w:t>
      </w:r>
      <w:r w:rsidRPr="00524172">
        <w:rPr>
          <w:vertAlign w:val="subscript"/>
        </w:rPr>
        <w:t>growth</w:t>
      </w:r>
      <w:proofErr w:type="spellEnd"/>
      <w:r w:rsidRPr="00524172">
        <w:rPr>
          <w:vertAlign w:val="subscript"/>
        </w:rPr>
        <w:t xml:space="preserve"> </w:t>
      </w:r>
      <w:r>
        <w:t>and</w:t>
      </w:r>
      <w:r w:rsidRPr="00524172">
        <w:t xml:space="preserve"> assumes size</w:t>
      </w:r>
      <w:r>
        <w:t>-</w:t>
      </w:r>
      <w:r w:rsidRPr="00524172">
        <w:t xml:space="preserve"> dependen</w:t>
      </w:r>
      <w:r>
        <w:t>ce</w:t>
      </w:r>
      <w:r w:rsidRPr="00524172">
        <w:t>.</w:t>
      </w:r>
      <w:r>
        <w:t xml:space="preserve"> </w:t>
      </w:r>
      <w:r w:rsidRPr="00524172">
        <w:t xml:space="preserve">The initial parameter estimate for </w:t>
      </w:r>
      <w:proofErr w:type="spellStart"/>
      <w:r w:rsidRPr="00524172">
        <w:t>k</w:t>
      </w:r>
      <w:r w:rsidRPr="00524172">
        <w:rPr>
          <w:vertAlign w:val="subscript"/>
        </w:rPr>
        <w:t>growth</w:t>
      </w:r>
      <w:proofErr w:type="spellEnd"/>
      <w:r w:rsidRPr="00524172">
        <w:t xml:space="preserve"> in the population model was 0.05. There were three parameters (Surv</w:t>
      </w:r>
      <w:r w:rsidRPr="00524172">
        <w:rPr>
          <w:vertAlign w:val="subscript"/>
        </w:rPr>
        <w:t>1</w:t>
      </w:r>
      <w:r w:rsidRPr="00524172">
        <w:t>, Surv</w:t>
      </w:r>
      <w:r w:rsidRPr="00524172">
        <w:rPr>
          <w:vertAlign w:val="subscript"/>
        </w:rPr>
        <w:t>2</w:t>
      </w:r>
      <w:r w:rsidRPr="00524172">
        <w:t xml:space="preserve"> and Surv</w:t>
      </w:r>
      <w:r w:rsidRPr="00524172">
        <w:rPr>
          <w:vertAlign w:val="subscript"/>
        </w:rPr>
        <w:t>3</w:t>
      </w:r>
      <w:r w:rsidRPr="00524172">
        <w:t xml:space="preserve">) </w:t>
      </w:r>
      <w:r>
        <w:t>that determined</w:t>
      </w:r>
      <w:r w:rsidRPr="00524172">
        <w:t xml:space="preserve"> juvenile survival during wet condition </w:t>
      </w:r>
      <w:r>
        <w:t xml:space="preserve">and were </w:t>
      </w:r>
      <w:r w:rsidRPr="00524172">
        <w:t>based on size classes (Surv</w:t>
      </w:r>
      <w:r w:rsidRPr="00524172">
        <w:rPr>
          <w:vertAlign w:val="subscript"/>
        </w:rPr>
        <w:t>1</w:t>
      </w:r>
      <w:r w:rsidRPr="00524172">
        <w:t xml:space="preserve"> = 3-6 mm, Surv</w:t>
      </w:r>
      <w:r w:rsidRPr="00524172">
        <w:rPr>
          <w:vertAlign w:val="subscript"/>
        </w:rPr>
        <w:t>2</w:t>
      </w:r>
      <w:r w:rsidRPr="00524172">
        <w:t>= 6-10 mm, Surv</w:t>
      </w:r>
      <w:r w:rsidRPr="00524172">
        <w:rPr>
          <w:vertAlign w:val="subscript"/>
        </w:rPr>
        <w:t>3</w:t>
      </w:r>
      <w:r w:rsidRPr="00524172">
        <w:t xml:space="preserve"> = 10-16 mm SL)</w:t>
      </w:r>
      <w:r>
        <w:t>. A</w:t>
      </w:r>
      <w:r w:rsidRPr="00524172">
        <w:t xml:space="preserve"> fourth rate </w:t>
      </w:r>
      <w:r>
        <w:t xml:space="preserve">was used </w:t>
      </w:r>
      <w:r w:rsidRPr="00524172">
        <w:lastRenderedPageBreak/>
        <w:t>for large juvenile and adult snails (Surv</w:t>
      </w:r>
      <w:r w:rsidRPr="00524172">
        <w:rPr>
          <w:vertAlign w:val="subscript"/>
        </w:rPr>
        <w:t xml:space="preserve">4 </w:t>
      </w:r>
      <w:r w:rsidRPr="00524172">
        <w:t>&gt; 16 mm SL).</w:t>
      </w:r>
      <w:r>
        <w:t xml:space="preserve"> </w:t>
      </w:r>
      <w:r w:rsidRPr="00524172">
        <w:t>Under the parameters in the population model, survival through the juvenile stage (3-16 mm SL) was constantly high (98.7% · day</w:t>
      </w:r>
      <w:r w:rsidRPr="00524172">
        <w:rPr>
          <w:vertAlign w:val="superscript"/>
        </w:rPr>
        <w:t>-1</w:t>
      </w:r>
      <w:r w:rsidRPr="00524172">
        <w:t>).</w:t>
      </w:r>
      <w:r>
        <w:t xml:space="preserve"> </w:t>
      </w:r>
      <w:r w:rsidRPr="00524172">
        <w:t>Survival slightly increased after snails reached 16 mm SL (99.0% · day</w:t>
      </w:r>
      <w:r w:rsidRPr="00524172">
        <w:rPr>
          <w:vertAlign w:val="superscript"/>
        </w:rPr>
        <w:t>-1</w:t>
      </w:r>
      <w:r w:rsidRPr="00524172">
        <w:t xml:space="preserve">) and remained constant until the snails reached 500 days when survival declined to 0 </w:t>
      </w:r>
      <w:r>
        <w:t>reflecting adult senescence (Hanning, 1979)</w:t>
      </w:r>
      <w:r w:rsidRPr="00524172">
        <w:t>.</w:t>
      </w:r>
      <w:r>
        <w:t xml:space="preserve"> </w:t>
      </w:r>
      <w:r w:rsidRPr="00524172">
        <w:t xml:space="preserve">Alternate survival parameters were included in the population model for conditions of hydrological drought (dry sediment surfaces in the dry season), but the drought parameters were not important for our simulations. </w:t>
      </w:r>
    </w:p>
    <w:p w14:paraId="3F5C944A" w14:textId="77777777" w:rsidR="0035377D" w:rsidRPr="00524172" w:rsidRDefault="0035377D" w:rsidP="0035377D">
      <w:pPr>
        <w:pStyle w:val="NATESTYLE1CommonCollege"/>
        <w:ind w:firstLine="720"/>
        <w:jc w:val="both"/>
      </w:pPr>
      <w:r w:rsidRPr="00524172">
        <w:t>To determine growth and survival parameters that controlled population growth,</w:t>
      </w:r>
      <w:r>
        <w:t xml:space="preserve"> we</w:t>
      </w:r>
      <w:r w:rsidRPr="00524172">
        <w:t xml:space="preserve"> calculated population growth through combinatorial re-assessments with different values under </w:t>
      </w:r>
      <w:r>
        <w:t>two different</w:t>
      </w:r>
      <w:r w:rsidRPr="00524172">
        <w:t xml:space="preserve"> hydrologic</w:t>
      </w:r>
      <w:r>
        <w:t xml:space="preserve"> </w:t>
      </w:r>
      <w:r w:rsidRPr="00524172">
        <w:t xml:space="preserve">regimes. </w:t>
      </w:r>
      <w:r>
        <w:t xml:space="preserve">We </w:t>
      </w:r>
      <w:r w:rsidRPr="00524172">
        <w:t>chose the wet condition parameters for survival to make the simulations most representative of the sloughs in the ridge-slough landscape.</w:t>
      </w:r>
      <w:r>
        <w:t xml:space="preserve"> </w:t>
      </w:r>
      <w:r w:rsidRPr="00524172">
        <w:t xml:space="preserve"> Before </w:t>
      </w:r>
      <w:r>
        <w:t>we</w:t>
      </w:r>
      <w:r w:rsidRPr="00524172">
        <w:t xml:space="preserve"> started simulations aimed at varying </w:t>
      </w:r>
      <w:r>
        <w:t>developmental rate</w:t>
      </w:r>
      <w:r w:rsidRPr="00524172">
        <w:t xml:space="preserve"> and survival parameters under different hydrologic</w:t>
      </w:r>
      <w:r>
        <w:t xml:space="preserve"> </w:t>
      </w:r>
      <w:r w:rsidRPr="00524172">
        <w:t xml:space="preserve">regimes, </w:t>
      </w:r>
      <w:r>
        <w:t>we o</w:t>
      </w:r>
      <w:r w:rsidRPr="00524172">
        <w:t>btain</w:t>
      </w:r>
      <w:r>
        <w:t>ed</w:t>
      </w:r>
      <w:r w:rsidRPr="00524172">
        <w:t xml:space="preserve"> an initial population size </w:t>
      </w:r>
      <w:r>
        <w:t>with</w:t>
      </w:r>
      <w:r w:rsidRPr="00524172">
        <w:t xml:space="preserve"> a stable size structure</w:t>
      </w:r>
      <w:r>
        <w:t>. We ran the model using the model’s original developmental rate and survival parameters for</w:t>
      </w:r>
      <w:r w:rsidRPr="00524172">
        <w:t xml:space="preserve"> </w:t>
      </w:r>
      <w:r>
        <w:t xml:space="preserve">ten </w:t>
      </w:r>
      <w:r w:rsidRPr="00524172">
        <w:t>year</w:t>
      </w:r>
      <w:r>
        <w:t xml:space="preserve">s of repeated </w:t>
      </w:r>
      <w:r w:rsidRPr="00524172">
        <w:t xml:space="preserve">depth </w:t>
      </w:r>
      <w:r>
        <w:t>and temperature data</w:t>
      </w:r>
      <w:r w:rsidRPr="00524172">
        <w:t xml:space="preserve"> (January 1</w:t>
      </w:r>
      <w:r w:rsidRPr="00524172">
        <w:rPr>
          <w:vertAlign w:val="superscript"/>
        </w:rPr>
        <w:t>st</w:t>
      </w:r>
      <w:r w:rsidRPr="00524172">
        <w:t xml:space="preserve"> to December 31</w:t>
      </w:r>
      <w:r w:rsidRPr="00524172">
        <w:rPr>
          <w:vertAlign w:val="superscript"/>
        </w:rPr>
        <w:t>st</w:t>
      </w:r>
      <w:r w:rsidRPr="00524172">
        <w:t>, 2020)</w:t>
      </w:r>
      <w:r>
        <w:t>.</w:t>
      </w:r>
      <w:r w:rsidRPr="00524172">
        <w:t xml:space="preserve"> </w:t>
      </w:r>
      <w:r>
        <w:t xml:space="preserve">The hydrologic data was </w:t>
      </w:r>
      <w:r w:rsidRPr="00524172">
        <w:t xml:space="preserve">taken from DBHYDRO’s depth transponder in LILA’s wetland M2, and </w:t>
      </w:r>
      <w:r>
        <w:t>the</w:t>
      </w:r>
      <w:r w:rsidRPr="00524172">
        <w:t xml:space="preserve"> air temperature data </w:t>
      </w:r>
      <w:r>
        <w:t xml:space="preserve">was </w:t>
      </w:r>
      <w:r w:rsidRPr="00524172">
        <w:t>taken from the transponder nearest to LILA in West Palm Beach, FL (transponder coordinates: 26.6548⁰N, 80.0669⁰W).</w:t>
      </w:r>
      <w:r>
        <w:t xml:space="preserve"> We </w:t>
      </w:r>
      <w:r w:rsidRPr="00524172">
        <w:t xml:space="preserve">tested differences between three starting hatchling numbers (100, 1000, and 10000 hatchlings), but starting </w:t>
      </w:r>
      <w:r>
        <w:t>numbers</w:t>
      </w:r>
      <w:r w:rsidRPr="00524172">
        <w:t xml:space="preserve"> did not influence population growth.</w:t>
      </w:r>
      <w:r>
        <w:t xml:space="preserve"> </w:t>
      </w:r>
    </w:p>
    <w:p w14:paraId="5DB19E3E" w14:textId="32D41FE1" w:rsidR="0035377D" w:rsidRPr="00524172" w:rsidRDefault="0035377D" w:rsidP="0035377D">
      <w:pPr>
        <w:pStyle w:val="NATESTYLE1CommonCollege"/>
        <w:ind w:firstLine="720"/>
        <w:jc w:val="both"/>
      </w:pPr>
      <w:r w:rsidRPr="00524172">
        <w:t xml:space="preserve">Following this 10-year simulation to </w:t>
      </w:r>
      <w:r>
        <w:t xml:space="preserve">establish </w:t>
      </w:r>
      <w:r w:rsidRPr="00524172">
        <w:t xml:space="preserve">a stable size structure, </w:t>
      </w:r>
      <w:r>
        <w:t>we</w:t>
      </w:r>
      <w:r w:rsidRPr="00524172">
        <w:t xml:space="preserve"> </w:t>
      </w:r>
      <w:r>
        <w:t>introduced</w:t>
      </w:r>
      <w:r w:rsidRPr="00524172">
        <w:t xml:space="preserve"> </w:t>
      </w:r>
      <w:r>
        <w:t>two</w:t>
      </w:r>
      <w:r w:rsidRPr="00524172">
        <w:t xml:space="preserve"> different</w:t>
      </w:r>
      <w:r>
        <w:t xml:space="preserve"> </w:t>
      </w:r>
      <w:r w:rsidRPr="00524172">
        <w:t xml:space="preserve">hydrologic regimes </w:t>
      </w:r>
      <w:r>
        <w:t>repeated for 5 years</w:t>
      </w:r>
      <w:r w:rsidRPr="00524172">
        <w:t xml:space="preserve"> that varied in </w:t>
      </w:r>
      <w:r>
        <w:t>depth-dependent egg-laying conditions.  First,</w:t>
      </w:r>
      <w:r w:rsidRPr="00524172">
        <w:t xml:space="preserve"> </w:t>
      </w:r>
      <w:r>
        <w:t>we</w:t>
      </w:r>
      <w:r w:rsidRPr="00524172">
        <w:t xml:space="preserve"> </w:t>
      </w:r>
      <w:r>
        <w:t>used the poor reproduction hydrologic conditions from LILA</w:t>
      </w:r>
      <w:r w:rsidRPr="00524172">
        <w:t xml:space="preserve"> that </w:t>
      </w:r>
      <w:r>
        <w:t>wa</w:t>
      </w:r>
      <w:r w:rsidRPr="00524172">
        <w:t xml:space="preserve">s deeper </w:t>
      </w:r>
      <w:r w:rsidRPr="00524172">
        <w:lastRenderedPageBreak/>
        <w:t>in the wet season of 2020</w:t>
      </w:r>
      <w:r>
        <w:t xml:space="preserve">  (Figure 2A</w:t>
      </w:r>
      <w:r>
        <w:fldChar w:fldCharType="begin"/>
      </w:r>
      <w:r>
        <w:instrText xml:space="preserve"> ADDIN ZOTERO_ITEM CSL_CITATION {"citationID":"qQ06rv6E","properties":{"formattedCitation":"(Barrus et al., 2023)","plainCitation":"(Barrus et al., 2023)","dontUpdate":true,"noteIndex":0},"citationItems":[{"id":"nssAQcjc/WxlXbRNk","uris":["http://zotero.org/users/9972654/items/9V6IVCYY"],"itemData":{"id":1226,"type":"article-journal","container-title":"Hydrobiologia","language":"en","license":"All rights reserved","source":"Zotero","title":"Life history responses of two co-occurring congeneric Apple Snails (Pomacea maculata and P. paludosa) to variation in water depth and metaphyton total phosphorus","author":[{"family":"Barrus","given":"Nathan T."},{"family":"Drumheller","given":"Danielle"},{"family":"Cook","given":"Mark I."},{"family":"Dorn","given":"Nathan J."}],"issued":{"date-parts":[["2023"]]}}}],"schema":"https://github.com/citation-style-language/schema/raw/master/csl-citation.json"} </w:instrText>
      </w:r>
      <w:r>
        <w:fldChar w:fldCharType="separate"/>
      </w:r>
      <w:r w:rsidRPr="00280198">
        <w:t>)</w:t>
      </w:r>
      <w:r>
        <w:fldChar w:fldCharType="end"/>
      </w:r>
      <w:r w:rsidRPr="00524172">
        <w:t xml:space="preserve">. Next, (2) </w:t>
      </w:r>
      <w:r>
        <w:t>we</w:t>
      </w:r>
      <w:r w:rsidRPr="00524172">
        <w:t xml:space="preserve"> </w:t>
      </w:r>
      <w:r>
        <w:t xml:space="preserve">used the good reproduction conditions (Figure 2A).  The model runs with poor and good reproduction hydrographs were both conducted using natural temperature regimes taken from </w:t>
      </w:r>
      <w:r w:rsidRPr="00524172">
        <w:t>West Palm Beach, FL</w:t>
      </w:r>
      <w:r>
        <w:t xml:space="preserve"> </w:t>
      </w:r>
      <w:r w:rsidRPr="00F0766B">
        <w:t>(Appendix 1)</w:t>
      </w:r>
      <w:r>
        <w:t xml:space="preserve">.  </w:t>
      </w:r>
    </w:p>
    <w:p w14:paraId="0210A351" w14:textId="77777777" w:rsidR="0035377D" w:rsidRPr="00524172" w:rsidRDefault="0035377D" w:rsidP="0035377D">
      <w:pPr>
        <w:pStyle w:val="NATESTYLE1CommonCollege"/>
        <w:ind w:firstLine="720"/>
        <w:jc w:val="both"/>
      </w:pPr>
      <w:r w:rsidRPr="00524172">
        <w:t xml:space="preserve">Under each hydrological regime, simulations were </w:t>
      </w:r>
      <w:r>
        <w:t>conducted</w:t>
      </w:r>
      <w:r w:rsidRPr="00524172">
        <w:t xml:space="preserve"> under differ</w:t>
      </w:r>
      <w:r>
        <w:t>ent</w:t>
      </w:r>
      <w:r w:rsidRPr="00524172">
        <w:t xml:space="preserve"> combinations of the parameters </w:t>
      </w:r>
      <w:proofErr w:type="spellStart"/>
      <w:r w:rsidRPr="00524172">
        <w:t>k</w:t>
      </w:r>
      <w:r w:rsidRPr="00524172">
        <w:rPr>
          <w:vertAlign w:val="subscript"/>
        </w:rPr>
        <w:t>growth</w:t>
      </w:r>
      <w:proofErr w:type="spellEnd"/>
      <w:r w:rsidRPr="00524172">
        <w:t>, Surv</w:t>
      </w:r>
      <w:r w:rsidRPr="00524172">
        <w:rPr>
          <w:vertAlign w:val="subscript"/>
        </w:rPr>
        <w:t>1</w:t>
      </w:r>
      <w:r w:rsidRPr="00524172">
        <w:t>, and Surv</w:t>
      </w:r>
      <w:r w:rsidRPr="00524172">
        <w:rPr>
          <w:vertAlign w:val="subscript"/>
        </w:rPr>
        <w:t>2</w:t>
      </w:r>
      <w:r w:rsidRPr="00524172">
        <w:t>.</w:t>
      </w:r>
      <w:r>
        <w:t xml:space="preserve"> </w:t>
      </w:r>
      <w:proofErr w:type="spellStart"/>
      <w:r w:rsidRPr="00524172">
        <w:t>k</w:t>
      </w:r>
      <w:r w:rsidRPr="00524172">
        <w:rPr>
          <w:vertAlign w:val="subscript"/>
        </w:rPr>
        <w:t>growth</w:t>
      </w:r>
      <w:proofErr w:type="spellEnd"/>
      <w:r w:rsidRPr="00524172">
        <w:t xml:space="preserve"> values were allowed to vary from 0.01 to 0.09 using increments of 0.005 and the </w:t>
      </w:r>
      <w:r>
        <w:t>two small</w:t>
      </w:r>
      <w:r w:rsidRPr="00524172">
        <w:t xml:space="preserve"> juvenile survival parameters for wet conditions were decreased by 5%, 10% 15%, 20%, 30% and 40% of the starting values (0.987 day</w:t>
      </w:r>
      <w:r w:rsidRPr="00524172">
        <w:rPr>
          <w:vertAlign w:val="superscript"/>
        </w:rPr>
        <w:t>-1</w:t>
      </w:r>
      <w:r w:rsidRPr="00524172">
        <w:t>).</w:t>
      </w:r>
      <w:r>
        <w:t xml:space="preserve"> </w:t>
      </w:r>
      <w:r w:rsidRPr="00524172">
        <w:t xml:space="preserve">Simulations were run under all combinations of the variations in the </w:t>
      </w:r>
      <w:r>
        <w:t>three</w:t>
      </w:r>
      <w:r w:rsidRPr="00524172">
        <w:t xml:space="preserve"> parameters (</w:t>
      </w:r>
      <w:proofErr w:type="spellStart"/>
      <w:r w:rsidRPr="00524172">
        <w:t>n</w:t>
      </w:r>
      <w:r w:rsidRPr="00524172">
        <w:rPr>
          <w:vertAlign w:val="subscript"/>
        </w:rPr>
        <w:t>simulations</w:t>
      </w:r>
      <w:proofErr w:type="spellEnd"/>
      <w:r w:rsidRPr="00524172">
        <w:t xml:space="preserve"> = 833 per </w:t>
      </w:r>
      <w:r>
        <w:t>hydrologic</w:t>
      </w:r>
      <w:r w:rsidRPr="00524172">
        <w:t xml:space="preserve"> regime).</w:t>
      </w:r>
      <w:r>
        <w:t xml:space="preserve"> </w:t>
      </w:r>
      <w:r w:rsidRPr="00524172">
        <w:t>The population size on every simulated February 1</w:t>
      </w:r>
      <w:r w:rsidRPr="00524172">
        <w:rPr>
          <w:vertAlign w:val="superscript"/>
        </w:rPr>
        <w:t>st</w:t>
      </w:r>
      <w:r w:rsidRPr="00524172">
        <w:t xml:space="preserve"> was taken to calculate an annual population growth rate (e.g., </w:t>
      </w:r>
      <w:proofErr w:type="spellStart"/>
      <w:r w:rsidRPr="00524172">
        <w:t>λ</w:t>
      </w:r>
      <w:r w:rsidRPr="00524172">
        <w:rPr>
          <w:vertAlign w:val="subscript"/>
        </w:rPr>
        <w:t>i</w:t>
      </w:r>
      <w:proofErr w:type="spellEnd"/>
      <w:r w:rsidRPr="00524172">
        <w:t xml:space="preserve"> = N</w:t>
      </w:r>
      <w:r w:rsidRPr="00524172">
        <w:rPr>
          <w:vertAlign w:val="subscript"/>
        </w:rPr>
        <w:t>i</w:t>
      </w:r>
      <w:r w:rsidRPr="00524172">
        <w:t>/N</w:t>
      </w:r>
      <w:r w:rsidRPr="00524172">
        <w:rPr>
          <w:vertAlign w:val="subscript"/>
        </w:rPr>
        <w:t>i+1</w:t>
      </w:r>
      <w:r w:rsidRPr="00524172">
        <w:t xml:space="preserve">; where </w:t>
      </w:r>
      <w:proofErr w:type="spellStart"/>
      <w:r w:rsidRPr="00524172">
        <w:t>i</w:t>
      </w:r>
      <w:proofErr w:type="spellEnd"/>
      <w:r w:rsidRPr="00524172">
        <w:t xml:space="preserve"> = year).</w:t>
      </w:r>
      <w:r>
        <w:t xml:space="preserve"> </w:t>
      </w:r>
      <w:r w:rsidRPr="00524172">
        <w:t>February 1</w:t>
      </w:r>
      <w:r w:rsidRPr="00524172">
        <w:rPr>
          <w:vertAlign w:val="superscript"/>
        </w:rPr>
        <w:t xml:space="preserve">st </w:t>
      </w:r>
      <w:r w:rsidRPr="00524172">
        <w:softHyphen/>
        <w:t xml:space="preserve">was used because it corresponded to the day when the population model initiates the reproductive season. The geometric </w:t>
      </w:r>
      <w:r>
        <w:t>mean</w:t>
      </w:r>
      <w:r w:rsidRPr="00524172">
        <w:t xml:space="preserve"> of the annual population growth rate</w:t>
      </w:r>
      <w:r>
        <w:t>s</w:t>
      </w:r>
      <w:r w:rsidRPr="00524172">
        <w:t xml:space="preserve"> over 5 years was taken to obtain a </w:t>
      </w:r>
      <w:proofErr w:type="spellStart"/>
      <w:r w:rsidRPr="00524172">
        <w:t>λ</w:t>
      </w:r>
      <w:r w:rsidRPr="00524172">
        <w:rPr>
          <w:vertAlign w:val="subscript"/>
        </w:rPr>
        <w:t>avg</w:t>
      </w:r>
      <w:proofErr w:type="spellEnd"/>
      <w:r w:rsidRPr="00524172">
        <w:t>.</w:t>
      </w:r>
      <w:r>
        <w:t xml:space="preserve"> </w:t>
      </w:r>
      <w:r w:rsidRPr="00524172">
        <w:t xml:space="preserve">The intrinsic rate of increase (r) was then calculated by taking the natural logarithm of </w:t>
      </w:r>
      <w:proofErr w:type="spellStart"/>
      <w:r w:rsidRPr="00524172">
        <w:t>λ</w:t>
      </w:r>
      <w:r w:rsidRPr="00524172">
        <w:rPr>
          <w:vertAlign w:val="subscript"/>
        </w:rPr>
        <w:t>avg</w:t>
      </w:r>
      <w:proofErr w:type="spellEnd"/>
      <w:r w:rsidRPr="00524172">
        <w:t>. When r</w:t>
      </w:r>
      <w:r w:rsidRPr="00524172" w:rsidDel="00595EDE">
        <w:t xml:space="preserve"> </w:t>
      </w:r>
      <w:r w:rsidRPr="00524172">
        <w:t>= 0 a population is at replacement, when r &lt; 0 a population is declining, and when r &gt; 0 a population is increasing.</w:t>
      </w:r>
      <w:r>
        <w:t xml:space="preserve"> </w:t>
      </w:r>
    </w:p>
    <w:p w14:paraId="2341DFD7" w14:textId="77777777" w:rsidR="0035377D" w:rsidRDefault="0035377D" w:rsidP="0035377D">
      <w:pPr>
        <w:pStyle w:val="NATESTYLE1CommonCollege"/>
        <w:ind w:firstLine="720"/>
        <w:jc w:val="both"/>
      </w:pPr>
      <w:r w:rsidRPr="00524172">
        <w:t xml:space="preserve">The results of the simulations were used to identify combinations of </w:t>
      </w:r>
      <w:r>
        <w:t>development rates</w:t>
      </w:r>
      <w:r w:rsidRPr="00524172">
        <w:t xml:space="preserve"> and survival of juveniles that determined thresholds (r = 0) for population growth given the </w:t>
      </w:r>
      <w:r>
        <w:t>two</w:t>
      </w:r>
      <w:r w:rsidRPr="00524172">
        <w:t xml:space="preserve"> </w:t>
      </w:r>
      <w:r>
        <w:t>hydrologic</w:t>
      </w:r>
      <w:r w:rsidRPr="00524172">
        <w:t xml:space="preserve"> regimes.</w:t>
      </w:r>
      <w:r>
        <w:t xml:space="preserve"> </w:t>
      </w:r>
      <w:r w:rsidRPr="00524172">
        <w:t xml:space="preserve">Although the simulations were conducted with individualized parameters for the </w:t>
      </w:r>
      <w:r>
        <w:t>two size</w:t>
      </w:r>
      <w:r w:rsidRPr="00524172">
        <w:t xml:space="preserve"> classes, </w:t>
      </w:r>
      <w:r>
        <w:t>we</w:t>
      </w:r>
      <w:r w:rsidRPr="00524172">
        <w:t xml:space="preserve"> reduced dimensionality to aid in interpretation by multiplying the two juvenile survival probabilities which</w:t>
      </w:r>
      <w:r>
        <w:t xml:space="preserve"> we</w:t>
      </w:r>
      <w:r w:rsidRPr="00524172">
        <w:t xml:space="preserve"> named cumulative juvenile survival (</w:t>
      </w:r>
      <w:r>
        <w:t xml:space="preserve">i.e., survival &lt; 10 mm SL = </w:t>
      </w:r>
      <w:r w:rsidRPr="00524172">
        <w:t>CJS; Figure 1A).</w:t>
      </w:r>
      <w:r>
        <w:t xml:space="preserve"> </w:t>
      </w:r>
      <w:r w:rsidRPr="00524172">
        <w:t xml:space="preserve">At each level of </w:t>
      </w:r>
      <w:proofErr w:type="spellStart"/>
      <w:r w:rsidRPr="00524172">
        <w:t>k</w:t>
      </w:r>
      <w:r w:rsidRPr="00524172">
        <w:rPr>
          <w:vertAlign w:val="subscript"/>
        </w:rPr>
        <w:t>growth</w:t>
      </w:r>
      <w:proofErr w:type="spellEnd"/>
      <w:r w:rsidRPr="00524172">
        <w:t xml:space="preserve">, the intrinsic rate of increase (r) was regressed (Ordinary Least Squared-OLS) as a function of CJS, then the regression equation was used to solve </w:t>
      </w:r>
      <w:r w:rsidRPr="00524172">
        <w:lastRenderedPageBreak/>
        <w:t>for the CJS for which r = 0. The combinations of individual growth (</w:t>
      </w:r>
      <w:proofErr w:type="spellStart"/>
      <w:r w:rsidRPr="00524172">
        <w:t>k</w:t>
      </w:r>
      <w:r w:rsidRPr="00524172">
        <w:rPr>
          <w:vertAlign w:val="subscript"/>
        </w:rPr>
        <w:t>growth</w:t>
      </w:r>
      <w:proofErr w:type="spellEnd"/>
      <w:r w:rsidRPr="00524172">
        <w:t>) and juvenile survival (CJS) were plotted as zero population-growth isoclines</w:t>
      </w:r>
      <w:r>
        <w:t xml:space="preserve"> (Figure 2B)</w:t>
      </w:r>
      <w:r w:rsidRPr="00524172">
        <w:t xml:space="preserve">. </w:t>
      </w:r>
    </w:p>
    <w:p w14:paraId="5E400CCD" w14:textId="5D6B28CD" w:rsidR="00161286" w:rsidRPr="006C6657" w:rsidRDefault="006C6657" w:rsidP="00161286">
      <w:pPr>
        <w:pStyle w:val="NATESTYLE1CommonCollege"/>
        <w:jc w:val="both"/>
        <w:rPr>
          <w:i/>
          <w:iCs/>
        </w:rPr>
      </w:pPr>
      <w:r w:rsidRPr="006C6657">
        <w:rPr>
          <w:i/>
          <w:iCs/>
        </w:rPr>
        <w:t>Predator abundance</w:t>
      </w:r>
    </w:p>
    <w:p w14:paraId="6550E0F9" w14:textId="76D17FC1" w:rsidR="00161286" w:rsidRDefault="00161286" w:rsidP="00161286">
      <w:pPr>
        <w:autoSpaceDE w:val="0"/>
        <w:autoSpaceDN w:val="0"/>
        <w:adjustRightInd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Predator abundance was measured using the protocol similar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{"citationID":"YpPLvct4","properties":{"formattedCitation":"(Dorn &amp; Cook, 2015)","plainCitation":"(Dorn &amp; Cook, 2015)","noteIndex":0},"citationItems":[{"id":1828,"uris":["http://zotero.org/users/9972654/items/4GTL5VIK"],"itemData":{"id":1828,"type":"article-journal","abstract":"Effects of predators on prey populations can be especially strong in aquatic ecosystems, but disturbances may mediate the strength of predator limitation and even allow outbreaks of some prey populations. In a two-year study we investigated the numerical responses of crayﬁsh (Procambarus fallax) and small ﬁshes (Poeciliidae and Fundulidae) to a brief hydrological disturbance in replicated freshwater wetlands with an experimental drying and large predatory ﬁsh reduction. The experiment and an in situ predation assay tested the component of the consumer stress model positing that disturbances release prey from predator limitation. In the disturbed wetlands, abundances of large predatory ﬁsh were seasonally reduced, similar to dynamics in the Everglades (southern Florida). Densities of small ﬁsh were unaffected by the disturbance, but crayﬁsh densities, which were similar across all wetlands before drying, increased almost threefold in the year after the disturbance. Upon re-ﬂooding, juvenile crayﬁsh survival was inversely related to the abundance of large ﬁsh across wetlands, but we found no evidence for enhanced algal food quality. At a larger landscape scale (500 km2 of the Everglades), crayﬁsh densities over eight years were positively correlated with the severity of local dry disturbances (up to 99 days dry) during the preceding dry season. In contrast, densities of small-bodied ﬁshes in the same wetlands were seasonally depressed by dry disturbances. The results from our experimental wetland drought and the observations of crayﬁsh densities in the Everglades represent a large-scale example of prey population release following a hydrological disturbance in a freshwater ecosystem. The conditions producing crayﬁsh pulses in the Everglades appear consistent with the mechanics of the consumer stress model, and we suggest crayﬁsh pulses may inﬂuence the number of nesting wading birds in the Everglades.","container-title":"Ecology","DOI":"10.1890/14-1505.1","ISSN":"0012-9658","issue":"11","journalAbbreviation":"Ecology","language":"en","page":"2984-2993","source":"DOI.org (Crossref)","title":"Hydrological disturbance diminishes predator control in wetlands","volume":"96","author":[{"family":"Dorn","given":"Nathan J."},{"family":"Cook","given":"Mark I."}],"issued":{"date-parts":[["2015",11]]}}}],"schema":"https://github.com/citation-style-language/schema/raw/master/csl-citation.json"} </w:instrText>
      </w:r>
      <w:r>
        <w:rPr>
          <w:rFonts w:ascii="Times New Roman" w:hAnsi="Times New Roman" w:cs="Times New Roman"/>
          <w:sz w:val="24"/>
          <w:szCs w:val="24"/>
        </w:rPr>
        <w:fldChar w:fldCharType="separate"/>
      </w:r>
      <w:r w:rsidRPr="00161286">
        <w:rPr>
          <w:rFonts w:ascii="Times New Roman" w:hAnsi="Times New Roman" w:cs="Times New Roman"/>
          <w:sz w:val="24"/>
        </w:rPr>
        <w:t xml:space="preserve">Dorn &amp; Cook, </w:t>
      </w:r>
      <w:r>
        <w:rPr>
          <w:rFonts w:ascii="Times New Roman" w:hAnsi="Times New Roman" w:cs="Times New Roman"/>
          <w:sz w:val="24"/>
        </w:rPr>
        <w:t>(</w:t>
      </w:r>
      <w:r w:rsidRPr="00161286">
        <w:rPr>
          <w:rFonts w:ascii="Times New Roman" w:hAnsi="Times New Roman" w:cs="Times New Roman"/>
          <w:sz w:val="24"/>
        </w:rPr>
        <w:t>2015)</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{"citationID":"yZl7zlx1","properties":{"formattedCitation":"(Sommer, 2021)","plainCitation":"(Sommer, 2021)","noteIndex":0},"citationItems":[{"id":"nssAQcjc/alHp9P12","uris":["http://www.mendeley.com/documents/?uuid=66edfb5a-0a39-4848-bd84-d55552347fc4"],"itemData":{"author":[{"dropping-particle":"","family":"Sommer","given":"Jeffrey L.","non-dropping-particle":"","parse-names":false,"suffix":""}],"id":"nssAQcjc/alHp9P12","issue":"May","issued":{"date-parts":[["2021"]]},"publisher":"Florida Atlantic University. Boca Raton, FL","title":"Effects of Wet Season Hydro-patter on Crayfish (Procambarus fallax) population density and juvenile mortality risk","type":"thesis"}}],"schema":"https://github.com/citation-style-language/schema/raw/master/csl-citation.json"} </w:instrText>
      </w:r>
      <w:r>
        <w:rPr>
          <w:rFonts w:ascii="Times New Roman" w:hAnsi="Times New Roman" w:cs="Times New Roman"/>
          <w:sz w:val="24"/>
          <w:szCs w:val="24"/>
        </w:rPr>
        <w:fldChar w:fldCharType="separate"/>
      </w:r>
      <w:r w:rsidRPr="00161286">
        <w:rPr>
          <w:rFonts w:ascii="Times New Roman" w:hAnsi="Times New Roman" w:cs="Times New Roman"/>
          <w:sz w:val="24"/>
        </w:rPr>
        <w:t>(Sommer,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524172">
        <w:rPr>
          <w:rFonts w:ascii="Times New Roman" w:hAnsi="Times New Roman" w:cs="Times New Roman"/>
          <w:sz w:val="24"/>
          <w:szCs w:val="24"/>
        </w:rPr>
        <w:t>In both seasons, 1-m</w:t>
      </w:r>
      <w:r w:rsidRPr="00524172">
        <w:rPr>
          <w:rFonts w:ascii="Times New Roman" w:hAnsi="Times New Roman" w:cs="Times New Roman"/>
          <w:sz w:val="24"/>
          <w:szCs w:val="24"/>
          <w:vertAlign w:val="superscript"/>
        </w:rPr>
        <w:t>2</w:t>
      </w:r>
      <w:r w:rsidRPr="00524172">
        <w:rPr>
          <w:rFonts w:ascii="Times New Roman" w:hAnsi="Times New Roman" w:cs="Times New Roman"/>
          <w:sz w:val="24"/>
          <w:szCs w:val="24"/>
        </w:rPr>
        <w:t xml:space="preserve"> throw traps were deployed at 14</w:t>
      </w:r>
      <w:r>
        <w:rPr>
          <w:rFonts w:ascii="Times New Roman" w:hAnsi="Times New Roman" w:cs="Times New Roman"/>
          <w:sz w:val="24"/>
          <w:szCs w:val="24"/>
        </w:rPr>
        <w:t xml:space="preserve"> randomly selected</w:t>
      </w:r>
      <w:r w:rsidRPr="00524172">
        <w:rPr>
          <w:rFonts w:ascii="Times New Roman" w:hAnsi="Times New Roman" w:cs="Times New Roman"/>
          <w:sz w:val="24"/>
          <w:szCs w:val="24"/>
        </w:rPr>
        <w:t xml:space="preserve"> locations</w:t>
      </w:r>
      <w:r>
        <w:rPr>
          <w:rFonts w:ascii="Times New Roman" w:hAnsi="Times New Roman" w:cs="Times New Roman"/>
          <w:sz w:val="24"/>
          <w:szCs w:val="24"/>
        </w:rPr>
        <w:t xml:space="preserve"> in the slough habitats</w:t>
      </w:r>
      <w:r w:rsidRPr="00524172">
        <w:rPr>
          <w:rFonts w:ascii="Times New Roman" w:hAnsi="Times New Roman" w:cs="Times New Roman"/>
          <w:sz w:val="24"/>
          <w:szCs w:val="24"/>
        </w:rPr>
        <w:t xml:space="preserve">. Each season sampling occurred when </w:t>
      </w:r>
      <w:r>
        <w:rPr>
          <w:rFonts w:ascii="Times New Roman" w:hAnsi="Times New Roman" w:cs="Times New Roman"/>
          <w:sz w:val="24"/>
          <w:szCs w:val="24"/>
        </w:rPr>
        <w:t>slough</w:t>
      </w:r>
      <w:r w:rsidRPr="00524172">
        <w:rPr>
          <w:rFonts w:ascii="Times New Roman" w:hAnsi="Times New Roman" w:cs="Times New Roman"/>
          <w:sz w:val="24"/>
          <w:szCs w:val="24"/>
        </w:rPr>
        <w:t xml:space="preserve"> habitats were flooded but ridge</w:t>
      </w:r>
      <w:r>
        <w:rPr>
          <w:rFonts w:ascii="Times New Roman" w:hAnsi="Times New Roman" w:cs="Times New Roman"/>
          <w:sz w:val="24"/>
          <w:szCs w:val="24"/>
        </w:rPr>
        <w:t xml:space="preserve"> habitats were shallow</w:t>
      </w:r>
      <w:r w:rsidRPr="00524172">
        <w:rPr>
          <w:rFonts w:ascii="Times New Roman" w:hAnsi="Times New Roman" w:cs="Times New Roman"/>
          <w:sz w:val="24"/>
          <w:szCs w:val="24"/>
        </w:rPr>
        <w:t xml:space="preserve"> (&lt; 10 cm) so </w:t>
      </w:r>
      <w:r>
        <w:rPr>
          <w:rFonts w:ascii="Times New Roman" w:hAnsi="Times New Roman" w:cs="Times New Roman"/>
          <w:sz w:val="24"/>
          <w:szCs w:val="24"/>
        </w:rPr>
        <w:t xml:space="preserve">for each season </w:t>
      </w:r>
      <w:r w:rsidRPr="00524172">
        <w:rPr>
          <w:rFonts w:ascii="Times New Roman" w:hAnsi="Times New Roman" w:cs="Times New Roman"/>
          <w:sz w:val="24"/>
          <w:szCs w:val="24"/>
        </w:rPr>
        <w:t xml:space="preserve">large predatory fishes </w:t>
      </w:r>
      <w:r>
        <w:rPr>
          <w:rFonts w:ascii="Times New Roman" w:hAnsi="Times New Roman" w:cs="Times New Roman"/>
          <w:sz w:val="24"/>
          <w:szCs w:val="24"/>
        </w:rPr>
        <w:t>were equally concentrated in the sloughs</w:t>
      </w:r>
      <w:r w:rsidRPr="00524172">
        <w:rPr>
          <w:rFonts w:ascii="Times New Roman" w:hAnsi="Times New Roman" w:cs="Times New Roman"/>
          <w:sz w:val="24"/>
          <w:szCs w:val="24"/>
        </w:rPr>
        <w:t>.</w:t>
      </w:r>
      <w:r>
        <w:rPr>
          <w:rFonts w:ascii="Times New Roman" w:hAnsi="Times New Roman" w:cs="Times New Roman"/>
          <w:sz w:val="24"/>
          <w:szCs w:val="24"/>
        </w:rPr>
        <w:t xml:space="preserve"> </w:t>
      </w:r>
      <w:r w:rsidRPr="00524172">
        <w:rPr>
          <w:rFonts w:ascii="Times New Roman" w:hAnsi="Times New Roman" w:cs="Times New Roman"/>
          <w:sz w:val="24"/>
          <w:szCs w:val="24"/>
        </w:rPr>
        <w:t xml:space="preserve">Throw traps were cleared under the protocol described by </w:t>
      </w:r>
      <w:r w:rsidRPr="00524172">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{"citationID":"s9IjhejZ","properties":{"formattedCitation":"(Dorn et al., 2005)","plainCitation":"(Dorn et al., 2005)","dontUpdate":true,"noteIndex":0},"citationItems":[{"id":"nssAQcjc/YJhAvaFZ","uris":["http://www.mendeley.com/documents/?uuid=c95f6a9c-ebc7-4e18-afac-7a4dd780c7fd"],"itemData":{"DOI":"10.1899/04-037.1","ISSN":"08873593","abstract":"We evaluated the sampling efficacy of 1-m2 throw traps (active sampler) and baited minnow traps (passive sampler) across an experimental density gradient (1, 2, 4, 6, 8, 10, and 15/m2) of the slough crayfish (Procambarus fallax) in 2 trials with different crayfish populations. In both trials, throw-trap density estimates were highly correlated with actual crayfish density (r2 = 0.96). The form of the relationships between density estimates and stocked densities was consistent between trials, and indicated that throw traps captured a similar proportion of the stocked crayfish regardless of the stocked density. When we adjusted the relationships to account for clearing efficiency (proportion of captured animals actually recovered from the trap), the slopes of the regressions were not significantly different from 1 in either trial. Size distributions and sex ratios of crayfish collected by the throw traps accurately reflected those of the stocked populations. Baited minnow traps performed inconsistently between the 2 trials. Catch-per-unit-effort (CPUE) and density were significantly correlated only in Trial 2 (r2 = 0.82). The slope of the regression in Trial 2 (0.621) was significantly &lt;1, and the intercept was positive and nearly significant (p = 0.074), indicating that minnow traps captured increasingly smaller proportions of the stocked crayfish as the stocked density increased (i.e., differences between CPUE values underestimated actual differences between stocked densities along the gradient). Minnow traps were biased toward capturing large male crayfish, but the form of the relationships between CPUE and density did not improve when large-male CPUE was used in the regressions. Our results suggest that 1-m2 throw traps provide better estimates than baited minnow traps of crayfish densities in shallow vegetated habitats. © 2005 by The North American Benthological Society.","author":[{"dropping-particle":"","family":"Dorn","given":"Nathan J.","non-dropping-particle":"","parse-names":false,"suffix":""},{"dropping-particle":"","family":"Urgelles","given":"Raul","non-dropping-particle":"","parse-names":false,"suffix":""},{"dropping-particle":"","family":"Trexler","given":"Joel C.","non-dropping-particle":"","parse-names":false,"suffix":""}],"container-title":"Journal of the North American Benthological Society","id":"ITEM-1","issue":"2","issued":{"date-parts":[["2005"]]},"page":"346-356","title":"Evaluating active and passive sampling methods to quantify crayfish density in a freshwater wetland","type":"article-journal","volume":"24"}}],"schema":"https://github.com/citation-style-language/schema/raw/master/csl-citation.json"} </w:instrText>
      </w:r>
      <w:r w:rsidRPr="00524172">
        <w:rPr>
          <w:rFonts w:ascii="Times New Roman" w:hAnsi="Times New Roman" w:cs="Times New Roman"/>
          <w:sz w:val="24"/>
          <w:szCs w:val="24"/>
        </w:rPr>
        <w:fldChar w:fldCharType="separate"/>
      </w:r>
      <w:r w:rsidRPr="00B41503">
        <w:rPr>
          <w:rFonts w:ascii="Times New Roman" w:hAnsi="Times New Roman" w:cs="Times New Roman"/>
          <w:sz w:val="24"/>
        </w:rPr>
        <w:t>Dorn et al.</w:t>
      </w:r>
      <w:r>
        <w:rPr>
          <w:rFonts w:ascii="Times New Roman" w:hAnsi="Times New Roman" w:cs="Times New Roman"/>
          <w:sz w:val="24"/>
        </w:rPr>
        <w:t>,</w:t>
      </w:r>
      <w:r w:rsidRPr="00B41503">
        <w:rPr>
          <w:rFonts w:ascii="Times New Roman" w:hAnsi="Times New Roman" w:cs="Times New Roman"/>
          <w:sz w:val="24"/>
        </w:rPr>
        <w:t xml:space="preserve"> </w:t>
      </w:r>
      <w:r>
        <w:rPr>
          <w:rFonts w:ascii="Times New Roman" w:hAnsi="Times New Roman" w:cs="Times New Roman"/>
          <w:sz w:val="24"/>
        </w:rPr>
        <w:t>(</w:t>
      </w:r>
      <w:r w:rsidRPr="00B41503">
        <w:rPr>
          <w:rFonts w:ascii="Times New Roman" w:hAnsi="Times New Roman" w:cs="Times New Roman"/>
          <w:sz w:val="24"/>
        </w:rPr>
        <w:t>2005)</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Pr>
          <w:rFonts w:ascii="Times New Roman" w:hAnsi="Times New Roman" w:cs="Times New Roman"/>
          <w:sz w:val="24"/>
          <w:szCs w:val="24"/>
        </w:rPr>
        <w:t xml:space="preserve"> </w:t>
      </w:r>
      <w:r w:rsidRPr="00524172">
        <w:rPr>
          <w:rFonts w:ascii="Times New Roman" w:hAnsi="Times New Roman" w:cs="Times New Roman"/>
          <w:sz w:val="24"/>
          <w:szCs w:val="24"/>
        </w:rPr>
        <w:t xml:space="preserve"> Captured animals were euthanized in MS-222 (Tricaine-S, Western Chemical Inc.), fixed (after 30-120 min) in 10% buffered formalin, then cleaned and stored in a 70% ethanol solution. In the lab</w:t>
      </w:r>
      <w:r>
        <w:rPr>
          <w:rFonts w:ascii="Times New Roman" w:hAnsi="Times New Roman" w:cs="Times New Roman"/>
          <w:sz w:val="24"/>
          <w:szCs w:val="24"/>
        </w:rPr>
        <w:t xml:space="preserve"> using calipers</w:t>
      </w:r>
      <w:r w:rsidRPr="00524172">
        <w:rPr>
          <w:rFonts w:ascii="Times New Roman" w:hAnsi="Times New Roman" w:cs="Times New Roman"/>
          <w:sz w:val="24"/>
          <w:szCs w:val="24"/>
        </w:rPr>
        <w:t xml:space="preserve">, invertebrate predators (i.e., </w:t>
      </w:r>
      <w:r>
        <w:rPr>
          <w:rFonts w:ascii="Times New Roman" w:hAnsi="Times New Roman" w:cs="Times New Roman"/>
          <w:iCs/>
          <w:sz w:val="24"/>
          <w:szCs w:val="24"/>
        </w:rPr>
        <w:t>crayfish</w:t>
      </w:r>
      <w:r w:rsidRPr="00524172">
        <w:rPr>
          <w:rFonts w:ascii="Times New Roman" w:hAnsi="Times New Roman" w:cs="Times New Roman"/>
          <w:sz w:val="24"/>
          <w:szCs w:val="24"/>
        </w:rPr>
        <w:t xml:space="preserve"> and </w:t>
      </w:r>
      <w:r>
        <w:rPr>
          <w:rFonts w:ascii="Times New Roman" w:hAnsi="Times New Roman" w:cs="Times New Roman"/>
          <w:sz w:val="24"/>
          <w:szCs w:val="24"/>
        </w:rPr>
        <w:t>giant water bugs)</w:t>
      </w:r>
      <w:r w:rsidRPr="00524172">
        <w:rPr>
          <w:rFonts w:ascii="Times New Roman" w:hAnsi="Times New Roman" w:cs="Times New Roman"/>
          <w:sz w:val="24"/>
          <w:szCs w:val="24"/>
        </w:rPr>
        <w:t xml:space="preserve"> were selected and measured to </w:t>
      </w:r>
      <w:r>
        <w:rPr>
          <w:rFonts w:ascii="Times New Roman" w:hAnsi="Times New Roman" w:cs="Times New Roman"/>
          <w:sz w:val="24"/>
          <w:szCs w:val="24"/>
        </w:rPr>
        <w:t>c</w:t>
      </w:r>
      <w:r w:rsidRPr="00524172">
        <w:rPr>
          <w:rFonts w:ascii="Times New Roman" w:hAnsi="Times New Roman" w:cs="Times New Roman"/>
          <w:sz w:val="24"/>
          <w:szCs w:val="24"/>
        </w:rPr>
        <w:t xml:space="preserve">arapace </w:t>
      </w:r>
      <w:r>
        <w:rPr>
          <w:rFonts w:ascii="Times New Roman" w:hAnsi="Times New Roman" w:cs="Times New Roman"/>
          <w:sz w:val="24"/>
          <w:szCs w:val="24"/>
        </w:rPr>
        <w:t>l</w:t>
      </w:r>
      <w:r w:rsidRPr="00524172">
        <w:rPr>
          <w:rFonts w:ascii="Times New Roman" w:hAnsi="Times New Roman" w:cs="Times New Roman"/>
          <w:sz w:val="24"/>
          <w:szCs w:val="24"/>
        </w:rPr>
        <w:t xml:space="preserve">ength and </w:t>
      </w:r>
      <w:r>
        <w:rPr>
          <w:rFonts w:ascii="Times New Roman" w:hAnsi="Times New Roman" w:cs="Times New Roman"/>
          <w:sz w:val="24"/>
          <w:szCs w:val="24"/>
        </w:rPr>
        <w:t>t</w:t>
      </w:r>
      <w:r w:rsidRPr="00524172">
        <w:rPr>
          <w:rFonts w:ascii="Times New Roman" w:hAnsi="Times New Roman" w:cs="Times New Roman"/>
          <w:sz w:val="24"/>
          <w:szCs w:val="24"/>
        </w:rPr>
        <w:t xml:space="preserve">otal </w:t>
      </w:r>
      <w:r>
        <w:rPr>
          <w:rFonts w:ascii="Times New Roman" w:hAnsi="Times New Roman" w:cs="Times New Roman"/>
          <w:sz w:val="24"/>
          <w:szCs w:val="24"/>
        </w:rPr>
        <w:t>l</w:t>
      </w:r>
      <w:r w:rsidRPr="00524172">
        <w:rPr>
          <w:rFonts w:ascii="Times New Roman" w:hAnsi="Times New Roman" w:cs="Times New Roman"/>
          <w:sz w:val="24"/>
          <w:szCs w:val="24"/>
        </w:rPr>
        <w:t>ength, respectively. Juvenile</w:t>
      </w:r>
      <w:r>
        <w:rPr>
          <w:rFonts w:ascii="Times New Roman" w:hAnsi="Times New Roman" w:cs="Times New Roman"/>
          <w:sz w:val="24"/>
          <w:szCs w:val="24"/>
        </w:rPr>
        <w:t xml:space="preserve"> crayfish </w:t>
      </w:r>
      <w:r w:rsidRPr="00524172">
        <w:rPr>
          <w:rFonts w:ascii="Times New Roman" w:hAnsi="Times New Roman" w:cs="Times New Roman"/>
          <w:sz w:val="24"/>
          <w:szCs w:val="24"/>
        </w:rPr>
        <w:t>with carapace lengths &lt;</w:t>
      </w:r>
      <w:r>
        <w:rPr>
          <w:rFonts w:ascii="Times New Roman" w:hAnsi="Times New Roman" w:cs="Times New Roman"/>
          <w:sz w:val="24"/>
          <w:szCs w:val="24"/>
        </w:rPr>
        <w:t xml:space="preserve"> </w:t>
      </w:r>
      <w:r w:rsidRPr="00524172">
        <w:rPr>
          <w:rFonts w:ascii="Times New Roman" w:hAnsi="Times New Roman" w:cs="Times New Roman"/>
          <w:sz w:val="24"/>
          <w:szCs w:val="24"/>
        </w:rPr>
        <w:t>14 mm were excluded from analyses because they are not predators of juvenile apple snails</w:t>
      </w:r>
      <w:r>
        <w:rPr>
          <w:rFonts w:ascii="Times New Roman" w:hAnsi="Times New Roman" w:cs="Times New Roman"/>
          <w:sz w:val="24"/>
          <w:szCs w:val="24"/>
        </w:rPr>
        <w:t xml:space="preserve"> </w:t>
      </w:r>
      <w:r w:rsidRPr="00524172">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{"citationID":"c3N6ypEq","properties":{"formattedCitation":"(Davidson &amp; Dorn, 2017)","plainCitation":"(Davidson &amp; Dorn, 2017)","noteIndex":0},"citationItems":[{"id":"nssAQcjc/8GhX1k4r","uris":["http://www.mendeley.com/documents/?uuid=a5ba8e3b-bcf4-49bc-9056-c730b7c91738"],"itemData":{"DOI":"10.1007/s10452-017-9620-9","ISSN":"13862588","abstract":"The vulnerability of gastropods to their predators varies with life history traits such as morphology, body size, behavior, and growth rates as well as predator size. A recent study suggested that the invasive apple snail, Pomacea maculata, was considerably more vulnerable to crayfish predators than the native Florida apple snail, P. paludosa. The difference was hypothesized to be caused by the relatively small hatchling size of P. maculata. To test this hypothesis, we conducted a series of feeding assays designed to quantify maximum feeding rates and selective foraging of crayfish on apple snails. The rate at which crayfish killed individual P. maculata (i.e., kill rates) decreased with snail size, and kill rates on both species increased with crayfish size. Kill rates on juvenile P. maculata were higher than kill rates on size-matched hatchling P. paludosa, and crayfish fed selectively on P. maculata when offered mixed groups of size-matched snails. Further analyses revealed that hatchling P. paludosa possess shells 1.8× heavier than size-matched P. maculata suggesting differences in vulnerability to crayfish were consistent with interspecific differences in shell defenses. Differences in hatchling size and defensive traits in combination make crayfish kill rates on hatchling P. maculata approximately 15.4× faster than on hatchling P. paludosa, but the relative contribution of hatchling size to differences in apple snail vulnerability was &gt;3× greater than the contribution of defensive traits.","author":[{"dropping-particle":"","family":"Davidson","given":"Andrew T.","non-dropping-particle":"","parse-names":false,"suffix":""},{"dropping-particle":"","family":"Dorn","given":"Nathan J.","non-dropping-particle":"","parse-names":false,"suffix":""}],"container-title":"Aquatic Ecology","id":"ITEM-1","issue":"3","issued":{"date-parts":[["2017"]]},"page":"331-341","publisher":"Springer Netherlands","title":"Life history traits determine the differential vulnerability of native and invasive apple snails (Pomacea spp.) to a shared juvenile-stage predator","type":"article-journal","volume":"51"}}],"schema":"https://github.com/citation-style-language/schema/raw/master/csl-citation.json"} </w:instrText>
      </w:r>
      <w:r w:rsidRPr="00524172">
        <w:rPr>
          <w:rFonts w:ascii="Times New Roman" w:hAnsi="Times New Roman" w:cs="Times New Roman"/>
          <w:sz w:val="24"/>
          <w:szCs w:val="24"/>
        </w:rPr>
        <w:fldChar w:fldCharType="separate"/>
      </w:r>
      <w:r w:rsidRPr="00B41503">
        <w:rPr>
          <w:rFonts w:ascii="Times New Roman" w:hAnsi="Times New Roman" w:cs="Times New Roman"/>
          <w:sz w:val="24"/>
        </w:rPr>
        <w:t>(Davidson &amp; Dorn, 2017)</w:t>
      </w:r>
      <w:r w:rsidRPr="00524172">
        <w:rPr>
          <w:rFonts w:ascii="Times New Roman" w:hAnsi="Times New Roman" w:cs="Times New Roman"/>
          <w:sz w:val="24"/>
          <w:szCs w:val="24"/>
        </w:rPr>
        <w:fldChar w:fldCharType="end"/>
      </w:r>
      <w:r w:rsidRPr="00524172">
        <w:rPr>
          <w:rFonts w:ascii="Times New Roman" w:hAnsi="Times New Roman" w:cs="Times New Roman"/>
          <w:sz w:val="24"/>
          <w:szCs w:val="24"/>
        </w:rPr>
        <w:t>.</w:t>
      </w:r>
      <w:r>
        <w:rPr>
          <w:rFonts w:ascii="Times New Roman" w:hAnsi="Times New Roman" w:cs="Times New Roman"/>
          <w:sz w:val="24"/>
          <w:szCs w:val="24"/>
        </w:rPr>
        <w:t xml:space="preserve"> </w:t>
      </w:r>
      <w:r w:rsidRPr="00524172">
        <w:rPr>
          <w:rFonts w:ascii="Times New Roman" w:hAnsi="Times New Roman" w:cs="Times New Roman"/>
          <w:sz w:val="24"/>
          <w:szCs w:val="24"/>
        </w:rPr>
        <w:t xml:space="preserve">Trap nets (i.e., fyke and hoop nets) were placed in the deep sloughs of wetlands for three consecutive nights each season. Trapping in each wetland consisted of four fyke nets (0.7 x 1 m opening, 3 mm mesh, 2 throats) and five mini hoop nets (0.6 m diam. opening, 1 cm mesh, 2 throats; </w:t>
      </w:r>
      <w:r w:rsidRPr="00524172">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 ADDIN ZOTERO_ITEM CSL_CITATION {"citationID":"gvRkSIzt","properties":{"formattedCitation":"(Sommer, 2021)","plainCitation":"(Sommer, 2021)","dontUpdate":true,"noteIndex":0},"citationItems":[{"id":"nssAQcjc/alHp9P12","uris":["http://www.mendeley.com/documents/?uuid=66edfb5a-0a39-4848-bd84-d55552347fc4"],"itemData":{"author":[{"dropping-particle":"","family":"Sommer","given":"Jeffrey L.","non-dropping-particle":"","parse-names":false,"suffix":""}],"id":"ITEM-1","issue":"May","issued":{"date-parts":[["2021"]]},"publisher":"Florida Atlantic University. Boca Raton, FL","title":"Effects of Wet Season Hydro-patter on Crayfish (Procambarus fallax) population density and juvenile mortality risk","type":"thesis"}}],"schema":"https://github.com/citation-style-language/schema/raw/master/csl-citation.json"} </w:instrText>
      </w:r>
      <w:r w:rsidRPr="00524172">
        <w:rPr>
          <w:rFonts w:ascii="Times New Roman" w:hAnsi="Times New Roman" w:cs="Times New Roman"/>
          <w:sz w:val="24"/>
          <w:szCs w:val="24"/>
        </w:rPr>
        <w:fldChar w:fldCharType="separate"/>
      </w:r>
      <w:r w:rsidRPr="00B41503">
        <w:rPr>
          <w:rFonts w:ascii="Times New Roman" w:hAnsi="Times New Roman" w:cs="Times New Roman"/>
          <w:sz w:val="24"/>
        </w:rPr>
        <w:t>)</w:t>
      </w:r>
      <w:r w:rsidRPr="00524172">
        <w:rPr>
          <w:rFonts w:ascii="Times New Roman" w:hAnsi="Times New Roman" w:cs="Times New Roman"/>
          <w:sz w:val="24"/>
          <w:szCs w:val="24"/>
        </w:rPr>
        <w:fldChar w:fldCharType="end"/>
      </w:r>
      <w:r>
        <w:rPr>
          <w:rFonts w:ascii="Times New Roman" w:hAnsi="Times New Roman" w:cs="Times New Roman"/>
          <w:sz w:val="24"/>
          <w:szCs w:val="24"/>
        </w:rPr>
        <w:t xml:space="preserve"> and captures across all gear types were combined to calculate a nightly catch index.  </w:t>
      </w:r>
      <w:r w:rsidRPr="00524172">
        <w:rPr>
          <w:rFonts w:ascii="Times New Roman" w:hAnsi="Times New Roman" w:cs="Times New Roman"/>
          <w:sz w:val="24"/>
          <w:szCs w:val="24"/>
        </w:rPr>
        <w:t>Molluscivorous fishes larger than 5 cm were identified, measured (standard length) and released while Greater Sirens were counted and released.</w:t>
      </w:r>
      <w:r>
        <w:rPr>
          <w:rFonts w:ascii="Times New Roman" w:hAnsi="Times New Roman" w:cs="Times New Roman"/>
          <w:sz w:val="24"/>
          <w:szCs w:val="24"/>
        </w:rPr>
        <w:t xml:space="preserve"> </w:t>
      </w:r>
    </w:p>
    <w:p w14:paraId="00147E48" w14:textId="55A2021E" w:rsidR="00603963" w:rsidRPr="002222B2" w:rsidRDefault="00BE532C" w:rsidP="00BE532C">
      <w:pPr>
        <w:autoSpaceDE w:val="0"/>
        <w:autoSpaceDN w:val="0"/>
        <w:adjustRightInd w:val="0"/>
        <w:spacing w:line="480" w:lineRule="auto"/>
        <w:jc w:val="both"/>
        <w:rPr>
          <w:rFonts w:ascii="Times New Roman" w:hAnsi="Times New Roman" w:cs="Times New Roman"/>
          <w:i/>
          <w:iCs/>
          <w:sz w:val="24"/>
          <w:szCs w:val="24"/>
        </w:rPr>
      </w:pPr>
      <w:r w:rsidRPr="002222B2">
        <w:rPr>
          <w:rFonts w:ascii="Times New Roman" w:hAnsi="Times New Roman" w:cs="Times New Roman"/>
          <w:i/>
          <w:iCs/>
          <w:sz w:val="24"/>
          <w:szCs w:val="24"/>
        </w:rPr>
        <w:t>Seasonal Growth and Temperature</w:t>
      </w:r>
    </w:p>
    <w:p w14:paraId="69865134" w14:textId="38A8BBE8" w:rsidR="00894A36" w:rsidRPr="00524172" w:rsidRDefault="00894A36" w:rsidP="00894A36">
      <w:pPr>
        <w:pStyle w:val="NATESTYLE1CommonCollege"/>
        <w:spacing w:before="240" w:after="240"/>
        <w:ind w:firstLine="720"/>
        <w:jc w:val="both"/>
      </w:pPr>
      <w:r>
        <w:t xml:space="preserve">Size-specific growth rates in the wet season (month) were greater than those in the dry season (month, </w:t>
      </w:r>
      <w:r>
        <w:t>Figure S1</w:t>
      </w:r>
      <w:r>
        <w:t xml:space="preserve">). Water temperatures were also warmer in the wet season than in the dry </w:t>
      </w:r>
      <w:r>
        <w:lastRenderedPageBreak/>
        <w:t xml:space="preserve">season (Figure </w:t>
      </w:r>
      <w:r>
        <w:t>S1</w:t>
      </w:r>
      <w:r>
        <w:t>). Seasonal growth measurements in the WCA wetlands showed qualitatively similar patterns with higher growth in the wet season and lower growth rates in the dry season.</w:t>
      </w:r>
    </w:p>
    <w:p w14:paraId="62FD60A6" w14:textId="77777777" w:rsidR="00894A36" w:rsidRDefault="00894A36" w:rsidP="00BE532C">
      <w:pPr>
        <w:autoSpaceDE w:val="0"/>
        <w:autoSpaceDN w:val="0"/>
        <w:adjustRightInd w:val="0"/>
        <w:spacing w:line="480" w:lineRule="auto"/>
        <w:jc w:val="both"/>
        <w:rPr>
          <w:rFonts w:ascii="Times New Roman" w:hAnsi="Times New Roman" w:cs="Times New Roman"/>
          <w:sz w:val="24"/>
          <w:szCs w:val="24"/>
        </w:rPr>
      </w:pPr>
    </w:p>
    <w:p w14:paraId="54E3415D" w14:textId="77777777" w:rsidR="00BE532C" w:rsidRDefault="00BE532C" w:rsidP="00BE532C">
      <w:pPr>
        <w:pStyle w:val="NATESTYLE1CommonCollege"/>
        <w:spacing w:after="240" w:line="240" w:lineRule="auto"/>
      </w:pPr>
      <w:r>
        <w:rPr>
          <w:noProof/>
        </w:rPr>
        <w:drawing>
          <wp:inline distT="0" distB="0" distL="0" distR="0" wp14:anchorId="5DB8B069" wp14:editId="11549D84">
            <wp:extent cx="5943598" cy="2971799"/>
            <wp:effectExtent l="0" t="0" r="635" b="635"/>
            <wp:docPr id="12" name="Picture 12" descr="A diagram of different types of growth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different types of growth rat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598" cy="2971799"/>
                    </a:xfrm>
                    <a:prstGeom prst="rect">
                      <a:avLst/>
                    </a:prstGeom>
                  </pic:spPr>
                </pic:pic>
              </a:graphicData>
            </a:graphic>
          </wp:inline>
        </w:drawing>
      </w:r>
    </w:p>
    <w:p w14:paraId="06D1B788" w14:textId="77777777" w:rsidR="00BE532C" w:rsidRDefault="00BE532C" w:rsidP="00BE532C">
      <w:pPr>
        <w:pStyle w:val="NATESTYLE1CommonCollege"/>
        <w:spacing w:after="240" w:line="240" w:lineRule="auto"/>
      </w:pPr>
      <w:r>
        <w:t xml:space="preserve">Figure </w:t>
      </w:r>
      <w:r w:rsidR="00894A36">
        <w:t>S1</w:t>
      </w:r>
      <w:r>
        <w:t xml:space="preserve">: Seasonal A) daily water temperatures and B) Florida apple snail juvenile growth in the LILA wetlands of the Everglades.  Each point in panel B represents an individual snail. </w:t>
      </w:r>
    </w:p>
    <w:p w14:paraId="7BCFED65" w14:textId="77777777" w:rsidR="004264F5" w:rsidRDefault="004264F5" w:rsidP="00BE532C">
      <w:pPr>
        <w:pStyle w:val="NATESTYLE1CommonCollege"/>
        <w:spacing w:after="240" w:line="240" w:lineRule="auto"/>
        <w:rPr>
          <w:i/>
          <w:iCs/>
        </w:rPr>
      </w:pPr>
      <w:r w:rsidRPr="00233D22">
        <w:rPr>
          <w:i/>
          <w:iCs/>
        </w:rPr>
        <w:t>Diet Composition of Mayan Cichlids and Greater Sirens</w:t>
      </w:r>
    </w:p>
    <w:p w14:paraId="48CB0E91" w14:textId="41F494CF" w:rsidR="00517443" w:rsidRDefault="00517443" w:rsidP="00517443">
      <w:pPr>
        <w:pStyle w:val="NATESTYLE1CommonCollege"/>
        <w:spacing w:after="240"/>
      </w:pPr>
      <w:r w:rsidRPr="00517443">
        <w:t xml:space="preserve">On the final day of trap netting in the dry and wet season sampling events of 2021, Mayan Cichlids, known to eat freshwater gastropods, were euthanized in MS-222 (Tricaine-S, Western Chemical Inc.), placed on ice, then frozen in the lab for later use in gut-content analysis. Mayan Cichlids and Greater Siren diet samples were analyzed in the lab (gut and fecal samples respectively). The alimentary canal of each Mayan Cichlids was removed and rinsed with 70% ethanol to remove any contents. Greater Siren fecal samples were obtained from Hunter Howell from the University of Miami. The contents were searched and, when possible, identified to lowest possible taxonomic group. The primary goal of the gut content analysis was to find </w:t>
      </w:r>
      <w:r w:rsidRPr="00517443">
        <w:lastRenderedPageBreak/>
        <w:t>relative sizes of gastropod prey. Whole gastropod in diet samples were measured for Shell Length (SL), but when crushed gastropods were found in diet samples, the apex of the shell was located and compared to apexes of intact shells with known shell lengths.</w:t>
      </w:r>
    </w:p>
    <w:p w14:paraId="537DB973" w14:textId="77777777" w:rsidR="00D65E20" w:rsidRDefault="00EA177E" w:rsidP="00D65E20">
      <w:pPr>
        <w:pStyle w:val="NATESTYLE1CommonCollege"/>
        <w:spacing w:after="240" w:line="240" w:lineRule="auto"/>
      </w:pPr>
      <w:r>
        <w:rPr>
          <w:noProof/>
          <w14:ligatures w14:val="standardContextual"/>
        </w:rPr>
        <w:lastRenderedPageBreak/>
        <w:drawing>
          <wp:inline distT="0" distB="0" distL="0" distR="0" wp14:anchorId="5FD2C946" wp14:editId="19405196">
            <wp:extent cx="5410200" cy="7213600"/>
            <wp:effectExtent l="0" t="0" r="0" b="6350"/>
            <wp:docPr id="16320899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89998" name="Picture 1"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15110" cy="7220147"/>
                    </a:xfrm>
                    <a:prstGeom prst="rect">
                      <a:avLst/>
                    </a:prstGeom>
                  </pic:spPr>
                </pic:pic>
              </a:graphicData>
            </a:graphic>
          </wp:inline>
        </w:drawing>
      </w:r>
      <w:r w:rsidRPr="00EA177E">
        <w:t xml:space="preserve"> </w:t>
      </w:r>
    </w:p>
    <w:p w14:paraId="171A1CD9" w14:textId="5043C8DD" w:rsidR="00D65E20" w:rsidRDefault="00EA177E" w:rsidP="00D65E20">
      <w:pPr>
        <w:pStyle w:val="NATESTYLE1CommonCollege"/>
        <w:spacing w:after="240" w:line="240" w:lineRule="auto"/>
      </w:pPr>
      <w:r>
        <w:t>Figure S2: Diet composition of Mayan Cichlids and Greater Sirens. A) per-capita consumption of different orders of prey types. B) composition of gastropod families found within the gastropod portion of the diets. C) size distribution of gastropods found within the gastropod portion of diets.</w:t>
      </w:r>
    </w:p>
    <w:p w14:paraId="7B7B5809" w14:textId="149444A5" w:rsidR="00F15010" w:rsidRPr="00F15010" w:rsidRDefault="00F15010" w:rsidP="00D65E20">
      <w:pPr>
        <w:pStyle w:val="NATESTYLE1CommonCollege"/>
        <w:spacing w:after="240" w:line="240" w:lineRule="auto"/>
        <w:rPr>
          <w:i/>
          <w:iCs/>
        </w:rPr>
      </w:pPr>
      <w:r w:rsidRPr="00F15010">
        <w:rPr>
          <w:i/>
          <w:iCs/>
        </w:rPr>
        <w:lastRenderedPageBreak/>
        <w:t xml:space="preserve">Daily survival in predator </w:t>
      </w:r>
      <w:proofErr w:type="spellStart"/>
      <w:r w:rsidRPr="00F15010">
        <w:rPr>
          <w:i/>
          <w:iCs/>
        </w:rPr>
        <w:t>exclosure</w:t>
      </w:r>
      <w:proofErr w:type="spellEnd"/>
      <w:r w:rsidRPr="00F15010">
        <w:rPr>
          <w:i/>
          <w:iCs/>
        </w:rPr>
        <w:t xml:space="preserve"> cages </w:t>
      </w:r>
    </w:p>
    <w:p w14:paraId="654B42B1" w14:textId="028E0A02" w:rsidR="00F15010" w:rsidRDefault="00F15010" w:rsidP="00517443">
      <w:pPr>
        <w:pStyle w:val="NATESTYLE1CommonCollege"/>
        <w:spacing w:after="240"/>
      </w:pPr>
      <w:r w:rsidRPr="00F15010">
        <w:t>Snail survival was checked at the end of the in situ cage experiment and dead snails (i.e., their shells) were measured for shell length (SL). To obtain the duration that the snail survived I used the modelled growth equation to find the SGR</w:t>
      </w:r>
      <w:r w:rsidRPr="00F15010">
        <w:rPr>
          <w:vertAlign w:val="subscript"/>
        </w:rPr>
        <w:t>L</w:t>
      </w:r>
      <w:r w:rsidRPr="00F15010">
        <w:t xml:space="preserve"> that would be expected for that snail’s initial size. Using the expected SGR</w:t>
      </w:r>
      <w:r w:rsidRPr="00F15010">
        <w:rPr>
          <w:vertAlign w:val="subscript"/>
        </w:rPr>
        <w:t>L</w:t>
      </w:r>
      <w:r w:rsidRPr="00F15010">
        <w:t xml:space="preserve"> for the snail’s initial size, the SGR equation can be rearranged to back-calculate the time that the snail lived in the cage: </w:t>
      </w:r>
    </w:p>
    <w:p w14:paraId="7B52A446" w14:textId="6557AE99" w:rsidR="00F15010" w:rsidRDefault="00F15010" w:rsidP="00517443">
      <w:pPr>
        <w:pStyle w:val="NATESTYLE1CommonCollege"/>
        <w:spacing w:after="240"/>
        <w:rPr>
          <w:rFonts w:ascii="Cambria Math" w:hAnsi="Cambria Math" w:cs="Cambria Math"/>
        </w:rPr>
      </w:pPr>
      <m:oMathPara>
        <m:oMath>
          <m:r>
            <w:rPr>
              <w:rFonts w:ascii="Cambria Math" w:hAnsi="Cambria Math" w:cs="Cambria Math"/>
            </w:rPr>
            <m:t>t=</m:t>
          </m:r>
          <m:f>
            <m:fPr>
              <m:ctrlPr>
                <w:rPr>
                  <w:rFonts w:ascii="Cambria Math" w:hAnsi="Cambria Math" w:cs="Cambria Math"/>
                  <w:i/>
                </w:rPr>
              </m:ctrlPr>
            </m:fPr>
            <m:num>
              <m:r>
                <w:rPr>
                  <w:rFonts w:ascii="Cambria Math" w:hAnsi="Cambria Math" w:cs="Cambria Math"/>
                </w:rPr>
                <m:t>(</m:t>
              </m:r>
              <m:func>
                <m:funcPr>
                  <m:ctrlPr>
                    <w:rPr>
                      <w:rFonts w:ascii="Cambria Math" w:hAnsi="Cambria Math" w:cs="Cambria Math"/>
                    </w:rPr>
                  </m:ctrlPr>
                </m:funcPr>
                <m:fName>
                  <m:r>
                    <m:rPr>
                      <m:sty m:val="p"/>
                    </m:rPr>
                    <w:rPr>
                      <w:rFonts w:ascii="Cambria Math" w:hAnsi="Cambria Math" w:cs="Cambria Math"/>
                    </w:rPr>
                    <m:t>log</m:t>
                  </m:r>
                  <m:ctrlPr>
                    <w:rPr>
                      <w:rFonts w:ascii="Cambria Math" w:hAnsi="Cambria Math" w:cs="Cambria Math"/>
                      <w:i/>
                    </w:rPr>
                  </m:ctrlPr>
                </m:fName>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f</m:t>
                          </m:r>
                        </m:sub>
                      </m:sSub>
                    </m:e>
                  </m:d>
                </m:e>
              </m:func>
              <m:r>
                <w:rPr>
                  <w:rFonts w:ascii="Cambria Math" w:hAnsi="Cambria Math" w:cs="Cambria Math"/>
                </w:rPr>
                <m:t>-</m:t>
              </m:r>
              <m:func>
                <m:funcPr>
                  <m:ctrlPr>
                    <w:rPr>
                      <w:rFonts w:ascii="Cambria Math" w:hAnsi="Cambria Math" w:cs="Cambria Math"/>
                    </w:rPr>
                  </m:ctrlPr>
                </m:funcPr>
                <m:fName>
                  <m:r>
                    <m:rPr>
                      <m:sty m:val="p"/>
                    </m:rPr>
                    <w:rPr>
                      <w:rFonts w:ascii="Cambria Math" w:hAnsi="Cambria Math" w:cs="Cambria Math"/>
                    </w:rPr>
                    <m:t>log</m:t>
                  </m:r>
                  <m:ctrlPr>
                    <w:rPr>
                      <w:rFonts w:ascii="Cambria Math" w:hAnsi="Cambria Math" w:cs="Cambria Math"/>
                      <w:i/>
                    </w:rPr>
                  </m:ctrlPr>
                </m:fName>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i</m:t>
                          </m:r>
                        </m:sub>
                      </m:sSub>
                    </m:e>
                  </m:d>
                </m:e>
              </m:func>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SGR</m:t>
                  </m:r>
                </m:e>
                <m:sub>
                  <m:r>
                    <w:rPr>
                      <w:rFonts w:ascii="Cambria Math" w:hAnsi="Cambria Math" w:cs="Cambria Math"/>
                    </w:rPr>
                    <m:t>L</m:t>
                  </m:r>
                </m:sub>
              </m:sSub>
            </m:den>
          </m:f>
        </m:oMath>
      </m:oMathPara>
    </w:p>
    <w:p w14:paraId="5AACF959" w14:textId="0F810FE3" w:rsidR="00F15010" w:rsidRDefault="00F15010" w:rsidP="00517443">
      <w:pPr>
        <w:pStyle w:val="NATESTYLE1CommonCollege"/>
        <w:spacing w:after="240"/>
      </w:pPr>
      <w:r w:rsidRPr="00F15010">
        <w:t xml:space="preserve">The daily average survival was found by averaging the proportion of snails alive on the given day. If a snail had died on a given day, it was removed from further proportions. One predatory </w:t>
      </w:r>
      <w:r w:rsidRPr="00F15010">
        <w:rPr>
          <w:i/>
          <w:iCs/>
        </w:rPr>
        <w:t xml:space="preserve">B. </w:t>
      </w:r>
      <w:proofErr w:type="spellStart"/>
      <w:r w:rsidRPr="00F15010">
        <w:rPr>
          <w:i/>
          <w:iCs/>
        </w:rPr>
        <w:t>lutarium</w:t>
      </w:r>
      <w:proofErr w:type="spellEnd"/>
      <w:r w:rsidRPr="00F15010">
        <w:t xml:space="preserve"> colonized a cage in the dry season and all four snails were killed, this cage was excluded from this analysis.</w:t>
      </w:r>
    </w:p>
    <w:p w14:paraId="4BBF1D04" w14:textId="77777777" w:rsidR="003A01BD" w:rsidRPr="003A01BD" w:rsidRDefault="003A01BD" w:rsidP="00517443">
      <w:pPr>
        <w:pStyle w:val="NATESTYLE1CommonCollege"/>
        <w:spacing w:after="240"/>
        <w:rPr>
          <w:i/>
          <w:iCs/>
        </w:rPr>
      </w:pPr>
      <w:r w:rsidRPr="003A01BD">
        <w:rPr>
          <w:i/>
          <w:iCs/>
        </w:rPr>
        <w:t xml:space="preserve">Invertebrate Predator maximum size selection experiment </w:t>
      </w:r>
    </w:p>
    <w:p w14:paraId="3761F55F" w14:textId="0143F4AB" w:rsidR="003A01BD" w:rsidRDefault="003A01BD" w:rsidP="00517443">
      <w:pPr>
        <w:pStyle w:val="NATESTYLE1CommonCollege"/>
        <w:spacing w:after="240"/>
      </w:pPr>
      <w:r w:rsidRPr="003A01BD">
        <w:t>The purpose of this experiment was to test for the maximum size of apple snail (</w:t>
      </w:r>
      <w:r w:rsidRPr="00581F7E">
        <w:rPr>
          <w:i/>
          <w:iCs/>
        </w:rPr>
        <w:t>P. paludosa</w:t>
      </w:r>
      <w:r w:rsidRPr="003A01BD">
        <w:t>) that a crayfish (</w:t>
      </w:r>
      <w:proofErr w:type="spellStart"/>
      <w:r w:rsidRPr="00581F7E">
        <w:rPr>
          <w:i/>
          <w:iCs/>
        </w:rPr>
        <w:t>Procambarus</w:t>
      </w:r>
      <w:proofErr w:type="spellEnd"/>
      <w:r w:rsidRPr="00581F7E">
        <w:rPr>
          <w:i/>
          <w:iCs/>
        </w:rPr>
        <w:t xml:space="preserve"> </w:t>
      </w:r>
      <w:proofErr w:type="spellStart"/>
      <w:r w:rsidRPr="00581F7E">
        <w:rPr>
          <w:i/>
          <w:iCs/>
        </w:rPr>
        <w:t>fallax</w:t>
      </w:r>
      <w:proofErr w:type="spellEnd"/>
      <w:r w:rsidRPr="003A01BD">
        <w:t>) or giant water bug (</w:t>
      </w:r>
      <w:proofErr w:type="spellStart"/>
      <w:r w:rsidRPr="00581F7E">
        <w:rPr>
          <w:i/>
          <w:iCs/>
        </w:rPr>
        <w:t>Belostoma</w:t>
      </w:r>
      <w:proofErr w:type="spellEnd"/>
      <w:r w:rsidRPr="00581F7E">
        <w:rPr>
          <w:i/>
          <w:iCs/>
        </w:rPr>
        <w:t xml:space="preserve"> </w:t>
      </w:r>
      <w:proofErr w:type="spellStart"/>
      <w:r w:rsidRPr="00581F7E">
        <w:rPr>
          <w:i/>
          <w:iCs/>
        </w:rPr>
        <w:t>lutarium</w:t>
      </w:r>
      <w:proofErr w:type="spellEnd"/>
      <w:r w:rsidRPr="003A01BD">
        <w:t xml:space="preserve">) would eat. Predators were captured in the Loxahatchee Impoundment Landscape Assessment (LILA) located in Boynton Beach FL using wire minnow traps, then I brought the predators to the green house at the Florida Atlantic University’s campus in Davie FL, where they were housed in 1.1 m2 round mesocosms (for crayfish) or 10gallon aquaria (for giant water bugs). Before placing predators into experimental containers, I measured crayfish and giant water bugs to Carapace Length (CL) and Total Length TL), respectively. Three crayfish, and 5 giant water bugs were then placed into 8 15L-Sterilite containers filled 2/3 full of pond water. In each container, I </w:t>
      </w:r>
      <w:r w:rsidRPr="003A01BD">
        <w:lastRenderedPageBreak/>
        <w:t>placed 3 strands of sawgrass (</w:t>
      </w:r>
      <w:proofErr w:type="spellStart"/>
      <w:r w:rsidRPr="00581F7E">
        <w:rPr>
          <w:i/>
          <w:iCs/>
        </w:rPr>
        <w:t>Cladium</w:t>
      </w:r>
      <w:proofErr w:type="spellEnd"/>
      <w:r w:rsidRPr="00581F7E">
        <w:rPr>
          <w:i/>
          <w:iCs/>
        </w:rPr>
        <w:t xml:space="preserve"> </w:t>
      </w:r>
      <w:proofErr w:type="spellStart"/>
      <w:r w:rsidRPr="00581F7E">
        <w:rPr>
          <w:i/>
          <w:iCs/>
        </w:rPr>
        <w:t>jamaicense</w:t>
      </w:r>
      <w:proofErr w:type="spellEnd"/>
      <w:r w:rsidRPr="003A01BD">
        <w:t>; collected from plants already growing at the green house) for giant water bug perching sites, one 3–4-inch piece of 1 inch diameter PVC pipe was added as hiding place for crayfish, and an air bubbler was added in experimental containers to keep the containers well saturated with dissolved oxygen. After starving the predators for 24 hours, I placed a large snail (</w:t>
      </w:r>
      <w:proofErr w:type="spellStart"/>
      <w:r w:rsidRPr="003A01BD">
        <w:t>i.e.,snails</w:t>
      </w:r>
      <w:proofErr w:type="spellEnd"/>
      <w:r w:rsidRPr="003A01BD">
        <w:t xml:space="preserve"> larger than the predator could eat; 21-25 mm shell length-SL) into each experimental container for another 24 hours, then I progressively offered a smaller snail (~4 mm SL increments) to each predator for another 24 hours until the predator ate a snail. I measured each snails SL prior to offering the snail to a predator, so I knew the exact SL of each snail that the predator ate. The results of this experiment are summarized in Table </w:t>
      </w:r>
      <w:r w:rsidR="00581F7E">
        <w:t>S1</w:t>
      </w:r>
    </w:p>
    <w:p w14:paraId="7ED244DE" w14:textId="3E18D325" w:rsidR="00E16645" w:rsidRPr="00517443" w:rsidRDefault="00E16645" w:rsidP="00E16645">
      <w:pPr>
        <w:pStyle w:val="NATESTYLE1CommonCollege"/>
        <w:spacing w:line="240" w:lineRule="auto"/>
      </w:pPr>
      <w:r w:rsidRPr="00E16645">
        <w:t xml:space="preserve">Table </w:t>
      </w:r>
      <w:r w:rsidR="00581F7E">
        <w:t>S1</w:t>
      </w:r>
      <w:r w:rsidRPr="00E16645">
        <w:t xml:space="preserve">: Table illustrating the results of the predator selection experiment. Each column gives the predator and size while each row shows the SL of snail presented to the predator. The black dots in the cells indicates that a snail in the given size category was presented but not eaten. The cells that contain a number indicate the actual size of the snail eaten by the predator. </w:t>
      </w:r>
    </w:p>
    <w:p w14:paraId="2D928976" w14:textId="6081C67C" w:rsidR="004264F5" w:rsidRDefault="00581F7E" w:rsidP="00BE532C">
      <w:pPr>
        <w:pStyle w:val="NATESTYLE1CommonCollege"/>
        <w:spacing w:after="240" w:line="240" w:lineRule="auto"/>
      </w:pPr>
      <w:r w:rsidRPr="00581F7E">
        <w:drawing>
          <wp:inline distT="0" distB="0" distL="0" distR="0" wp14:anchorId="6DA85ADC" wp14:editId="755A0BD1">
            <wp:extent cx="5943600" cy="2195195"/>
            <wp:effectExtent l="0" t="0" r="0" b="0"/>
            <wp:docPr id="61279595" name="Picture 1" descr="A diagram of a number of water bu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595" name="Picture 1" descr="A diagram of a number of water bugs&#10;&#10;Description automatically generated"/>
                    <pic:cNvPicPr/>
                  </pic:nvPicPr>
                  <pic:blipFill>
                    <a:blip r:embed="rId7"/>
                    <a:stretch>
                      <a:fillRect/>
                    </a:stretch>
                  </pic:blipFill>
                  <pic:spPr>
                    <a:xfrm>
                      <a:off x="0" y="0"/>
                      <a:ext cx="5943600" cy="2195195"/>
                    </a:xfrm>
                    <a:prstGeom prst="rect">
                      <a:avLst/>
                    </a:prstGeom>
                  </pic:spPr>
                </pic:pic>
              </a:graphicData>
            </a:graphic>
          </wp:inline>
        </w:drawing>
      </w:r>
    </w:p>
    <w:p w14:paraId="5CC00577" w14:textId="77777777" w:rsidR="00BE532C" w:rsidRPr="00524172" w:rsidRDefault="00BE532C" w:rsidP="00BE532C">
      <w:pPr>
        <w:autoSpaceDE w:val="0"/>
        <w:autoSpaceDN w:val="0"/>
        <w:adjustRightInd w:val="0"/>
        <w:spacing w:line="480" w:lineRule="auto"/>
        <w:jc w:val="both"/>
        <w:rPr>
          <w:rFonts w:ascii="Times New Roman" w:hAnsi="Times New Roman" w:cs="Times New Roman"/>
          <w:sz w:val="24"/>
          <w:szCs w:val="24"/>
        </w:rPr>
      </w:pPr>
    </w:p>
    <w:p w14:paraId="449D65A2" w14:textId="77777777" w:rsidR="00161286" w:rsidRDefault="00161286" w:rsidP="00161286">
      <w:pPr>
        <w:pStyle w:val="NATESTYLE1CommonCollege"/>
        <w:jc w:val="both"/>
      </w:pPr>
    </w:p>
    <w:p w14:paraId="46FC9083" w14:textId="77777777" w:rsidR="0035377D" w:rsidRDefault="0035377D" w:rsidP="0035377D">
      <w:pPr>
        <w:pStyle w:val="NATESTYLE1CommonCollege"/>
        <w:jc w:val="both"/>
      </w:pPr>
      <w:r>
        <w:br w:type="page"/>
      </w:r>
    </w:p>
    <w:p w14:paraId="120312C1" w14:textId="59665CA2" w:rsidR="0035377D" w:rsidRDefault="0035377D" w:rsidP="0035377D">
      <w:pPr>
        <w:pStyle w:val="NATESTYLE1CommonCollege"/>
        <w:jc w:val="both"/>
      </w:pPr>
      <w:r>
        <w:lastRenderedPageBreak/>
        <w:br/>
        <w:t>Literature Cited</w:t>
      </w:r>
    </w:p>
    <w:p w14:paraId="487E25BB" w14:textId="77777777" w:rsidR="00161286" w:rsidRPr="00161286" w:rsidRDefault="0035377D" w:rsidP="00161286">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61286" w:rsidRPr="00161286">
        <w:rPr>
          <w:rFonts w:ascii="Times New Roman" w:hAnsi="Times New Roman" w:cs="Times New Roman"/>
          <w:sz w:val="24"/>
        </w:rPr>
        <w:t xml:space="preserve">Barrus, N. T., Drumheller, D., Cook, M. I., &amp; Dorn, N. J. (2023). Life history responses of two co-occurring congeneric Apple Snails (Pomacea maculata and P. paludosa) to variation in water depth and metaphyton total phosphorus. </w:t>
      </w:r>
      <w:r w:rsidR="00161286" w:rsidRPr="00161286">
        <w:rPr>
          <w:rFonts w:ascii="Times New Roman" w:hAnsi="Times New Roman" w:cs="Times New Roman"/>
          <w:i/>
          <w:iCs/>
          <w:sz w:val="24"/>
        </w:rPr>
        <w:t>Hydrobiologia</w:t>
      </w:r>
      <w:r w:rsidR="00161286" w:rsidRPr="00161286">
        <w:rPr>
          <w:rFonts w:ascii="Times New Roman" w:hAnsi="Times New Roman" w:cs="Times New Roman"/>
          <w:sz w:val="24"/>
        </w:rPr>
        <w:t>.</w:t>
      </w:r>
    </w:p>
    <w:p w14:paraId="2A7A4CE1"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Darby, P. C., DeAngelis, D. L., Romañach, S. S., Suir, K., &amp; Bridevaux, J. (2015). Modeling apple snail population dynamics on the Everglades landscape. </w:t>
      </w:r>
      <w:r w:rsidRPr="00161286">
        <w:rPr>
          <w:rFonts w:ascii="Times New Roman" w:hAnsi="Times New Roman" w:cs="Times New Roman"/>
          <w:i/>
          <w:iCs/>
          <w:sz w:val="24"/>
        </w:rPr>
        <w:t>Landscape Ecology</w:t>
      </w:r>
      <w:r w:rsidRPr="00161286">
        <w:rPr>
          <w:rFonts w:ascii="Times New Roman" w:hAnsi="Times New Roman" w:cs="Times New Roman"/>
          <w:sz w:val="24"/>
        </w:rPr>
        <w:t xml:space="preserve">, </w:t>
      </w:r>
      <w:r w:rsidRPr="00161286">
        <w:rPr>
          <w:rFonts w:ascii="Times New Roman" w:hAnsi="Times New Roman" w:cs="Times New Roman"/>
          <w:i/>
          <w:iCs/>
          <w:sz w:val="24"/>
        </w:rPr>
        <w:t>30</w:t>
      </w:r>
      <w:r w:rsidRPr="00161286">
        <w:rPr>
          <w:rFonts w:ascii="Times New Roman" w:hAnsi="Times New Roman" w:cs="Times New Roman"/>
          <w:sz w:val="24"/>
        </w:rPr>
        <w:t>(8), 1497–1510. https://doi.org/10.1007/s10980-015-0205-5</w:t>
      </w:r>
    </w:p>
    <w:p w14:paraId="30E41454"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Davidson, A. T., &amp; Dorn, N. J. (2017). Life history traits determine the differential vulnerability of native and invasive apple snails (Pomacea spp.) to a shared juvenile-stage predator. </w:t>
      </w:r>
      <w:r w:rsidRPr="00161286">
        <w:rPr>
          <w:rFonts w:ascii="Times New Roman" w:hAnsi="Times New Roman" w:cs="Times New Roman"/>
          <w:i/>
          <w:iCs/>
          <w:sz w:val="24"/>
        </w:rPr>
        <w:t>Aquatic Ecology</w:t>
      </w:r>
      <w:r w:rsidRPr="00161286">
        <w:rPr>
          <w:rFonts w:ascii="Times New Roman" w:hAnsi="Times New Roman" w:cs="Times New Roman"/>
          <w:sz w:val="24"/>
        </w:rPr>
        <w:t xml:space="preserve">, </w:t>
      </w:r>
      <w:r w:rsidRPr="00161286">
        <w:rPr>
          <w:rFonts w:ascii="Times New Roman" w:hAnsi="Times New Roman" w:cs="Times New Roman"/>
          <w:i/>
          <w:iCs/>
          <w:sz w:val="24"/>
        </w:rPr>
        <w:t>51</w:t>
      </w:r>
      <w:r w:rsidRPr="00161286">
        <w:rPr>
          <w:rFonts w:ascii="Times New Roman" w:hAnsi="Times New Roman" w:cs="Times New Roman"/>
          <w:sz w:val="24"/>
        </w:rPr>
        <w:t>(3), 331–341. https://doi.org/10.1007/s10452-017-9620-9</w:t>
      </w:r>
    </w:p>
    <w:p w14:paraId="38ECA405"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Dorn, N. J., &amp; Cook, M. I. (2015). Hydrological disturbance diminishes predator control in wetlands. </w:t>
      </w:r>
      <w:r w:rsidRPr="00161286">
        <w:rPr>
          <w:rFonts w:ascii="Times New Roman" w:hAnsi="Times New Roman" w:cs="Times New Roman"/>
          <w:i/>
          <w:iCs/>
          <w:sz w:val="24"/>
        </w:rPr>
        <w:t>Ecology</w:t>
      </w:r>
      <w:r w:rsidRPr="00161286">
        <w:rPr>
          <w:rFonts w:ascii="Times New Roman" w:hAnsi="Times New Roman" w:cs="Times New Roman"/>
          <w:sz w:val="24"/>
        </w:rPr>
        <w:t xml:space="preserve">, </w:t>
      </w:r>
      <w:r w:rsidRPr="00161286">
        <w:rPr>
          <w:rFonts w:ascii="Times New Roman" w:hAnsi="Times New Roman" w:cs="Times New Roman"/>
          <w:i/>
          <w:iCs/>
          <w:sz w:val="24"/>
        </w:rPr>
        <w:t>96</w:t>
      </w:r>
      <w:r w:rsidRPr="00161286">
        <w:rPr>
          <w:rFonts w:ascii="Times New Roman" w:hAnsi="Times New Roman" w:cs="Times New Roman"/>
          <w:sz w:val="24"/>
        </w:rPr>
        <w:t>(11), 2984–2993. https://doi.org/10.1890/14-1505.1</w:t>
      </w:r>
    </w:p>
    <w:p w14:paraId="695D34EC"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Dorn, N. J., Urgelles, R., &amp; Trexler, J. C. (2005). Evaluating active and passive sampling methods to quantify crayfish density in a freshwater wetland. </w:t>
      </w:r>
      <w:r w:rsidRPr="00161286">
        <w:rPr>
          <w:rFonts w:ascii="Times New Roman" w:hAnsi="Times New Roman" w:cs="Times New Roman"/>
          <w:i/>
          <w:iCs/>
          <w:sz w:val="24"/>
        </w:rPr>
        <w:t>Journal of the North American Benthological Society</w:t>
      </w:r>
      <w:r w:rsidRPr="00161286">
        <w:rPr>
          <w:rFonts w:ascii="Times New Roman" w:hAnsi="Times New Roman" w:cs="Times New Roman"/>
          <w:sz w:val="24"/>
        </w:rPr>
        <w:t xml:space="preserve">, </w:t>
      </w:r>
      <w:r w:rsidRPr="00161286">
        <w:rPr>
          <w:rFonts w:ascii="Times New Roman" w:hAnsi="Times New Roman" w:cs="Times New Roman"/>
          <w:i/>
          <w:iCs/>
          <w:sz w:val="24"/>
        </w:rPr>
        <w:t>24</w:t>
      </w:r>
      <w:r w:rsidRPr="00161286">
        <w:rPr>
          <w:rFonts w:ascii="Times New Roman" w:hAnsi="Times New Roman" w:cs="Times New Roman"/>
          <w:sz w:val="24"/>
        </w:rPr>
        <w:t>(2), 346–356. https://doi.org/10.1899/04-037.1</w:t>
      </w:r>
    </w:p>
    <w:p w14:paraId="37C42B29"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Jones, J. W. (2015). Efficient wetland surface water detection and monitoring via landsat: Comparison with in situ data from the everglades depth estimation network. </w:t>
      </w:r>
      <w:r w:rsidRPr="00161286">
        <w:rPr>
          <w:rFonts w:ascii="Times New Roman" w:hAnsi="Times New Roman" w:cs="Times New Roman"/>
          <w:i/>
          <w:iCs/>
          <w:sz w:val="24"/>
        </w:rPr>
        <w:t>Remote Sensing</w:t>
      </w:r>
      <w:r w:rsidRPr="00161286">
        <w:rPr>
          <w:rFonts w:ascii="Times New Roman" w:hAnsi="Times New Roman" w:cs="Times New Roman"/>
          <w:sz w:val="24"/>
        </w:rPr>
        <w:t xml:space="preserve">, </w:t>
      </w:r>
      <w:r w:rsidRPr="00161286">
        <w:rPr>
          <w:rFonts w:ascii="Times New Roman" w:hAnsi="Times New Roman" w:cs="Times New Roman"/>
          <w:i/>
          <w:iCs/>
          <w:sz w:val="24"/>
        </w:rPr>
        <w:t>7</w:t>
      </w:r>
      <w:r w:rsidRPr="00161286">
        <w:rPr>
          <w:rFonts w:ascii="Times New Roman" w:hAnsi="Times New Roman" w:cs="Times New Roman"/>
          <w:sz w:val="24"/>
        </w:rPr>
        <w:t>(9), 12503–12538. https://doi.org/10.3390/rs70912503</w:t>
      </w:r>
    </w:p>
    <w:p w14:paraId="7BB88D2C"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t xml:space="preserve">Pomacea Project, Inc. (2013). Literature Review of Florida Apple Snails and Snail Kites , and Recommendations for their Adaptive Management. </w:t>
      </w:r>
      <w:r w:rsidRPr="00161286">
        <w:rPr>
          <w:rFonts w:ascii="Times New Roman" w:hAnsi="Times New Roman" w:cs="Times New Roman"/>
          <w:i/>
          <w:iCs/>
          <w:sz w:val="24"/>
        </w:rPr>
        <w:t>Final.Report Submitted to National Park Service, Everglades National Park, by The Pomacea Project, Inc., Pensacola, Florida</w:t>
      </w:r>
      <w:r w:rsidRPr="00161286">
        <w:rPr>
          <w:rFonts w:ascii="Times New Roman" w:hAnsi="Times New Roman" w:cs="Times New Roman"/>
          <w:sz w:val="24"/>
        </w:rPr>
        <w:t>.</w:t>
      </w:r>
    </w:p>
    <w:p w14:paraId="720CC38C" w14:textId="77777777" w:rsidR="00161286" w:rsidRPr="00161286" w:rsidRDefault="00161286" w:rsidP="00161286">
      <w:pPr>
        <w:pStyle w:val="Bibliography"/>
        <w:rPr>
          <w:rFonts w:ascii="Times New Roman" w:hAnsi="Times New Roman" w:cs="Times New Roman"/>
          <w:sz w:val="24"/>
        </w:rPr>
      </w:pPr>
      <w:r w:rsidRPr="00161286">
        <w:rPr>
          <w:rFonts w:ascii="Times New Roman" w:hAnsi="Times New Roman" w:cs="Times New Roman"/>
          <w:sz w:val="24"/>
        </w:rPr>
        <w:lastRenderedPageBreak/>
        <w:t xml:space="preserve">Sommer, J. L. (2021). </w:t>
      </w:r>
      <w:r w:rsidRPr="00161286">
        <w:rPr>
          <w:rFonts w:ascii="Times New Roman" w:hAnsi="Times New Roman" w:cs="Times New Roman"/>
          <w:i/>
          <w:iCs/>
          <w:sz w:val="24"/>
        </w:rPr>
        <w:t>Effects of Wet Season Hydro-patter on Crayfish (Procambarus fallax) population density and juvenile mortality risk</w:t>
      </w:r>
      <w:r w:rsidRPr="00161286">
        <w:rPr>
          <w:rFonts w:ascii="Times New Roman" w:hAnsi="Times New Roman" w:cs="Times New Roman"/>
          <w:sz w:val="24"/>
        </w:rPr>
        <w:t xml:space="preserve"> (Issue May). Florida Atlantic University. Boca Raton, FL.</w:t>
      </w:r>
    </w:p>
    <w:p w14:paraId="26F0F1A9" w14:textId="54731678" w:rsidR="0035377D" w:rsidRPr="0035377D" w:rsidRDefault="0035377D">
      <w:pPr>
        <w:rPr>
          <w:rFonts w:ascii="Times New Roman" w:hAnsi="Times New Roman" w:cs="Times New Roman"/>
          <w:sz w:val="24"/>
          <w:szCs w:val="24"/>
        </w:rPr>
      </w:pPr>
      <w:r>
        <w:rPr>
          <w:rFonts w:ascii="Times New Roman" w:hAnsi="Times New Roman" w:cs="Times New Roman"/>
          <w:sz w:val="24"/>
          <w:szCs w:val="24"/>
        </w:rPr>
        <w:fldChar w:fldCharType="end"/>
      </w:r>
    </w:p>
    <w:sectPr w:rsidR="0035377D" w:rsidRPr="00353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7D"/>
    <w:rsid w:val="00161286"/>
    <w:rsid w:val="002222B2"/>
    <w:rsid w:val="00233D22"/>
    <w:rsid w:val="0035377D"/>
    <w:rsid w:val="003A01BD"/>
    <w:rsid w:val="004264F5"/>
    <w:rsid w:val="00436270"/>
    <w:rsid w:val="00517443"/>
    <w:rsid w:val="00581F7E"/>
    <w:rsid w:val="00603963"/>
    <w:rsid w:val="006C6657"/>
    <w:rsid w:val="00774F69"/>
    <w:rsid w:val="00886044"/>
    <w:rsid w:val="00894A36"/>
    <w:rsid w:val="00BE532C"/>
    <w:rsid w:val="00D65E20"/>
    <w:rsid w:val="00E16645"/>
    <w:rsid w:val="00EA177E"/>
    <w:rsid w:val="00F1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38CE"/>
  <w15:chartTrackingRefBased/>
  <w15:docId w15:val="{F8949B4B-2392-4B18-86D7-E293FFEC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TESTYLE1CommonCollege">
    <w:name w:val="NATE STYLE 1_CommonCollege"/>
    <w:basedOn w:val="Normal"/>
    <w:link w:val="NATESTYLE1CommonCollegeChar"/>
    <w:qFormat/>
    <w:rsid w:val="0035377D"/>
    <w:pPr>
      <w:spacing w:after="0" w:line="480" w:lineRule="auto"/>
    </w:pPr>
    <w:rPr>
      <w:rFonts w:ascii="Times New Roman" w:hAnsi="Times New Roman" w:cs="Times New Roman"/>
      <w:kern w:val="0"/>
      <w:sz w:val="24"/>
      <w:szCs w:val="24"/>
      <w14:ligatures w14:val="none"/>
    </w:rPr>
  </w:style>
  <w:style w:type="character" w:customStyle="1" w:styleId="NATESTYLE1CommonCollegeChar">
    <w:name w:val="NATE STYLE 1_CommonCollege Char"/>
    <w:basedOn w:val="DefaultParagraphFont"/>
    <w:link w:val="NATESTYLE1CommonCollege"/>
    <w:rsid w:val="0035377D"/>
    <w:rPr>
      <w:rFonts w:ascii="Times New Roman" w:hAnsi="Times New Roman" w:cs="Times New Roman"/>
      <w:kern w:val="0"/>
      <w:sz w:val="24"/>
      <w:szCs w:val="24"/>
      <w14:ligatures w14:val="none"/>
    </w:rPr>
  </w:style>
  <w:style w:type="character" w:customStyle="1" w:styleId="normaltextrun">
    <w:name w:val="normaltextrun"/>
    <w:basedOn w:val="DefaultParagraphFont"/>
    <w:rsid w:val="0035377D"/>
  </w:style>
  <w:style w:type="paragraph" w:styleId="Bibliography">
    <w:name w:val="Bibliography"/>
    <w:basedOn w:val="Normal"/>
    <w:next w:val="Normal"/>
    <w:uiPriority w:val="37"/>
    <w:unhideWhenUsed/>
    <w:rsid w:val="0035377D"/>
    <w:pPr>
      <w:spacing w:after="0" w:line="480" w:lineRule="auto"/>
      <w:ind w:left="720" w:hanging="720"/>
    </w:pPr>
  </w:style>
  <w:style w:type="character" w:styleId="LineNumber">
    <w:name w:val="line number"/>
    <w:basedOn w:val="DefaultParagraphFont"/>
    <w:uiPriority w:val="99"/>
    <w:semiHidden/>
    <w:unhideWhenUsed/>
    <w:rsid w:val="00BE532C"/>
  </w:style>
  <w:style w:type="character" w:styleId="CommentReference">
    <w:name w:val="annotation reference"/>
    <w:basedOn w:val="DefaultParagraphFont"/>
    <w:uiPriority w:val="99"/>
    <w:semiHidden/>
    <w:unhideWhenUsed/>
    <w:rsid w:val="00894A36"/>
    <w:rPr>
      <w:sz w:val="16"/>
      <w:szCs w:val="16"/>
    </w:rPr>
  </w:style>
  <w:style w:type="paragraph" w:styleId="CommentText">
    <w:name w:val="annotation text"/>
    <w:basedOn w:val="Normal"/>
    <w:link w:val="CommentTextChar"/>
    <w:uiPriority w:val="99"/>
    <w:unhideWhenUsed/>
    <w:rsid w:val="00894A36"/>
    <w:pPr>
      <w:spacing w:after="0" w:line="240" w:lineRule="auto"/>
    </w:pPr>
    <w:rPr>
      <w:rFonts w:ascii="Times New Roman" w:hAnsi="Times New Roman"/>
      <w:kern w:val="0"/>
      <w:sz w:val="20"/>
      <w:szCs w:val="20"/>
      <w14:ligatures w14:val="none"/>
    </w:rPr>
  </w:style>
  <w:style w:type="character" w:customStyle="1" w:styleId="CommentTextChar">
    <w:name w:val="Comment Text Char"/>
    <w:basedOn w:val="DefaultParagraphFont"/>
    <w:link w:val="CommentText"/>
    <w:uiPriority w:val="99"/>
    <w:rsid w:val="00894A36"/>
    <w:rPr>
      <w:rFonts w:ascii="Times New Roman" w:hAnsi="Times New Roman"/>
      <w:kern w:val="0"/>
      <w:sz w:val="20"/>
      <w:szCs w:val="20"/>
      <w14:ligatures w14:val="none"/>
    </w:rPr>
  </w:style>
  <w:style w:type="character" w:styleId="PlaceholderText">
    <w:name w:val="Placeholder Text"/>
    <w:basedOn w:val="DefaultParagraphFont"/>
    <w:uiPriority w:val="99"/>
    <w:semiHidden/>
    <w:rsid w:val="00F150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188C9-380D-461D-A4C4-56B0B167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6003</Words>
  <Characters>34219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18</cp:revision>
  <dcterms:created xsi:type="dcterms:W3CDTF">2024-01-02T15:07:00Z</dcterms:created>
  <dcterms:modified xsi:type="dcterms:W3CDTF">2024-01-17T19:26:00Z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id="nssAQcjc"/&gt;&lt;style id="http://www.zotero.org/styles/functional-ecology" hasBibliography="1" bibliographyStyleHasBeenSet="1"/&gt;&lt;prefs&gt;&lt;pref name="fieldType" value="Field"/&gt;&lt;/prefs&gt;&lt;/data&gt;</vt:lpwstr>
  </property>
</Properties>
</file>