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FF65" w14:textId="0AA45557" w:rsidR="001744B4" w:rsidRPr="001744B4" w:rsidRDefault="001744B4" w:rsidP="001744B4">
      <w:pPr>
        <w:jc w:val="center"/>
        <w:rPr>
          <w:rFonts w:ascii="Times New Roman" w:hAnsi="Times New Roman" w:cs="Times New Roman"/>
        </w:rPr>
      </w:pPr>
      <w:r w:rsidRPr="001744B4">
        <w:rPr>
          <w:rFonts w:ascii="Times New Roman" w:hAnsi="Times New Roman" w:cs="Times New Roman"/>
          <w:b/>
          <w:bCs/>
        </w:rPr>
        <w:t>SABR Analytics Conference 2026</w:t>
      </w:r>
    </w:p>
    <w:p w14:paraId="7FFF48F5" w14:textId="798042C9" w:rsidR="001744B4" w:rsidRPr="001744B4" w:rsidRDefault="001744B4" w:rsidP="001744B4">
      <w:pPr>
        <w:jc w:val="center"/>
        <w:rPr>
          <w:rFonts w:ascii="Times New Roman" w:hAnsi="Times New Roman" w:cs="Times New Roman"/>
          <w:b/>
          <w:bCs/>
        </w:rPr>
      </w:pPr>
      <w:r w:rsidRPr="001744B4">
        <w:rPr>
          <w:rFonts w:ascii="Times New Roman" w:hAnsi="Times New Roman" w:cs="Times New Roman"/>
          <w:b/>
          <w:bCs/>
        </w:rPr>
        <w:t>Separating Signal from Noise: A Bayesian Approach to Distinguishing Natural Aging from Injury-Related Decline in MLB Pitchers</w:t>
      </w:r>
    </w:p>
    <w:p w14:paraId="32438E6D" w14:textId="77777777" w:rsidR="001744B4" w:rsidRPr="001744B4" w:rsidRDefault="001744B4" w:rsidP="001744B4">
      <w:pPr>
        <w:rPr>
          <w:rFonts w:ascii="Times New Roman" w:hAnsi="Times New Roman" w:cs="Times New Roman"/>
        </w:rPr>
      </w:pPr>
    </w:p>
    <w:p w14:paraId="7F9ED29E" w14:textId="77024D92" w:rsidR="001744B4" w:rsidRPr="001744B4" w:rsidRDefault="001744B4" w:rsidP="001744B4">
      <w:pPr>
        <w:rPr>
          <w:rFonts w:ascii="Times New Roman" w:hAnsi="Times New Roman" w:cs="Times New Roman"/>
        </w:rPr>
      </w:pPr>
      <w:r w:rsidRPr="001744B4">
        <w:rPr>
          <w:rFonts w:ascii="Times New Roman" w:hAnsi="Times New Roman" w:cs="Times New Roman"/>
          <w:b/>
          <w:bCs/>
        </w:rPr>
        <w:t>Previous Work:</w:t>
      </w:r>
      <w:r w:rsidRPr="001744B4">
        <w:rPr>
          <w:rFonts w:ascii="Times New Roman" w:hAnsi="Times New Roman" w:cs="Times New Roman"/>
        </w:rPr>
        <w:t xml:space="preserve"> Pitcher aging curves have been extensively studied in baseball analytics, with researchers establishing that velocity and overall effectiveness typically decline after age 30-32. However, existing approaches treat all performance declines as equivalent, failing to distinguish between natural aging patterns and injury-related deterioration. This limitation significantly reduces the actionable value of aging models for front offices evaluating contract decisions and player development staff managing workload. While changepoint detection methods exist in the broader statistical literature, their application to pitcher performance evaluation</w:t>
      </w:r>
      <w:r w:rsidRPr="001744B4">
        <w:rPr>
          <w:rFonts w:ascii="Times New Roman" w:hAnsi="Times New Roman" w:cs="Times New Roman"/>
        </w:rPr>
        <w:t xml:space="preserve"> </w:t>
      </w:r>
      <w:r w:rsidRPr="001744B4">
        <w:rPr>
          <w:rFonts w:ascii="Times New Roman" w:hAnsi="Times New Roman" w:cs="Times New Roman"/>
        </w:rPr>
        <w:t>particularly when integrated with injury data</w:t>
      </w:r>
      <w:r w:rsidRPr="001744B4">
        <w:rPr>
          <w:rFonts w:ascii="Times New Roman" w:hAnsi="Times New Roman" w:cs="Times New Roman"/>
        </w:rPr>
        <w:t xml:space="preserve"> </w:t>
      </w:r>
      <w:r w:rsidRPr="001744B4">
        <w:rPr>
          <w:rFonts w:ascii="Times New Roman" w:hAnsi="Times New Roman" w:cs="Times New Roman"/>
        </w:rPr>
        <w:t>remains largely unexplored in public baseball research.</w:t>
      </w:r>
    </w:p>
    <w:p w14:paraId="0B02F2A9" w14:textId="77777777" w:rsidR="001744B4" w:rsidRPr="001744B4" w:rsidRDefault="001744B4" w:rsidP="001744B4">
      <w:pPr>
        <w:rPr>
          <w:rFonts w:ascii="Times New Roman" w:hAnsi="Times New Roman" w:cs="Times New Roman"/>
        </w:rPr>
      </w:pPr>
      <w:r w:rsidRPr="001744B4">
        <w:rPr>
          <w:rFonts w:ascii="Times New Roman" w:hAnsi="Times New Roman" w:cs="Times New Roman"/>
          <w:b/>
          <w:bCs/>
        </w:rPr>
        <w:t>Research Methodology:</w:t>
      </w:r>
      <w:r w:rsidRPr="001744B4">
        <w:rPr>
          <w:rFonts w:ascii="Times New Roman" w:hAnsi="Times New Roman" w:cs="Times New Roman"/>
        </w:rPr>
        <w:t xml:space="preserve"> This study develops a hierarchical Bayesian framework using 2015-2024 Statcast data to model individual pitcher aging trajectories while quantifying the uncertainty inherent in performance projections. The methodology employs three integrated components: First, we fit individual aging curves for velocity, movement, and command metrics using mixed-effects models that allow each pitcher to deviate from population-level trends while borrowing statistical strength across similar player profiles. Second, we implement Bayesian changepoint detection algorithms to identify the precise timing of performance regime shifts with associated probability estimates, distinguishing gradual decline patterns from sudden drops. Third, we integrate historical injury list data to create features that help differentiate injury-related declines from natural aging patterns, examining velocity recovery trajectories and the temporal relationship between IL placements and detected changepoints.</w:t>
      </w:r>
    </w:p>
    <w:p w14:paraId="0B23E93B" w14:textId="77777777" w:rsidR="001744B4" w:rsidRPr="001744B4" w:rsidRDefault="001744B4" w:rsidP="001744B4">
      <w:pPr>
        <w:rPr>
          <w:rFonts w:ascii="Times New Roman" w:hAnsi="Times New Roman" w:cs="Times New Roman"/>
        </w:rPr>
      </w:pPr>
      <w:r w:rsidRPr="001744B4">
        <w:rPr>
          <w:rFonts w:ascii="Times New Roman" w:hAnsi="Times New Roman" w:cs="Times New Roman"/>
        </w:rPr>
        <w:t>The model outputs posterior probability distributions rather than point estimates, providing decision-makers with uncertainty quantification (e.g., "75% probability this pitcher's decline began in June 2023" rather than merely "pitcher is declining"). We validate the framework through retrospective analysis of known decline cases, measuring both the model's predictive accuracy and the calibration of its confidence intervals.</w:t>
      </w:r>
    </w:p>
    <w:p w14:paraId="7BB739DF" w14:textId="1652BB1A" w:rsidR="001744B4" w:rsidRPr="001744B4" w:rsidRDefault="001744B4" w:rsidP="001744B4">
      <w:pPr>
        <w:rPr>
          <w:rFonts w:ascii="Times New Roman" w:hAnsi="Times New Roman" w:cs="Times New Roman"/>
        </w:rPr>
      </w:pPr>
      <w:r w:rsidRPr="001744B4">
        <w:rPr>
          <w:rFonts w:ascii="Times New Roman" w:hAnsi="Times New Roman" w:cs="Times New Roman"/>
          <w:b/>
          <w:bCs/>
        </w:rPr>
        <w:t>Preliminary Results:</w:t>
      </w:r>
      <w:r w:rsidRPr="001744B4">
        <w:rPr>
          <w:rFonts w:ascii="Times New Roman" w:hAnsi="Times New Roman" w:cs="Times New Roman"/>
        </w:rPr>
        <w:t xml:space="preserve"> Analysis of 400+ pitcher-seasons reveals that changepoints in velocity occur with varying magnitudes and recovery patterns. Preliminary findings suggest that sudden velocity drops followed by partial recovery correlate strongly with documented injuries, while gradual declines (</w:t>
      </w:r>
      <w:r w:rsidR="009B23AB">
        <w:rPr>
          <w:rFonts w:ascii="Times New Roman" w:hAnsi="Times New Roman" w:cs="Times New Roman"/>
        </w:rPr>
        <w:t>i.e velo per year</w:t>
      </w:r>
      <w:r w:rsidRPr="001744B4">
        <w:rPr>
          <w:rFonts w:ascii="Times New Roman" w:hAnsi="Times New Roman" w:cs="Times New Roman"/>
        </w:rPr>
        <w:t>) better match expected aging trajectories. The hierarchical structure successfully captures individual variation</w:t>
      </w:r>
      <w:r w:rsidRPr="001744B4">
        <w:rPr>
          <w:rFonts w:ascii="Times New Roman" w:hAnsi="Times New Roman" w:cs="Times New Roman"/>
        </w:rPr>
        <w:t xml:space="preserve"> </w:t>
      </w:r>
      <w:r w:rsidRPr="001744B4">
        <w:rPr>
          <w:rFonts w:ascii="Times New Roman" w:hAnsi="Times New Roman" w:cs="Times New Roman"/>
        </w:rPr>
        <w:t>pitchers like Justin Verlander show measurably different aging patterns than population averages. We are currently finalizing the integration of comprehensive injury data to strengthen the causal distinction between decline mechanisms.</w:t>
      </w:r>
    </w:p>
    <w:p w14:paraId="3F341E1E" w14:textId="77777777" w:rsidR="001744B4" w:rsidRPr="001744B4" w:rsidRDefault="001744B4" w:rsidP="001744B4">
      <w:pPr>
        <w:rPr>
          <w:rFonts w:ascii="Times New Roman" w:hAnsi="Times New Roman" w:cs="Times New Roman"/>
        </w:rPr>
      </w:pPr>
      <w:r w:rsidRPr="001744B4">
        <w:rPr>
          <w:rFonts w:ascii="Times New Roman" w:hAnsi="Times New Roman" w:cs="Times New Roman"/>
          <w:b/>
          <w:bCs/>
        </w:rPr>
        <w:lastRenderedPageBreak/>
        <w:t>Expected Contribution:</w:t>
      </w:r>
      <w:r w:rsidRPr="001744B4">
        <w:rPr>
          <w:rFonts w:ascii="Times New Roman" w:hAnsi="Times New Roman" w:cs="Times New Roman"/>
        </w:rPr>
        <w:t xml:space="preserve"> This research provides baseball operations departments with a probabilistic early-warning system that quantifies decline risk while acknowledging uncertainty. Unlike existing aging models that simply project future performance, this framework identifies </w:t>
      </w:r>
      <w:r w:rsidRPr="001744B4">
        <w:rPr>
          <w:rFonts w:ascii="Times New Roman" w:hAnsi="Times New Roman" w:cs="Times New Roman"/>
          <w:i/>
          <w:iCs/>
        </w:rPr>
        <w:t>when</w:t>
      </w:r>
      <w:r w:rsidRPr="001744B4">
        <w:rPr>
          <w:rFonts w:ascii="Times New Roman" w:hAnsi="Times New Roman" w:cs="Times New Roman"/>
        </w:rPr>
        <w:t xml:space="preserve"> decline began, </w:t>
      </w:r>
      <w:r w:rsidRPr="001744B4">
        <w:rPr>
          <w:rFonts w:ascii="Times New Roman" w:hAnsi="Times New Roman" w:cs="Times New Roman"/>
          <w:i/>
          <w:iCs/>
        </w:rPr>
        <w:t>how confident</w:t>
      </w:r>
      <w:r w:rsidRPr="001744B4">
        <w:rPr>
          <w:rFonts w:ascii="Times New Roman" w:hAnsi="Times New Roman" w:cs="Times New Roman"/>
        </w:rPr>
        <w:t xml:space="preserve"> we should be in that assessment, and </w:t>
      </w:r>
      <w:r w:rsidRPr="001744B4">
        <w:rPr>
          <w:rFonts w:ascii="Times New Roman" w:hAnsi="Times New Roman" w:cs="Times New Roman"/>
          <w:i/>
          <w:iCs/>
        </w:rPr>
        <w:t>why</w:t>
      </w:r>
      <w:r w:rsidRPr="001744B4">
        <w:rPr>
          <w:rFonts w:ascii="Times New Roman" w:hAnsi="Times New Roman" w:cs="Times New Roman"/>
        </w:rPr>
        <w:t xml:space="preserve"> the decline likely occurred. The methodology offers immediate applications for contract negotiations, roster construction, and workload management decisions where distinguishing recoverable injury declines from permanent aging effects carries substantial financial implications.</w:t>
      </w:r>
    </w:p>
    <w:p w14:paraId="7414D534" w14:textId="77777777" w:rsidR="001744B4" w:rsidRPr="001744B4" w:rsidRDefault="001744B4">
      <w:pPr>
        <w:rPr>
          <w:rFonts w:ascii="Times New Roman" w:hAnsi="Times New Roman" w:cs="Times New Roman"/>
        </w:rPr>
      </w:pPr>
    </w:p>
    <w:sectPr w:rsidR="001744B4" w:rsidRPr="001744B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A16B" w14:textId="77777777" w:rsidR="005E46E7" w:rsidRDefault="005E46E7" w:rsidP="001744B4">
      <w:pPr>
        <w:spacing w:after="0" w:line="240" w:lineRule="auto"/>
      </w:pPr>
      <w:r>
        <w:separator/>
      </w:r>
    </w:p>
  </w:endnote>
  <w:endnote w:type="continuationSeparator" w:id="0">
    <w:p w14:paraId="65D33E7B" w14:textId="77777777" w:rsidR="005E46E7" w:rsidRDefault="005E46E7" w:rsidP="00174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74A1" w14:textId="77777777" w:rsidR="005E46E7" w:rsidRDefault="005E46E7" w:rsidP="001744B4">
      <w:pPr>
        <w:spacing w:after="0" w:line="240" w:lineRule="auto"/>
      </w:pPr>
      <w:r>
        <w:separator/>
      </w:r>
    </w:p>
  </w:footnote>
  <w:footnote w:type="continuationSeparator" w:id="0">
    <w:p w14:paraId="0AA16F5B" w14:textId="77777777" w:rsidR="005E46E7" w:rsidRDefault="005E46E7" w:rsidP="00174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B6B5" w14:textId="5913A9ED" w:rsidR="001744B4" w:rsidRDefault="001744B4">
    <w:pPr>
      <w:pStyle w:val="Header"/>
    </w:pPr>
    <w:r>
      <w:t>Nickolas Bartle</w:t>
    </w:r>
  </w:p>
  <w:p w14:paraId="33F36C4D" w14:textId="03B13CB9" w:rsidR="001744B4" w:rsidRDefault="001744B4">
    <w:pPr>
      <w:pStyle w:val="Header"/>
    </w:pPr>
    <w:r>
      <w:t>11/21</w:t>
    </w:r>
    <w:r w:rsidRPr="001744B4">
      <w:rPr>
        <w:vertAlign w:val="superscript"/>
      </w:rPr>
      <w:t>st</w:t>
    </w:r>
    <w:r>
      <w:t>/2025</w:t>
    </w:r>
  </w:p>
  <w:p w14:paraId="7A24BC55" w14:textId="51BEFE4D" w:rsidR="001744B4" w:rsidRDefault="001744B4">
    <w:pPr>
      <w:pStyle w:val="Header"/>
    </w:pPr>
    <w:r>
      <w:t>Wake Forest University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B4"/>
    <w:rsid w:val="001744B4"/>
    <w:rsid w:val="005E46E7"/>
    <w:rsid w:val="009B23AB"/>
    <w:rsid w:val="00EF2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717BD"/>
  <w15:chartTrackingRefBased/>
  <w15:docId w15:val="{6BF286B3-68D9-4569-B4A1-0DF54FB3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4B4"/>
    <w:rPr>
      <w:rFonts w:eastAsiaTheme="majorEastAsia" w:cstheme="majorBidi"/>
      <w:color w:val="272727" w:themeColor="text1" w:themeTint="D8"/>
    </w:rPr>
  </w:style>
  <w:style w:type="paragraph" w:styleId="Title">
    <w:name w:val="Title"/>
    <w:basedOn w:val="Normal"/>
    <w:next w:val="Normal"/>
    <w:link w:val="TitleChar"/>
    <w:uiPriority w:val="10"/>
    <w:qFormat/>
    <w:rsid w:val="00174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4B4"/>
    <w:pPr>
      <w:spacing w:before="160"/>
      <w:jc w:val="center"/>
    </w:pPr>
    <w:rPr>
      <w:i/>
      <w:iCs/>
      <w:color w:val="404040" w:themeColor="text1" w:themeTint="BF"/>
    </w:rPr>
  </w:style>
  <w:style w:type="character" w:customStyle="1" w:styleId="QuoteChar">
    <w:name w:val="Quote Char"/>
    <w:basedOn w:val="DefaultParagraphFont"/>
    <w:link w:val="Quote"/>
    <w:uiPriority w:val="29"/>
    <w:rsid w:val="001744B4"/>
    <w:rPr>
      <w:i/>
      <w:iCs/>
      <w:color w:val="404040" w:themeColor="text1" w:themeTint="BF"/>
    </w:rPr>
  </w:style>
  <w:style w:type="paragraph" w:styleId="ListParagraph">
    <w:name w:val="List Paragraph"/>
    <w:basedOn w:val="Normal"/>
    <w:uiPriority w:val="34"/>
    <w:qFormat/>
    <w:rsid w:val="001744B4"/>
    <w:pPr>
      <w:ind w:left="720"/>
      <w:contextualSpacing/>
    </w:pPr>
  </w:style>
  <w:style w:type="character" w:styleId="IntenseEmphasis">
    <w:name w:val="Intense Emphasis"/>
    <w:basedOn w:val="DefaultParagraphFont"/>
    <w:uiPriority w:val="21"/>
    <w:qFormat/>
    <w:rsid w:val="001744B4"/>
    <w:rPr>
      <w:i/>
      <w:iCs/>
      <w:color w:val="0F4761" w:themeColor="accent1" w:themeShade="BF"/>
    </w:rPr>
  </w:style>
  <w:style w:type="paragraph" w:styleId="IntenseQuote">
    <w:name w:val="Intense Quote"/>
    <w:basedOn w:val="Normal"/>
    <w:next w:val="Normal"/>
    <w:link w:val="IntenseQuoteChar"/>
    <w:uiPriority w:val="30"/>
    <w:qFormat/>
    <w:rsid w:val="00174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4B4"/>
    <w:rPr>
      <w:i/>
      <w:iCs/>
      <w:color w:val="0F4761" w:themeColor="accent1" w:themeShade="BF"/>
    </w:rPr>
  </w:style>
  <w:style w:type="character" w:styleId="IntenseReference">
    <w:name w:val="Intense Reference"/>
    <w:basedOn w:val="DefaultParagraphFont"/>
    <w:uiPriority w:val="32"/>
    <w:qFormat/>
    <w:rsid w:val="001744B4"/>
    <w:rPr>
      <w:b/>
      <w:bCs/>
      <w:smallCaps/>
      <w:color w:val="0F4761" w:themeColor="accent1" w:themeShade="BF"/>
      <w:spacing w:val="5"/>
    </w:rPr>
  </w:style>
  <w:style w:type="paragraph" w:styleId="Header">
    <w:name w:val="header"/>
    <w:basedOn w:val="Normal"/>
    <w:link w:val="HeaderChar"/>
    <w:uiPriority w:val="99"/>
    <w:unhideWhenUsed/>
    <w:rsid w:val="00174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4B4"/>
  </w:style>
  <w:style w:type="paragraph" w:styleId="Footer">
    <w:name w:val="footer"/>
    <w:basedOn w:val="Normal"/>
    <w:link w:val="FooterChar"/>
    <w:uiPriority w:val="99"/>
    <w:unhideWhenUsed/>
    <w:rsid w:val="00174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561</Words>
  <Characters>3091</Characters>
  <Application>Microsoft Office Word</Application>
  <DocSecurity>0</DocSecurity>
  <Lines>281</Lines>
  <Paragraphs>107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Bartle</dc:creator>
  <cp:keywords/>
  <dc:description/>
  <cp:lastModifiedBy>Nick Bartle</cp:lastModifiedBy>
  <cp:revision>2</cp:revision>
  <dcterms:created xsi:type="dcterms:W3CDTF">2025-11-21T18:39:00Z</dcterms:created>
  <dcterms:modified xsi:type="dcterms:W3CDTF">2025-11-21T18:43:00Z</dcterms:modified>
</cp:coreProperties>
</file>