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Is Germany on track to meet its 2030 target for resistant E. coli infections, and how does it compare to other EU countries?</w:t>
      </w:r>
    </w:p>
    <w:p>
      <w:pPr>
        <w:spacing w:after="160"/>
      </w:pPr>
      <w:r>
        <w:rPr>
          <w:b w:val="false"/>
          <w:bCs w:val="false"/>
          <w:i/>
          <w:iCs/>
        </w:rPr>
        <w:t xml:space="preserve">Third-generation cephalosporin-resistant E. coli, 8 EU countries, 2015–2024. Source: ECDC</w:t>
      </w:r>
    </w:p>
    <w:p>
      <w:pPr>
        <w:spacing w:after="160"/>
      </w:pPr>
      <w:r>
        <w:rPr>
          <w:b w:val="false"/>
          <w:bCs w:val="false"/>
          <w:i w:val="false"/>
          <w:iCs w:val="false"/>
        </w:rPr>
        <w:t xml:space="preserve">A Data Science Final Project  |  October 2026</w:t>
      </w:r>
    </w:p>
    <w:p>
      <w:pPr>
        <w:pStyle w:val="Heading1"/>
        <w:spacing w:after="120" w:before="240"/>
      </w:pPr>
      <w:r>
        <w:t xml:space="preserve">Short Answer</w:t>
      </w:r>
    </w:p>
    <w:p>
      <w:pPr>
        <w:spacing w:after="160"/>
      </w:pPr>
      <w:r>
        <w:rPr>
          <w:b w:val="false"/>
          <w:bCs w:val="false"/>
          <w:i w:val="false"/>
          <w:iCs w:val="false"/>
        </w:rPr>
        <w:t xml:space="preserve">Yes, on the latest official ECDC data. Germany's incidence fell 14.9% from its 2019 baseline (12.0 to 10.2 per 100,000 in 2023), which is already below its 2030 target of 10.6 (a required 12% reduction). Germany is one of four countries at or below target, together with Italy, Denmark and the Netherlands. Austria, Sweden and Poland are still above target, and Spain is moving in the wrong direction (+29.5%). Germany must keep the reduction until 2030, because the target is judged in that year.</w:t>
      </w:r>
    </w:p>
    <w:p>
      <w:pPr>
        <w:pStyle w:val="Heading1"/>
        <w:spacing w:after="120" w:before="240"/>
      </w:pPr>
      <w:r>
        <w:t xml:space="preserve">1. Introduction</w:t>
      </w:r>
    </w:p>
    <w:p>
      <w:pPr>
        <w:spacing w:after="160"/>
      </w:pPr>
      <w:r>
        <w:rPr>
          <w:b w:val="false"/>
          <w:bCs w:val="false"/>
          <w:i w:val="false"/>
          <w:iCs w:val="false"/>
        </w:rPr>
        <w:t xml:space="preserve">Antimicrobial resistance (AMR) is a growing public health threat across Europe. This project looks at Escherichia coli resistant to third-generation cephalosporins, a clinically important antibiotic class, in Germany and seven comparator EU countries (Austria, Denmark, Italy, Netherlands, Poland, Spain, Sweden) from 2015 to 2024. It asks whether Germany is on track to meet the EU's official 2030 target, how it compares to the other countries, and why the choice of metric (resistance percentage or incidence) changes the answer.</w:t>
      </w:r>
    </w:p>
    <w:p>
      <w:pPr>
        <w:pStyle w:val="Heading1"/>
        <w:spacing w:after="120" w:before="240"/>
      </w:pPr>
      <w:r>
        <w:t xml:space="preserve">2. Data &amp; Methodology</w:t>
      </w:r>
    </w:p>
    <w:p>
      <w:pPr>
        <w:pStyle w:val="ListParagraph"/>
        <w:numPr>
          <w:ilvl w:val="0"/>
          <w:numId w:val="1"/>
        </w:numPr>
        <w:spacing w:after="80"/>
      </w:pPr>
      <w:r>
        <w:t xml:space="preserve">Primary data: ECDC Surveillance Atlas of Infectious Diseases (EARS-Net), giving yearly % resistant isolates and resistant isolate counts per country, 2015–2024.</w:t>
      </w:r>
    </w:p>
    <w:p>
      <w:pPr>
        <w:pStyle w:val="ListParagraph"/>
        <w:numPr>
          <w:ilvl w:val="0"/>
          <w:numId w:val="1"/>
        </w:numPr>
        <w:spacing w:after="80"/>
      </w:pPr>
      <w:r>
        <w:t xml:space="preserve">Official targets: ECDC country factsheets, giving each country's 2019 baseline incidence, latest reported incidence and 2030 target (EU Council Recommendation 2023/C 220/01).</w:t>
      </w:r>
    </w:p>
    <w:p>
      <w:pPr>
        <w:pStyle w:val="ListParagraph"/>
        <w:numPr>
          <w:ilvl w:val="0"/>
          <w:numId w:val="1"/>
        </w:numPr>
        <w:spacing w:after="80"/>
      </w:pPr>
      <w:r>
        <w:t xml:space="preserve">Population: Eurostat population on 1 January for 2015 and 2024, linearly interpolated for the years in between.</w:t>
      </w:r>
    </w:p>
    <w:p>
      <w:pPr>
        <w:pStyle w:val="ListParagraph"/>
        <w:numPr>
          <w:ilvl w:val="0"/>
          <w:numId w:val="1"/>
        </w:numPr>
        <w:spacing w:after="80"/>
      </w:pPr>
      <w:r>
        <w:t xml:space="preserve">Trend method: linear regression (resistance % ~ year) per country, to estimate the direction and rate of change. It was chosen for interpretability and because it matches the techniques covered in the course. It assumes a constant linear trend and cannot capture patterns such as Germany's peak in 2017.</w:t>
      </w:r>
    </w:p>
    <w:p>
      <w:pPr>
        <w:pStyle w:val="ListParagraph"/>
        <w:numPr>
          <w:ilvl w:val="0"/>
          <w:numId w:val="1"/>
        </w:numPr>
        <w:spacing w:after="80"/>
      </w:pPr>
      <w:r>
        <w:t xml:space="preserve">Incidence proxy: resistant isolates per 100,000 population, built from EARS-Net counts and population. It is not ECDC's official incidence, which uses a population-based burden model, and it underestimates it (Germany 2019: 3.28 proxy vs. 12.0 official). It is used only to illustrate how percentage and incidence can diverge. All target comparisons use the official ECDC figures.</w:t>
      </w:r>
    </w:p>
    <w:p>
      <w:pPr>
        <w:pStyle w:val="Heading1"/>
        <w:spacing w:after="120" w:before="240"/>
      </w:pPr>
      <w:r>
        <w:t xml:space="preserve">3. Key Findings</w:t>
      </w:r>
    </w:p>
    <w:p>
      <w:pPr>
        <w:pStyle w:val="Heading2"/>
        <w:spacing w:after="120" w:before="240"/>
      </w:pPr>
      <w:r>
        <w:t xml:space="preserve">3.1 Germany is on track for its 2030 target</w:t>
      </w:r>
    </w:p>
    <w:p>
      <w:pPr>
        <w:spacing w:after="160"/>
      </w:pPr>
      <w:r>
        <w:rPr>
          <w:b w:val="false"/>
          <w:bCs w:val="false"/>
          <w:i w:val="false"/>
          <w:iCs w:val="false"/>
        </w:rPr>
        <w:t xml:space="preserve">Germany's official incidence fell from 12.0 (2019) to 10.2 (2023), a 14.9% reduction. Its 2030 target is 10.6, a required 12% reduction, so Germany is already below target. The result depends on Germany keeping the reduction until 2030.</w:t>
      </w:r>
    </w:p>
    <w:p>
      <w:pPr>
        <w:pStyle w:val="Heading2"/>
        <w:spacing w:after="120" w:before="240"/>
      </w:pPr>
      <w:r>
        <w:t xml:space="preserve">3.2 How Germany compares to the other seven countries</w:t>
      </w:r>
    </w:p>
    <w:p>
      <w:pPr>
        <w:spacing w:after="160"/>
      </w:pPr>
      <w:r>
        <w:rPr>
          <w:b w:val="false"/>
          <w:bCs w:val="false"/>
          <w:i w:val="false"/>
          <w:iCs w:val="false"/>
        </w:rPr>
        <w:t xml:space="preserve">Four of the eight countries are at or below their 2030 target: Italy, Denmark, Germany and the Netherlands. Germany ranks third on improvement since 2019, behind Italy (−24.7%) and Denmark (−15.1%). Its level is still high: at 10.2 per 100,000 it has the second-highest incidence of the eight, after Italy (17.3).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1200"/>
        <w:gridCol w:w="1300"/>
        <w:gridCol w:w="1300"/>
        <w:gridCol w:w="1360"/>
      </w:tblGrid>
      <w:tr>
        <w:tc>
          <w:tcPr>
            <w:tcW w:type="dxa" w:w="1500"/>
            <w:shd w:fill="2F5496" w:val="clear"/>
          </w:tcPr>
          <w:p>
            <w:r>
              <w:rPr>
                <w:b/>
                <w:bCs/>
                <w:color w:val="FFFFFF"/>
              </w:rPr>
              <w:t xml:space="preserve">Country</w:t>
            </w:r>
          </w:p>
        </w:tc>
        <w:tc>
          <w:tcPr>
            <w:tcW w:type="dxa" w:w="1300"/>
            <w:shd w:fill="2F5496" w:val="clear"/>
          </w:tcPr>
          <w:p>
            <w:r>
              <w:rPr>
                <w:b/>
                <w:bCs/>
                <w:color w:val="FFFFFF"/>
              </w:rPr>
              <w:t xml:space="preserve">2019 Baseline</w:t>
            </w:r>
          </w:p>
        </w:tc>
        <w:tc>
          <w:tcPr>
            <w:tcW w:type="dxa" w:w="1400"/>
            <w:shd w:fill="2F5496" w:val="clear"/>
          </w:tcPr>
          <w:p>
            <w:r>
              <w:rPr>
                <w:b/>
                <w:bCs/>
                <w:color w:val="FFFFFF"/>
              </w:rPr>
              <w:t xml:space="preserve">Latest</w:t>
            </w:r>
          </w:p>
        </w:tc>
        <w:tc>
          <w:tcPr>
            <w:tcW w:type="dxa" w:w="1200"/>
            <w:shd w:fill="2F5496" w:val="clear"/>
          </w:tcPr>
          <w:p>
            <w:r>
              <w:rPr>
                <w:b/>
                <w:bCs/>
                <w:color w:val="FFFFFF"/>
              </w:rPr>
              <w:t xml:space="preserve">Change</w:t>
            </w:r>
          </w:p>
        </w:tc>
        <w:tc>
          <w:tcPr>
            <w:tcW w:type="dxa" w:w="1300"/>
            <w:shd w:fill="2F5496" w:val="clear"/>
          </w:tcPr>
          <w:p>
            <w:r>
              <w:rPr>
                <w:b/>
                <w:bCs/>
                <w:color w:val="FFFFFF"/>
              </w:rPr>
              <w:t xml:space="preserve">2030 Target</w:t>
            </w:r>
          </w:p>
        </w:tc>
        <w:tc>
          <w:tcPr>
            <w:tcW w:type="dxa" w:w="1300"/>
            <w:shd w:fill="2F5496" w:val="clear"/>
          </w:tcPr>
          <w:p>
            <w:r>
              <w:rPr>
                <w:b/>
                <w:bCs/>
                <w:color w:val="FFFFFF"/>
              </w:rPr>
              <w:t xml:space="preserve">Reduction Req.</w:t>
            </w:r>
          </w:p>
        </w:tc>
        <w:tc>
          <w:tcPr>
            <w:tcW w:type="dxa" w:w="1360"/>
            <w:shd w:fill="2F5496" w:val="clear"/>
          </w:tcPr>
          <w:p>
            <w:r>
              <w:rPr>
                <w:b/>
                <w:bCs/>
                <w:color w:val="FFFFFF"/>
              </w:rPr>
              <w:t xml:space="preserve">On Track?</w:t>
            </w:r>
          </w:p>
        </w:tc>
      </w:tr>
      <w:tr>
        <w:tc>
          <w:tcPr>
            <w:tcW w:type="dxa" w:w="1500"/>
          </w:tcPr>
          <w:p>
            <w:r>
              <w:rPr>
                <w:b w:val="false"/>
                <w:bCs w:val="false"/>
              </w:rPr>
              <w:t xml:space="preserve">Italy</w:t>
            </w:r>
          </w:p>
        </w:tc>
        <w:tc>
          <w:tcPr>
            <w:tcW w:type="dxa" w:w="1300"/>
          </w:tcPr>
          <w:p>
            <w:r>
              <w:rPr>
                <w:b w:val="false"/>
                <w:bCs w:val="false"/>
              </w:rPr>
              <w:t xml:space="preserve">23.0</w:t>
            </w:r>
          </w:p>
        </w:tc>
        <w:tc>
          <w:tcPr>
            <w:tcW w:type="dxa" w:w="1400"/>
          </w:tcPr>
          <w:p>
            <w:r>
              <w:rPr>
                <w:b w:val="false"/>
                <w:bCs w:val="false"/>
              </w:rPr>
              <w:t xml:space="preserve">17.3 (2022)</w:t>
            </w:r>
          </w:p>
        </w:tc>
        <w:tc>
          <w:tcPr>
            <w:tcW w:type="dxa" w:w="1200"/>
          </w:tcPr>
          <w:p>
            <w:r>
              <w:rPr>
                <w:b w:val="false"/>
                <w:bCs w:val="false"/>
              </w:rPr>
              <w:t xml:space="preserve">−24.7%</w:t>
            </w:r>
          </w:p>
        </w:tc>
        <w:tc>
          <w:tcPr>
            <w:tcW w:type="dxa" w:w="1300"/>
          </w:tcPr>
          <w:p>
            <w:r>
              <w:rPr>
                <w:b w:val="false"/>
                <w:bCs w:val="false"/>
              </w:rPr>
              <w:t xml:space="preserve">20.2</w:t>
            </w:r>
          </w:p>
        </w:tc>
        <w:tc>
          <w:tcPr>
            <w:tcW w:type="dxa" w:w="1300"/>
          </w:tcPr>
          <w:p>
            <w:r>
              <w:rPr>
                <w:b w:val="false"/>
                <w:bCs w:val="false"/>
              </w:rPr>
              <w:t xml:space="preserve">−12%</w:t>
            </w:r>
          </w:p>
        </w:tc>
        <w:tc>
          <w:tcPr>
            <w:tcW w:type="dxa" w:w="1360"/>
          </w:tcPr>
          <w:p>
            <w:r>
              <w:rPr>
                <w:b w:val="false"/>
                <w:bCs w:val="false"/>
              </w:rPr>
              <w:t xml:space="preserve">Yes</w:t>
            </w:r>
          </w:p>
        </w:tc>
      </w:tr>
      <w:tr>
        <w:tc>
          <w:tcPr>
            <w:tcW w:type="dxa" w:w="1500"/>
          </w:tcPr>
          <w:p>
            <w:r>
              <w:rPr>
                <w:b w:val="false"/>
                <w:bCs w:val="false"/>
              </w:rPr>
              <w:t xml:space="preserve">Denmark</w:t>
            </w:r>
          </w:p>
        </w:tc>
        <w:tc>
          <w:tcPr>
            <w:tcW w:type="dxa" w:w="1300"/>
          </w:tcPr>
          <w:p>
            <w:r>
              <w:rPr>
                <w:b w:val="false"/>
                <w:bCs w:val="false"/>
              </w:rPr>
              <w:t xml:space="preserve">6.6</w:t>
            </w:r>
          </w:p>
        </w:tc>
        <w:tc>
          <w:tcPr>
            <w:tcW w:type="dxa" w:w="1400"/>
          </w:tcPr>
          <w:p>
            <w:r>
              <w:rPr>
                <w:b w:val="false"/>
                <w:bCs w:val="false"/>
              </w:rPr>
              <w:t xml:space="preserve">5.61 (2023)</w:t>
            </w:r>
          </w:p>
        </w:tc>
        <w:tc>
          <w:tcPr>
            <w:tcW w:type="dxa" w:w="1200"/>
          </w:tcPr>
          <w:p>
            <w:r>
              <w:rPr>
                <w:b w:val="false"/>
                <w:bCs w:val="false"/>
              </w:rPr>
              <w:t xml:space="preserve">−15.1%</w:t>
            </w:r>
          </w:p>
        </w:tc>
        <w:tc>
          <w:tcPr>
            <w:tcW w:type="dxa" w:w="1300"/>
          </w:tcPr>
          <w:p>
            <w:r>
              <w:rPr>
                <w:b w:val="false"/>
                <w:bCs w:val="false"/>
              </w:rPr>
              <w:t xml:space="preserve">6.3</w:t>
            </w:r>
          </w:p>
        </w:tc>
        <w:tc>
          <w:tcPr>
            <w:tcW w:type="dxa" w:w="1300"/>
          </w:tcPr>
          <w:p>
            <w:r>
              <w:rPr>
                <w:b w:val="false"/>
                <w:bCs w:val="false"/>
              </w:rPr>
              <w:t xml:space="preserve">−5%</w:t>
            </w:r>
          </w:p>
        </w:tc>
        <w:tc>
          <w:tcPr>
            <w:tcW w:type="dxa" w:w="1360"/>
          </w:tcPr>
          <w:p>
            <w:r>
              <w:rPr>
                <w:b w:val="false"/>
                <w:bCs w:val="false"/>
              </w:rPr>
              <w:t xml:space="preserve">Yes</w:t>
            </w:r>
          </w:p>
        </w:tc>
      </w:tr>
      <w:tr>
        <w:tc>
          <w:tcPr>
            <w:tcW w:type="dxa" w:w="1500"/>
          </w:tcPr>
          <w:p>
            <w:r>
              <w:rPr>
                <w:b w:val="false"/>
                <w:bCs w:val="false"/>
              </w:rPr>
              <w:t xml:space="preserve">Germany</w:t>
            </w:r>
          </w:p>
        </w:tc>
        <w:tc>
          <w:tcPr>
            <w:tcW w:type="dxa" w:w="1300"/>
          </w:tcPr>
          <w:p>
            <w:r>
              <w:rPr>
                <w:b w:val="false"/>
                <w:bCs w:val="false"/>
              </w:rPr>
              <w:t xml:space="preserve">12.0</w:t>
            </w:r>
          </w:p>
        </w:tc>
        <w:tc>
          <w:tcPr>
            <w:tcW w:type="dxa" w:w="1400"/>
          </w:tcPr>
          <w:p>
            <w:r>
              <w:rPr>
                <w:b w:val="false"/>
                <w:bCs w:val="false"/>
              </w:rPr>
              <w:t xml:space="preserve">10.2 (2023)</w:t>
            </w:r>
          </w:p>
        </w:tc>
        <w:tc>
          <w:tcPr>
            <w:tcW w:type="dxa" w:w="1200"/>
          </w:tcPr>
          <w:p>
            <w:r>
              <w:rPr>
                <w:b w:val="false"/>
                <w:bCs w:val="false"/>
              </w:rPr>
              <w:t xml:space="preserve">−14.9%</w:t>
            </w:r>
          </w:p>
        </w:tc>
        <w:tc>
          <w:tcPr>
            <w:tcW w:type="dxa" w:w="1300"/>
          </w:tcPr>
          <w:p>
            <w:r>
              <w:rPr>
                <w:b w:val="false"/>
                <w:bCs w:val="false"/>
              </w:rPr>
              <w:t xml:space="preserve">10.6</w:t>
            </w:r>
          </w:p>
        </w:tc>
        <w:tc>
          <w:tcPr>
            <w:tcW w:type="dxa" w:w="1300"/>
          </w:tcPr>
          <w:p>
            <w:r>
              <w:rPr>
                <w:b w:val="false"/>
                <w:bCs w:val="false"/>
              </w:rPr>
              <w:t xml:space="preserve">−12%</w:t>
            </w:r>
          </w:p>
        </w:tc>
        <w:tc>
          <w:tcPr>
            <w:tcW w:type="dxa" w:w="1360"/>
          </w:tcPr>
          <w:p>
            <w:r>
              <w:rPr>
                <w:b w:val="false"/>
                <w:bCs w:val="false"/>
              </w:rPr>
              <w:t xml:space="preserve">Yes</w:t>
            </w:r>
          </w:p>
        </w:tc>
      </w:tr>
      <w:tr>
        <w:tc>
          <w:tcPr>
            <w:tcW w:type="dxa" w:w="1500"/>
          </w:tcPr>
          <w:p>
            <w:r>
              <w:rPr>
                <w:b w:val="false"/>
                <w:bCs w:val="false"/>
              </w:rPr>
              <w:t xml:space="preserve">Netherlands</w:t>
            </w:r>
          </w:p>
        </w:tc>
        <w:tc>
          <w:tcPr>
            <w:tcW w:type="dxa" w:w="1300"/>
          </w:tcPr>
          <w:p>
            <w:r>
              <w:rPr>
                <w:b w:val="false"/>
                <w:bCs w:val="false"/>
              </w:rPr>
              <w:t xml:space="preserve">4.5</w:t>
            </w:r>
          </w:p>
        </w:tc>
        <w:tc>
          <w:tcPr>
            <w:tcW w:type="dxa" w:w="1400"/>
          </w:tcPr>
          <w:p>
            <w:r>
              <w:rPr>
                <w:b w:val="false"/>
                <w:bCs w:val="false"/>
              </w:rPr>
              <w:t xml:space="preserve">4.3 (2022)</w:t>
            </w:r>
          </w:p>
        </w:tc>
        <w:tc>
          <w:tcPr>
            <w:tcW w:type="dxa" w:w="1200"/>
          </w:tcPr>
          <w:p>
            <w:r>
              <w:rPr>
                <w:b w:val="false"/>
                <w:bCs w:val="false"/>
              </w:rPr>
              <w:t xml:space="preserve">−5.4%</w:t>
            </w:r>
          </w:p>
        </w:tc>
        <w:tc>
          <w:tcPr>
            <w:tcW w:type="dxa" w:w="1300"/>
          </w:tcPr>
          <w:p>
            <w:r>
              <w:rPr>
                <w:b w:val="false"/>
                <w:bCs w:val="false"/>
              </w:rPr>
              <w:t xml:space="preserve">4.5</w:t>
            </w:r>
          </w:p>
        </w:tc>
        <w:tc>
          <w:tcPr>
            <w:tcW w:type="dxa" w:w="1300"/>
          </w:tcPr>
          <w:p>
            <w:r>
              <w:rPr>
                <w:b w:val="false"/>
                <w:bCs w:val="false"/>
              </w:rPr>
              <w:t xml:space="preserve">Maintain</w:t>
            </w:r>
          </w:p>
        </w:tc>
        <w:tc>
          <w:tcPr>
            <w:tcW w:type="dxa" w:w="1360"/>
          </w:tcPr>
          <w:p>
            <w:r>
              <w:rPr>
                <w:b w:val="false"/>
                <w:bCs w:val="false"/>
              </w:rPr>
              <w:t xml:space="preserve">Yes</w:t>
            </w:r>
          </w:p>
        </w:tc>
      </w:tr>
      <w:tr>
        <w:tc>
          <w:tcPr>
            <w:tcW w:type="dxa" w:w="1500"/>
          </w:tcPr>
          <w:p>
            <w:r>
              <w:rPr>
                <w:b w:val="false"/>
                <w:bCs w:val="false"/>
              </w:rPr>
              <w:t xml:space="preserve">Austria</w:t>
            </w:r>
          </w:p>
        </w:tc>
        <w:tc>
          <w:tcPr>
            <w:tcW w:type="dxa" w:w="1300"/>
          </w:tcPr>
          <w:p>
            <w:r>
              <w:rPr>
                <w:b w:val="false"/>
                <w:bCs w:val="false"/>
              </w:rPr>
              <w:t xml:space="preserve">7.1</w:t>
            </w:r>
          </w:p>
        </w:tc>
        <w:tc>
          <w:tcPr>
            <w:tcW w:type="dxa" w:w="1400"/>
          </w:tcPr>
          <w:p>
            <w:r>
              <w:rPr>
                <w:b w:val="false"/>
                <w:bCs w:val="false"/>
              </w:rPr>
              <w:t xml:space="preserve">6.6 (2023)</w:t>
            </w:r>
          </w:p>
        </w:tc>
        <w:tc>
          <w:tcPr>
            <w:tcW w:type="dxa" w:w="1200"/>
          </w:tcPr>
          <w:p>
            <w:r>
              <w:rPr>
                <w:b w:val="false"/>
                <w:bCs w:val="false"/>
              </w:rPr>
              <w:t xml:space="preserve">−7.6%</w:t>
            </w:r>
          </w:p>
        </w:tc>
        <w:tc>
          <w:tcPr>
            <w:tcW w:type="dxa" w:w="1300"/>
          </w:tcPr>
          <w:p>
            <w:r>
              <w:rPr>
                <w:b w:val="false"/>
                <w:bCs w:val="false"/>
              </w:rPr>
              <w:t xml:space="preserve">6.4</w:t>
            </w:r>
          </w:p>
        </w:tc>
        <w:tc>
          <w:tcPr>
            <w:tcW w:type="dxa" w:w="1300"/>
          </w:tcPr>
          <w:p>
            <w:r>
              <w:rPr>
                <w:b w:val="false"/>
                <w:bCs w:val="false"/>
              </w:rPr>
              <w:t xml:space="preserve">−10%</w:t>
            </w:r>
          </w:p>
        </w:tc>
        <w:tc>
          <w:tcPr>
            <w:tcW w:type="dxa" w:w="1360"/>
          </w:tcPr>
          <w:p>
            <w:r>
              <w:rPr>
                <w:b w:val="false"/>
                <w:bCs w:val="false"/>
              </w:rPr>
              <w:t xml:space="preserve">No</w:t>
            </w:r>
          </w:p>
        </w:tc>
      </w:tr>
      <w:tr>
        <w:tc>
          <w:tcPr>
            <w:tcW w:type="dxa" w:w="1500"/>
          </w:tcPr>
          <w:p>
            <w:r>
              <w:rPr>
                <w:b w:val="false"/>
                <w:bCs w:val="false"/>
              </w:rPr>
              <w:t xml:space="preserve">Sweden</w:t>
            </w:r>
          </w:p>
        </w:tc>
        <w:tc>
          <w:tcPr>
            <w:tcW w:type="dxa" w:w="1300"/>
          </w:tcPr>
          <w:p>
            <w:r>
              <w:rPr>
                <w:b w:val="false"/>
                <w:bCs w:val="false"/>
              </w:rPr>
              <w:t xml:space="preserve">9.2</w:t>
            </w:r>
          </w:p>
        </w:tc>
        <w:tc>
          <w:tcPr>
            <w:tcW w:type="dxa" w:w="1400"/>
          </w:tcPr>
          <w:p>
            <w:r>
              <w:rPr>
                <w:b w:val="false"/>
                <w:bCs w:val="false"/>
              </w:rPr>
              <w:t xml:space="preserve">9.1 (2023)</w:t>
            </w:r>
          </w:p>
        </w:tc>
        <w:tc>
          <w:tcPr>
            <w:tcW w:type="dxa" w:w="1200"/>
          </w:tcPr>
          <w:p>
            <w:r>
              <w:rPr>
                <w:b w:val="false"/>
                <w:bCs w:val="false"/>
              </w:rPr>
              <w:t xml:space="preserve">−1.7%</w:t>
            </w:r>
          </w:p>
        </w:tc>
        <w:tc>
          <w:tcPr>
            <w:tcW w:type="dxa" w:w="1300"/>
          </w:tcPr>
          <w:p>
            <w:r>
              <w:rPr>
                <w:b w:val="false"/>
                <w:bCs w:val="false"/>
              </w:rPr>
              <w:t xml:space="preserve">8.3</w:t>
            </w:r>
          </w:p>
        </w:tc>
        <w:tc>
          <w:tcPr>
            <w:tcW w:type="dxa" w:w="1300"/>
          </w:tcPr>
          <w:p>
            <w:r>
              <w:rPr>
                <w:b w:val="false"/>
                <w:bCs w:val="false"/>
              </w:rPr>
              <w:t xml:space="preserve">−10%</w:t>
            </w:r>
          </w:p>
        </w:tc>
        <w:tc>
          <w:tcPr>
            <w:tcW w:type="dxa" w:w="1360"/>
          </w:tcPr>
          <w:p>
            <w:r>
              <w:rPr>
                <w:b w:val="false"/>
                <w:bCs w:val="false"/>
              </w:rPr>
              <w:t xml:space="preserve">No</w:t>
            </w:r>
          </w:p>
        </w:tc>
      </w:tr>
      <w:tr>
        <w:tc>
          <w:tcPr>
            <w:tcW w:type="dxa" w:w="1500"/>
          </w:tcPr>
          <w:p>
            <w:r>
              <w:rPr>
                <w:b w:val="false"/>
                <w:bCs w:val="false"/>
              </w:rPr>
              <w:t xml:space="preserve">Poland</w:t>
            </w:r>
          </w:p>
        </w:tc>
        <w:tc>
          <w:tcPr>
            <w:tcW w:type="dxa" w:w="1300"/>
          </w:tcPr>
          <w:p>
            <w:r>
              <w:rPr>
                <w:b w:val="false"/>
                <w:bCs w:val="false"/>
              </w:rPr>
              <w:t xml:space="preserve">7.4</w:t>
            </w:r>
          </w:p>
        </w:tc>
        <w:tc>
          <w:tcPr>
            <w:tcW w:type="dxa" w:w="1400"/>
          </w:tcPr>
          <w:p>
            <w:r>
              <w:rPr>
                <w:b w:val="false"/>
                <w:bCs w:val="false"/>
              </w:rPr>
              <w:t xml:space="preserve">7.8 (2023)</w:t>
            </w:r>
          </w:p>
        </w:tc>
        <w:tc>
          <w:tcPr>
            <w:tcW w:type="dxa" w:w="1200"/>
          </w:tcPr>
          <w:p>
            <w:r>
              <w:rPr>
                <w:b w:val="false"/>
                <w:bCs w:val="false"/>
              </w:rPr>
              <w:t xml:space="preserve">+4.4%</w:t>
            </w:r>
          </w:p>
        </w:tc>
        <w:tc>
          <w:tcPr>
            <w:tcW w:type="dxa" w:w="1300"/>
          </w:tcPr>
          <w:p>
            <w:r>
              <w:rPr>
                <w:b w:val="false"/>
                <w:bCs w:val="false"/>
              </w:rPr>
              <w:t xml:space="preserve">6.7</w:t>
            </w:r>
          </w:p>
        </w:tc>
        <w:tc>
          <w:tcPr>
            <w:tcW w:type="dxa" w:w="1300"/>
          </w:tcPr>
          <w:p>
            <w:r>
              <w:rPr>
                <w:b w:val="false"/>
                <w:bCs w:val="false"/>
              </w:rPr>
              <w:t xml:space="preserve">−10%</w:t>
            </w:r>
          </w:p>
        </w:tc>
        <w:tc>
          <w:tcPr>
            <w:tcW w:type="dxa" w:w="1360"/>
          </w:tcPr>
          <w:p>
            <w:r>
              <w:rPr>
                <w:b w:val="false"/>
                <w:bCs w:val="false"/>
              </w:rPr>
              <w:t xml:space="preserve">No</w:t>
            </w:r>
          </w:p>
        </w:tc>
      </w:tr>
      <w:tr>
        <w:tc>
          <w:tcPr>
            <w:tcW w:type="dxa" w:w="1500"/>
          </w:tcPr>
          <w:p>
            <w:r>
              <w:rPr>
                <w:b w:val="false"/>
                <w:bCs w:val="false"/>
              </w:rPr>
              <w:t xml:space="preserve">Spain</w:t>
            </w:r>
          </w:p>
        </w:tc>
        <w:tc>
          <w:tcPr>
            <w:tcW w:type="dxa" w:w="1300"/>
          </w:tcPr>
          <w:p>
            <w:r>
              <w:rPr>
                <w:b w:val="false"/>
                <w:bCs w:val="false"/>
              </w:rPr>
              <w:t xml:space="preserve">7.8</w:t>
            </w:r>
          </w:p>
        </w:tc>
        <w:tc>
          <w:tcPr>
            <w:tcW w:type="dxa" w:w="1400"/>
          </w:tcPr>
          <w:p>
            <w:r>
              <w:rPr>
                <w:b w:val="false"/>
                <w:bCs w:val="false"/>
              </w:rPr>
              <w:t xml:space="preserve">10.2 (2022)</w:t>
            </w:r>
          </w:p>
        </w:tc>
        <w:tc>
          <w:tcPr>
            <w:tcW w:type="dxa" w:w="1200"/>
          </w:tcPr>
          <w:p>
            <w:r>
              <w:rPr>
                <w:b w:val="false"/>
                <w:bCs w:val="false"/>
              </w:rPr>
              <w:t xml:space="preserve">+29.5%</w:t>
            </w:r>
          </w:p>
        </w:tc>
        <w:tc>
          <w:tcPr>
            <w:tcW w:type="dxa" w:w="1300"/>
          </w:tcPr>
          <w:p>
            <w:r>
              <w:rPr>
                <w:b w:val="false"/>
                <w:bCs w:val="false"/>
              </w:rPr>
              <w:t xml:space="preserve">7.1</w:t>
            </w:r>
          </w:p>
        </w:tc>
        <w:tc>
          <w:tcPr>
            <w:tcW w:type="dxa" w:w="1300"/>
          </w:tcPr>
          <w:p>
            <w:r>
              <w:rPr>
                <w:b w:val="false"/>
                <w:bCs w:val="false"/>
              </w:rPr>
              <w:t xml:space="preserve">−10%</w:t>
            </w:r>
          </w:p>
        </w:tc>
        <w:tc>
          <w:tcPr>
            <w:tcW w:type="dxa" w:w="1360"/>
          </w:tcPr>
          <w:p>
            <w:r>
              <w:rPr>
                <w:b w:val="false"/>
                <w:bCs w:val="false"/>
              </w:rPr>
              <w:t xml:space="preserve">No</w:t>
            </w:r>
          </w:p>
        </w:tc>
      </w:tr>
    </w:tbl>
    <w:p>
      <w:pPr>
        <w:spacing w:after="200"/>
      </w:pPr>
    </w:p>
    <w:p>
      <w:pPr>
        <w:pStyle w:val="Heading2"/>
        <w:spacing w:after="120" w:before="240"/>
      </w:pPr>
      <w:r>
        <w:t xml:space="preserve">3.3 Spain is the clearest outlier of concern</w:t>
      </w:r>
    </w:p>
    <w:p>
      <w:pPr>
        <w:spacing w:after="160"/>
      </w:pPr>
      <w:r>
        <w:rPr>
          <w:b w:val="false"/>
          <w:bCs w:val="false"/>
          <w:i w:val="false"/>
          <w:iCs w:val="false"/>
        </w:rPr>
        <w:t xml:space="preserve">Spain's incidence rose 29.5% from its 2019 baseline (7.8 to 10.2), moving further from its −10% target. Poland (+4.4%) is also moving the wrong way, and Sweden (−1.7%) has barely changed.</w:t>
      </w:r>
    </w:p>
    <w:p>
      <w:pPr>
        <w:pStyle w:val="Heading2"/>
        <w:spacing w:after="120" w:before="240"/>
      </w:pPr>
      <w:r>
        <w:t xml:space="preserve">3.4 Why percentage alone can mislead</w:t>
      </w:r>
    </w:p>
    <w:p>
      <w:pPr>
        <w:spacing w:after="160"/>
      </w:pPr>
      <w:r>
        <w:rPr>
          <w:b w:val="false"/>
          <w:bCs w:val="false"/>
          <w:i w:val="false"/>
          <w:iCs w:val="false"/>
        </w:rPr>
        <w:t xml:space="preserve">Italy's percentage of resistant isolates fell from 30.1% (2015) to 27.7% (2024), which looks like an improvement. Over the same period the incidence proxy rose nearly five-fold (2.8 to 14.9 per 100,000). Percentage measures only the share of tested isolates that are resistant. If total infections grow faster than the resistant share falls, the number of resistant cases still rises. This is why the EU sets its targets on incidence, and why this report uses official incidence to judge whether countries are on track.</w:t>
      </w:r>
    </w:p>
    <w:p>
      <w:pPr>
        <w:pStyle w:val="Heading2"/>
        <w:spacing w:after="120" w:before="240"/>
      </w:pPr>
      <w:r>
        <w:t xml:space="preserve">3.5 Trend in % resistant, by country (2015–2024)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400"/>
        <w:gridCol w:w="1930"/>
        <w:gridCol w:w="1930"/>
      </w:tblGrid>
      <w:tr>
        <w:tc>
          <w:tcPr>
            <w:tcW w:type="dxa" w:w="2200"/>
            <w:shd w:fill="2F5496" w:val="clear"/>
          </w:tcPr>
          <w:p>
            <w:r>
              <w:rPr>
                <w:b/>
                <w:bCs/>
                <w:color w:val="FFFFFF"/>
              </w:rPr>
              <w:t xml:space="preserve">Country</w:t>
            </w:r>
          </w:p>
        </w:tc>
        <w:tc>
          <w:tcPr>
            <w:tcW w:type="dxa" w:w="1900"/>
            <w:shd w:fill="2F5496" w:val="clear"/>
          </w:tcPr>
          <w:p>
            <w:r>
              <w:rPr>
                <w:b/>
                <w:bCs/>
                <w:color w:val="FFFFFF"/>
              </w:rPr>
              <w:t xml:space="preserve">Slope (pts/yr)</w:t>
            </w:r>
          </w:p>
        </w:tc>
        <w:tc>
          <w:tcPr>
            <w:tcW w:type="dxa" w:w="1400"/>
            <w:shd w:fill="2F5496" w:val="clear"/>
          </w:tcPr>
          <w:p>
            <w:r>
              <w:rPr>
                <w:b/>
                <w:bCs/>
                <w:color w:val="FFFFFF"/>
              </w:rPr>
              <w:t xml:space="preserve">R²</w:t>
            </w:r>
          </w:p>
        </w:tc>
        <w:tc>
          <w:tcPr>
            <w:tcW w:type="dxa" w:w="1930"/>
            <w:shd w:fill="2F5496" w:val="clear"/>
          </w:tcPr>
          <w:p>
            <w:r>
              <w:rPr>
                <w:b/>
                <w:bCs/>
                <w:color w:val="FFFFFF"/>
              </w:rPr>
              <w:t xml:space="preserve">2015</w:t>
            </w:r>
          </w:p>
        </w:tc>
        <w:tc>
          <w:tcPr>
            <w:tcW w:type="dxa" w:w="1930"/>
            <w:shd w:fill="2F5496" w:val="clear"/>
          </w:tcPr>
          <w:p>
            <w:r>
              <w:rPr>
                <w:b/>
                <w:bCs/>
                <w:color w:val="FFFFFF"/>
              </w:rPr>
              <w:t xml:space="preserve">2024</w:t>
            </w:r>
          </w:p>
        </w:tc>
      </w:tr>
      <w:tr>
        <w:tc>
          <w:tcPr>
            <w:tcW w:type="dxa" w:w="2200"/>
          </w:tcPr>
          <w:p>
            <w:r>
              <w:rPr>
                <w:b w:val="false"/>
                <w:bCs w:val="false"/>
              </w:rPr>
              <w:t xml:space="preserve">Poland</w:t>
            </w:r>
          </w:p>
        </w:tc>
        <w:tc>
          <w:tcPr>
            <w:tcW w:type="dxa" w:w="1900"/>
          </w:tcPr>
          <w:p>
            <w:r>
              <w:rPr>
                <w:b w:val="false"/>
                <w:bCs w:val="false"/>
              </w:rPr>
              <w:t xml:space="preserve">+0.71</w:t>
            </w:r>
          </w:p>
        </w:tc>
        <w:tc>
          <w:tcPr>
            <w:tcW w:type="dxa" w:w="1400"/>
          </w:tcPr>
          <w:p>
            <w:r>
              <w:rPr>
                <w:b w:val="false"/>
                <w:bCs w:val="false"/>
              </w:rPr>
              <w:t xml:space="preserve">0.78</w:t>
            </w:r>
          </w:p>
        </w:tc>
        <w:tc>
          <w:tcPr>
            <w:tcW w:type="dxa" w:w="1930"/>
          </w:tcPr>
          <w:p>
            <w:r>
              <w:rPr>
                <w:b w:val="false"/>
                <w:bCs w:val="false"/>
              </w:rPr>
              <w:t xml:space="preserve">11.9%</w:t>
            </w:r>
          </w:p>
        </w:tc>
        <w:tc>
          <w:tcPr>
            <w:tcW w:type="dxa" w:w="1930"/>
          </w:tcPr>
          <w:p>
            <w:r>
              <w:rPr>
                <w:b w:val="false"/>
                <w:bCs w:val="false"/>
              </w:rPr>
              <w:t xml:space="preserve">18.8%</w:t>
            </w:r>
          </w:p>
        </w:tc>
      </w:tr>
      <w:tr>
        <w:tc>
          <w:tcPr>
            <w:tcW w:type="dxa" w:w="2200"/>
          </w:tcPr>
          <w:p>
            <w:r>
              <w:rPr>
                <w:b w:val="false"/>
                <w:bCs w:val="false"/>
              </w:rPr>
              <w:t xml:space="preserve">Spain</w:t>
            </w:r>
          </w:p>
        </w:tc>
        <w:tc>
          <w:tcPr>
            <w:tcW w:type="dxa" w:w="1900"/>
          </w:tcPr>
          <w:p>
            <w:r>
              <w:rPr>
                <w:b w:val="false"/>
                <w:bCs w:val="false"/>
              </w:rPr>
              <w:t xml:space="preserve">+0.39</w:t>
            </w:r>
          </w:p>
        </w:tc>
        <w:tc>
          <w:tcPr>
            <w:tcW w:type="dxa" w:w="1400"/>
          </w:tcPr>
          <w:p>
            <w:r>
              <w:rPr>
                <w:b w:val="false"/>
                <w:bCs w:val="false"/>
              </w:rPr>
              <w:t xml:space="preserve">0.57</w:t>
            </w:r>
          </w:p>
        </w:tc>
        <w:tc>
          <w:tcPr>
            <w:tcW w:type="dxa" w:w="1930"/>
          </w:tcPr>
          <w:p>
            <w:r>
              <w:rPr>
                <w:b w:val="false"/>
                <w:bCs w:val="false"/>
              </w:rPr>
              <w:t xml:space="preserve">11.6%</w:t>
            </w:r>
          </w:p>
        </w:tc>
        <w:tc>
          <w:tcPr>
            <w:tcW w:type="dxa" w:w="1930"/>
          </w:tcPr>
          <w:p>
            <w:r>
              <w:rPr>
                <w:b w:val="false"/>
                <w:bCs w:val="false"/>
              </w:rPr>
              <w:t xml:space="preserve">16.8%</w:t>
            </w:r>
          </w:p>
        </w:tc>
      </w:tr>
      <w:tr>
        <w:tc>
          <w:tcPr>
            <w:tcW w:type="dxa" w:w="2200"/>
          </w:tcPr>
          <w:p>
            <w:r>
              <w:rPr>
                <w:b w:val="false"/>
                <w:bCs w:val="false"/>
              </w:rPr>
              <w:t xml:space="preserve">Netherlands</w:t>
            </w:r>
          </w:p>
        </w:tc>
        <w:tc>
          <w:tcPr>
            <w:tcW w:type="dxa" w:w="1900"/>
          </w:tcPr>
          <w:p>
            <w:r>
              <w:rPr>
                <w:b w:val="false"/>
                <w:bCs w:val="false"/>
              </w:rPr>
              <w:t xml:space="preserve">+0.25</w:t>
            </w:r>
          </w:p>
        </w:tc>
        <w:tc>
          <w:tcPr>
            <w:tcW w:type="dxa" w:w="1400"/>
          </w:tcPr>
          <w:p>
            <w:r>
              <w:rPr>
                <w:b w:val="false"/>
                <w:bCs w:val="false"/>
              </w:rPr>
              <w:t xml:space="preserve">0.67</w:t>
            </w:r>
          </w:p>
        </w:tc>
        <w:tc>
          <w:tcPr>
            <w:tcW w:type="dxa" w:w="1930"/>
          </w:tcPr>
          <w:p>
            <w:r>
              <w:rPr>
                <w:b w:val="false"/>
                <w:bCs w:val="false"/>
              </w:rPr>
              <w:t xml:space="preserve">6.1%</w:t>
            </w:r>
          </w:p>
        </w:tc>
        <w:tc>
          <w:tcPr>
            <w:tcW w:type="dxa" w:w="1930"/>
          </w:tcPr>
          <w:p>
            <w:r>
              <w:rPr>
                <w:b w:val="false"/>
                <w:bCs w:val="false"/>
              </w:rPr>
              <w:t xml:space="preserve">9.1%</w:t>
            </w:r>
          </w:p>
        </w:tc>
      </w:tr>
      <w:tr>
        <w:tc>
          <w:tcPr>
            <w:tcW w:type="dxa" w:w="2200"/>
          </w:tcPr>
          <w:p>
            <w:r>
              <w:rPr>
                <w:b w:val="false"/>
                <w:bCs w:val="false"/>
              </w:rPr>
              <w:t xml:space="preserve">Sweden</w:t>
            </w:r>
          </w:p>
        </w:tc>
        <w:tc>
          <w:tcPr>
            <w:tcW w:type="dxa" w:w="1900"/>
          </w:tcPr>
          <w:p>
            <w:r>
              <w:rPr>
                <w:b w:val="false"/>
                <w:bCs w:val="false"/>
              </w:rPr>
              <w:t xml:space="preserve">+0.14</w:t>
            </w:r>
          </w:p>
        </w:tc>
        <w:tc>
          <w:tcPr>
            <w:tcW w:type="dxa" w:w="1400"/>
          </w:tcPr>
          <w:p>
            <w:r>
              <w:rPr>
                <w:b w:val="false"/>
                <w:bCs w:val="false"/>
              </w:rPr>
              <w:t xml:space="preserve">0.26</w:t>
            </w:r>
          </w:p>
        </w:tc>
        <w:tc>
          <w:tcPr>
            <w:tcW w:type="dxa" w:w="1930"/>
          </w:tcPr>
          <w:p>
            <w:r>
              <w:rPr>
                <w:b w:val="false"/>
                <w:bCs w:val="false"/>
              </w:rPr>
              <w:t xml:space="preserve">6.2%</w:t>
            </w:r>
          </w:p>
        </w:tc>
        <w:tc>
          <w:tcPr>
            <w:tcW w:type="dxa" w:w="1930"/>
          </w:tcPr>
          <w:p>
            <w:r>
              <w:rPr>
                <w:b w:val="false"/>
                <w:bCs w:val="false"/>
              </w:rPr>
              <w:t xml:space="preserve">9.4%</w:t>
            </w:r>
          </w:p>
        </w:tc>
      </w:tr>
      <w:tr>
        <w:tc>
          <w:tcPr>
            <w:tcW w:type="dxa" w:w="2200"/>
          </w:tcPr>
          <w:p>
            <w:r>
              <w:rPr>
                <w:b w:val="false"/>
                <w:bCs w:val="false"/>
              </w:rPr>
              <w:t xml:space="preserve">Austria</w:t>
            </w:r>
          </w:p>
        </w:tc>
        <w:tc>
          <w:tcPr>
            <w:tcW w:type="dxa" w:w="1900"/>
          </w:tcPr>
          <w:p>
            <w:r>
              <w:rPr>
                <w:b w:val="false"/>
                <w:bCs w:val="false"/>
              </w:rPr>
              <w:t xml:space="preserve">−0.03</w:t>
            </w:r>
          </w:p>
        </w:tc>
        <w:tc>
          <w:tcPr>
            <w:tcW w:type="dxa" w:w="1400"/>
          </w:tcPr>
          <w:p>
            <w:r>
              <w:rPr>
                <w:b w:val="false"/>
                <w:bCs w:val="false"/>
              </w:rPr>
              <w:t xml:space="preserve">0.02</w:t>
            </w:r>
          </w:p>
        </w:tc>
        <w:tc>
          <w:tcPr>
            <w:tcW w:type="dxa" w:w="1930"/>
          </w:tcPr>
          <w:p>
            <w:r>
              <w:rPr>
                <w:b w:val="false"/>
                <w:bCs w:val="false"/>
              </w:rPr>
              <w:t xml:space="preserve">9.7%</w:t>
            </w:r>
          </w:p>
        </w:tc>
        <w:tc>
          <w:tcPr>
            <w:tcW w:type="dxa" w:w="1930"/>
          </w:tcPr>
          <w:p>
            <w:r>
              <w:rPr>
                <w:b w:val="false"/>
                <w:bCs w:val="false"/>
              </w:rPr>
              <w:t xml:space="preserve">10.6%</w:t>
            </w:r>
          </w:p>
        </w:tc>
      </w:tr>
      <w:tr>
        <w:tc>
          <w:tcPr>
            <w:tcW w:type="dxa" w:w="2200"/>
          </w:tcPr>
          <w:p>
            <w:r>
              <w:rPr>
                <w:b w:val="false"/>
                <w:bCs w:val="false"/>
              </w:rPr>
              <w:t xml:space="preserve">Denmark</w:t>
            </w:r>
          </w:p>
        </w:tc>
        <w:tc>
          <w:tcPr>
            <w:tcW w:type="dxa" w:w="1900"/>
          </w:tcPr>
          <w:p>
            <w:r>
              <w:rPr>
                <w:b w:val="false"/>
                <w:bCs w:val="false"/>
              </w:rPr>
              <w:t xml:space="preserve">−0.09</w:t>
            </w:r>
          </w:p>
        </w:tc>
        <w:tc>
          <w:tcPr>
            <w:tcW w:type="dxa" w:w="1400"/>
          </w:tcPr>
          <w:p>
            <w:r>
              <w:rPr>
                <w:b w:val="false"/>
                <w:bCs w:val="false"/>
              </w:rPr>
              <w:t xml:space="preserve">0.28</w:t>
            </w:r>
          </w:p>
        </w:tc>
        <w:tc>
          <w:tcPr>
            <w:tcW w:type="dxa" w:w="1930"/>
          </w:tcPr>
          <w:p>
            <w:r>
              <w:rPr>
                <w:b w:val="false"/>
                <w:bCs w:val="false"/>
              </w:rPr>
              <w:t xml:space="preserve">7.5%</w:t>
            </w:r>
          </w:p>
        </w:tc>
        <w:tc>
          <w:tcPr>
            <w:tcW w:type="dxa" w:w="1930"/>
          </w:tcPr>
          <w:p>
            <w:r>
              <w:rPr>
                <w:b w:val="false"/>
                <w:bCs w:val="false"/>
              </w:rPr>
              <w:t xml:space="preserve">6.8%</w:t>
            </w:r>
          </w:p>
        </w:tc>
      </w:tr>
      <w:tr>
        <w:tc>
          <w:tcPr>
            <w:tcW w:type="dxa" w:w="2200"/>
          </w:tcPr>
          <w:p>
            <w:r>
              <w:rPr>
                <w:b w:val="false"/>
                <w:bCs w:val="false"/>
              </w:rPr>
              <w:t xml:space="preserve">Germany</w:t>
            </w:r>
          </w:p>
        </w:tc>
        <w:tc>
          <w:tcPr>
            <w:tcW w:type="dxa" w:w="1900"/>
          </w:tcPr>
          <w:p>
            <w:r>
              <w:rPr>
                <w:b w:val="false"/>
                <w:bCs w:val="false"/>
              </w:rPr>
              <w:t xml:space="preserve">−0.19</w:t>
            </w:r>
          </w:p>
        </w:tc>
        <w:tc>
          <w:tcPr>
            <w:tcW w:type="dxa" w:w="1400"/>
          </w:tcPr>
          <w:p>
            <w:r>
              <w:rPr>
                <w:b w:val="false"/>
                <w:bCs w:val="false"/>
              </w:rPr>
              <w:t xml:space="preserve">0.28</w:t>
            </w:r>
          </w:p>
        </w:tc>
        <w:tc>
          <w:tcPr>
            <w:tcW w:type="dxa" w:w="1930"/>
          </w:tcPr>
          <w:p>
            <w:r>
              <w:rPr>
                <w:b w:val="false"/>
                <w:bCs w:val="false"/>
              </w:rPr>
              <w:t xml:space="preserve">10.3%</w:t>
            </w:r>
          </w:p>
        </w:tc>
        <w:tc>
          <w:tcPr>
            <w:tcW w:type="dxa" w:w="1930"/>
          </w:tcPr>
          <w:p>
            <w:r>
              <w:rPr>
                <w:b w:val="false"/>
                <w:bCs w:val="false"/>
              </w:rPr>
              <w:t xml:space="preserve">10.6%</w:t>
            </w:r>
          </w:p>
        </w:tc>
      </w:tr>
      <w:tr>
        <w:tc>
          <w:tcPr>
            <w:tcW w:type="dxa" w:w="2200"/>
          </w:tcPr>
          <w:p>
            <w:r>
              <w:rPr>
                <w:b w:val="false"/>
                <w:bCs w:val="false"/>
              </w:rPr>
              <w:t xml:space="preserve">Italy</w:t>
            </w:r>
          </w:p>
        </w:tc>
        <w:tc>
          <w:tcPr>
            <w:tcW w:type="dxa" w:w="1900"/>
          </w:tcPr>
          <w:p>
            <w:r>
              <w:rPr>
                <w:b w:val="false"/>
                <w:bCs w:val="false"/>
              </w:rPr>
              <w:t xml:space="preserve">−0.52</w:t>
            </w:r>
          </w:p>
        </w:tc>
        <w:tc>
          <w:tcPr>
            <w:tcW w:type="dxa" w:w="1400"/>
          </w:tcPr>
          <w:p>
            <w:r>
              <w:rPr>
                <w:b w:val="false"/>
                <w:bCs w:val="false"/>
              </w:rPr>
              <w:t xml:space="preserve">0.46</w:t>
            </w:r>
          </w:p>
        </w:tc>
        <w:tc>
          <w:tcPr>
            <w:tcW w:type="dxa" w:w="1930"/>
          </w:tcPr>
          <w:p>
            <w:r>
              <w:rPr>
                <w:b w:val="false"/>
                <w:bCs w:val="false"/>
              </w:rPr>
              <w:t xml:space="preserve">30.1%</w:t>
            </w:r>
          </w:p>
        </w:tc>
        <w:tc>
          <w:tcPr>
            <w:tcW w:type="dxa" w:w="1930"/>
          </w:tcPr>
          <w:p>
            <w:r>
              <w:rPr>
                <w:b w:val="false"/>
                <w:bCs w:val="false"/>
              </w:rPr>
              <w:t xml:space="preserve">27.7%</w:t>
            </w:r>
          </w:p>
        </w:tc>
      </w:tr>
    </w:tbl>
    <w:p>
      <w:pPr>
        <w:spacing w:after="200"/>
      </w:pPr>
    </w:p>
    <w:p>
      <w:pPr>
        <w:spacing w:after="160"/>
      </w:pPr>
      <w:r>
        <w:rPr>
          <w:b w:val="false"/>
          <w:bCs w:val="false"/>
          <w:i w:val="false"/>
          <w:iCs w:val="false"/>
        </w:rPr>
        <w:t xml:space="preserve">Poland shows the steepest and most consistent rise (+0.71 points per year, R² 0.78). Germany's slope is slightly negative (−0.19), but its R² is only 0.28 because its percentage rose until 2017, fell until 2021 and then rose again.</w:t>
      </w:r>
    </w:p>
    <w:p>
      <w:pPr>
        <w:pStyle w:val="Heading1"/>
        <w:spacing w:after="120" w:before="240"/>
      </w:pPr>
      <w:r>
        <w:t xml:space="preserve">4. Limitations</w:t>
      </w:r>
    </w:p>
    <w:p>
      <w:pPr>
        <w:pStyle w:val="ListParagraph"/>
        <w:numPr>
          <w:ilvl w:val="0"/>
          <w:numId w:val="1"/>
        </w:numPr>
        <w:spacing w:after="80"/>
      </w:pPr>
      <w:r>
        <w:t xml:space="preserve">The latest official year differs by country (2022 or 2023), so the comparison is not perfectly like-for-like. Germany's own 2024 official figure was not retrieved.</w:t>
      </w:r>
    </w:p>
    <w:p>
      <w:pPr>
        <w:pStyle w:val="ListParagraph"/>
        <w:numPr>
          <w:ilvl w:val="0"/>
          <w:numId w:val="1"/>
        </w:numPr>
        <w:spacing w:after="80"/>
      </w:pPr>
      <w:r>
        <w:t xml:space="preserve">Being below target now does not guarantee Germany stays below it in 2030.</w:t>
      </w:r>
    </w:p>
    <w:p>
      <w:pPr>
        <w:pStyle w:val="ListParagraph"/>
        <w:numPr>
          <w:ilvl w:val="0"/>
          <w:numId w:val="1"/>
        </w:numPr>
        <w:spacing w:after="80"/>
      </w:pPr>
      <w:r>
        <w:t xml:space="preserve">Linear regression assumes a constant trend and misses non-linear patterns such as Germany's 2017 peak.</w:t>
      </w:r>
    </w:p>
    <w:p>
      <w:pPr>
        <w:pStyle w:val="ListParagraph"/>
        <w:numPr>
          <w:ilvl w:val="0"/>
          <w:numId w:val="1"/>
        </w:numPr>
        <w:spacing w:after="80"/>
      </w:pPr>
      <w:r>
        <w:t xml:space="preserve">Population was interpolated between 2015 and 2024, not taken from actual annual figures.</w:t>
      </w:r>
    </w:p>
    <w:p>
      <w:pPr>
        <w:pStyle w:val="ListParagraph"/>
        <w:numPr>
          <w:ilvl w:val="0"/>
          <w:numId w:val="1"/>
        </w:numPr>
        <w:spacing w:after="80"/>
      </w:pPr>
      <w:r>
        <w:t xml:space="preserve">The incidence proxy underestimates ECDC's official incidence (it uses raw EARS-Net counts without the coverage correction), so it illustrates the divergence mechanism only and is not a substitute for official figures.</w:t>
      </w:r>
    </w:p>
    <w:p>
      <w:pPr>
        <w:pStyle w:val="ListParagraph"/>
        <w:numPr>
          <w:ilvl w:val="0"/>
          <w:numId w:val="1"/>
        </w:numPr>
        <w:spacing w:after="80"/>
      </w:pPr>
      <w:r>
        <w:t xml:space="preserve">Austria's and Denmark's targets come from individual ECDC country factsheets rather than one central table, so minor discrepancies with other ECDC publications are possible.</w:t>
      </w:r>
    </w:p>
    <w:p>
      <w:pPr>
        <w:pStyle w:val="Heading1"/>
        <w:spacing w:after="120" w:before="240"/>
      </w:pPr>
      <w:r>
        <w:t xml:space="preserve">5. Conclusion</w:t>
      </w:r>
    </w:p>
    <w:p>
      <w:pPr>
        <w:spacing w:after="160"/>
      </w:pPr>
      <w:r>
        <w:rPr>
          <w:b w:val="false"/>
          <w:bCs w:val="false"/>
          <w:i w:val="false"/>
          <w:iCs w:val="false"/>
        </w:rPr>
        <w:t xml:space="preserve">On official ECDC incidence data, Germany is on track to meet its 2030 target for third-generation cephalosporin-resistant E. coli: it has reduced incidence by 14.9% since 2019 and is already below its target of 10.6. Among the eight countries studied, only Italy, Denmark and the Netherlands are also at or below target, while Spain and Poland are moving in the wrong direction. The project also shows that resistance percentage alone can give the opposite impression of incidence, so progress against EU targets should be judged on incidence. A further step would be to replicate ECDC's coverage-corrected incidence methodology for all eight countries and to use a non-linear trend model.</w:t>
      </w:r>
    </w:p>
    <w:p>
      <w:pPr>
        <w:pStyle w:val="Heading1"/>
        <w:spacing w:after="120" w:before="240"/>
      </w:pPr>
      <w:r>
        <w:t xml:space="preserve">6. Data Sources</w:t>
      </w:r>
    </w:p>
    <w:p>
      <w:pPr>
        <w:pStyle w:val="ListParagraph"/>
        <w:numPr>
          <w:ilvl w:val="0"/>
          <w:numId w:val="1"/>
        </w:numPr>
        <w:spacing w:after="80"/>
      </w:pPr>
      <w:r>
        <w:t xml:space="preserve">ECDC Surveillance Atlas of Infectious Diseases (EARS-Net): https://atlas.ecdc.europa.eu/public/index.aspx</w:t>
      </w:r>
    </w:p>
    <w:p>
      <w:pPr>
        <w:pStyle w:val="ListParagraph"/>
        <w:numPr>
          <w:ilvl w:val="0"/>
          <w:numId w:val="1"/>
        </w:numPr>
        <w:spacing w:after="80"/>
      </w:pPr>
      <w:r>
        <w:t xml:space="preserve">ECDC Country Factsheets (AMR targets): https://antibiotic.ecdc.europa.eu</w:t>
      </w:r>
    </w:p>
    <w:p>
      <w:pPr>
        <w:pStyle w:val="ListParagraph"/>
        <w:numPr>
          <w:ilvl w:val="0"/>
          <w:numId w:val="1"/>
        </w:numPr>
        <w:spacing w:after="80"/>
      </w:pPr>
      <w:r>
        <w:t xml:space="preserve">Eurostat, Population on 1 January (demo_pjan): https://ec.europa.eu/eurostat/databrowser/view/demo_pjan/default/table</w:t>
      </w:r>
    </w:p>
    <w:p>
      <w:pPr>
        <w:pStyle w:val="ListParagraph"/>
        <w:numPr>
          <w:ilvl w:val="0"/>
          <w:numId w:val="1"/>
        </w:numPr>
        <w:spacing w:after="80"/>
      </w:pPr>
      <w:r>
        <w:t xml:space="preserve">EU Council Recommendation 2023/C 220/01 on combating AMR: https://eur-lex.europa.eu</w:t>
      </w:r>
    </w:p>
    <w:p>
      <w:pPr>
        <w:pStyle w:val="Heading1"/>
        <w:spacing w:after="120" w:before="240"/>
      </w:pPr>
      <w:r>
        <w:t xml:space="preserve">Tools Used</w:t>
      </w:r>
    </w:p>
    <w:p>
      <w:pPr>
        <w:pStyle w:val="ListParagraph"/>
        <w:numPr>
          <w:ilvl w:val="0"/>
          <w:numId w:val="1"/>
        </w:numPr>
        <w:spacing w:after="80"/>
      </w:pPr>
      <w:r>
        <w:t xml:space="preserve">Python (pandas, scikit-learn, matplotlib): data cleaning, regression, visualization</w:t>
      </w:r>
    </w:p>
    <w:p>
      <w:pPr>
        <w:pStyle w:val="ListParagraph"/>
        <w:numPr>
          <w:ilvl w:val="0"/>
          <w:numId w:val="1"/>
        </w:numPr>
        <w:spacing w:after="80"/>
      </w:pPr>
      <w:r>
        <w:t xml:space="preserve">Tableau Public and Power BI: interactive dashboards</w:t>
      </w:r>
    </w:p>
    <w:p>
      <w:pPr>
        <w:pStyle w:val="ListParagraph"/>
        <w:numPr>
          <w:ilvl w:val="0"/>
          <w:numId w:val="1"/>
        </w:numPr>
        <w:spacing w:after="80"/>
      </w:pPr>
      <w:r>
        <w:t xml:space="preserve">GitHub: project repository</w:t>
      </w:r>
    </w:p>
    <w:p>
      <w:pPr>
        <w:pStyle w:val="Heading1"/>
        <w:spacing w:after="120" w:before="240"/>
      </w:pPr>
      <w:r>
        <w:t xml:space="preserve">Appendix: Anticipated Questions</w:t>
      </w:r>
    </w:p>
    <w:p>
      <w:pPr>
        <w:spacing w:after="160"/>
      </w:pPr>
      <w:r>
        <w:rPr>
          <w:b/>
          <w:bCs/>
          <w:i w:val="false"/>
          <w:iCs w:val="false"/>
        </w:rPr>
        <w:t xml:space="preserve">Why 2019 as the baseline?</w:t>
      </w:r>
    </w:p>
    <w:p>
      <w:pPr>
        <w:spacing w:after="160"/>
      </w:pPr>
      <w:r>
        <w:rPr>
          <w:b w:val="false"/>
          <w:bCs w:val="false"/>
          <w:i w:val="false"/>
          <w:iCs w:val="false"/>
        </w:rPr>
        <w:t xml:space="preserve">2019 is the official baseline fixed by the EU Council Recommendation on AMR (2023/C 220/01). Every country's 2030 target is defined as a required percentage reduction from its 2019 incidence. The baseline was not chosen by the author; it was adopted so the comparison matches the real EU policy targets.</w:t>
      </w:r>
    </w:p>
    <w:p>
      <w:pPr>
        <w:spacing w:after="160"/>
      </w:pPr>
      <w:r>
        <w:rPr>
          <w:b/>
          <w:bCs/>
          <w:i w:val="false"/>
          <w:iCs w:val="false"/>
        </w:rPr>
        <w:t xml:space="preserve">Why not K-Nearest Neighbors (KNN)?</w:t>
      </w:r>
    </w:p>
    <w:p>
      <w:pPr>
        <w:spacing w:after="160"/>
      </w:pPr>
      <w:r>
        <w:rPr>
          <w:b w:val="false"/>
          <w:bCs w:val="false"/>
          <w:i w:val="false"/>
          <w:iCs w:val="false"/>
        </w:rPr>
        <w:t xml:space="preserve">KNN is designed for classification or prediction based on similarity between data points, not for measuring how a value changes over time. This project's question, whether resistance is rising or falling and how fast, is a trend question, which linear regression answers directly through its slope. A future extension could use clustering to group countries with similar resistance patterns, but that is a different question.</w:t>
      </w:r>
    </w:p>
    <w:p>
      <w:pPr>
        <w:spacing w:after="160"/>
      </w:pPr>
      <w:r>
        <w:rPr>
          <w:b/>
          <w:bCs/>
          <w:i w:val="false"/>
          <w:iCs w:val="false"/>
        </w:rPr>
        <w:t xml:space="preserve">Why E. coli and third-generation cephalosporins?</w:t>
      </w:r>
    </w:p>
    <w:p>
      <w:pPr>
        <w:spacing w:after="160"/>
      </w:pPr>
      <w:r>
        <w:rPr>
          <w:b w:val="false"/>
          <w:bCs w:val="false"/>
          <w:i w:val="false"/>
          <w:iCs w:val="false"/>
        </w:rPr>
        <w:t xml:space="preserve">E. coli is one of the most common causes of bloodstream infections, and third-generation cephalosporins are a critical antibiotic class for treating them. This combination is also one of the EU's officially tracked AMR indicators, so reliable, standardized data exist across countries.</w:t>
      </w:r>
    </w:p>
    <w:p>
      <w:pPr>
        <w:spacing w:after="160"/>
      </w:pPr>
      <w:r>
        <w:rPr>
          <w:b/>
          <w:bCs/>
          <w:i w:val="false"/>
          <w:iCs w:val="false"/>
        </w:rPr>
        <w:t xml:space="preserve">Why these 8 countries?</w:t>
      </w:r>
    </w:p>
    <w:p>
      <w:pPr>
        <w:spacing w:after="160"/>
      </w:pPr>
      <w:r>
        <w:rPr>
          <w:b w:val="false"/>
          <w:bCs w:val="false"/>
          <w:i w:val="false"/>
          <w:iCs w:val="false"/>
        </w:rPr>
        <w:t xml:space="preserve">They were selected for geographic diversity (Western, Northern, Southern and Eastern Europe) and because they had complete, consistent EARS-Net data across all 10 years with no missing values.</w:t>
      </w:r>
    </w:p>
    <w:p>
      <w:pPr>
        <w:spacing w:after="160"/>
      </w:pPr>
      <w:r>
        <w:rPr>
          <w:b/>
          <w:bCs/>
          <w:i w:val="false"/>
          <w:iCs w:val="false"/>
        </w:rPr>
        <w:t xml:space="preserve">What does R² mean, and why is it low for some countries?</w:t>
      </w:r>
    </w:p>
    <w:p>
      <w:pPr>
        <w:spacing w:after="160"/>
      </w:pPr>
      <w:r>
        <w:rPr>
          <w:b w:val="false"/>
          <w:bCs w:val="false"/>
          <w:i w:val="false"/>
          <w:iCs w:val="false"/>
        </w:rPr>
        <w:t xml:space="preserve">R² measures how well a straight line fits the yearly data points, from 0 (no fit) to 1 (perfect fit). Germany's R² is only 0.28, meaning the line explains about 28% of the year-to-year variation, because Germany's resistance rose, peaked in 2017, fell, then rose again. The slope still captures the overall direction but misses these fluctuations.</w:t>
      </w:r>
    </w:p>
    <w:p>
      <w:pPr>
        <w:spacing w:after="160"/>
      </w:pPr>
      <w:r>
        <w:rPr>
          <w:b/>
          <w:bCs/>
          <w:i w:val="false"/>
          <w:iCs w:val="false"/>
        </w:rPr>
        <w:t xml:space="preserve">Why is Germany called 'on track' if it only has data up to 2023?</w:t>
      </w:r>
    </w:p>
    <w:p>
      <w:pPr>
        <w:spacing w:after="160"/>
      </w:pPr>
      <w:r>
        <w:rPr>
          <w:b w:val="false"/>
          <w:bCs w:val="false"/>
          <w:i w:val="false"/>
          <w:iCs w:val="false"/>
        </w:rPr>
        <w:t xml:space="preserve">Germany's latest official incidence (10.2 in 2023) is already below its 2030 target (10.6). The target is judged in 2030, so staying below it is not guaranteed; this is why the report says Germany is on track and not that it has met the target.</w:t>
      </w:r>
    </w:p>
    <w:p>
      <w:pPr>
        <w:spacing w:after="160"/>
      </w:pPr>
      <w:r>
        <w:rPr>
          <w:b/>
          <w:bCs/>
          <w:i w:val="false"/>
          <w:iCs w:val="false"/>
        </w:rPr>
        <w:t xml:space="preserve">How reliable is this data? Could it be biased?</w:t>
      </w:r>
    </w:p>
    <w:p>
      <w:pPr>
        <w:spacing w:after="160"/>
      </w:pPr>
      <w:r>
        <w:rPr>
          <w:b w:val="false"/>
          <w:bCs w:val="false"/>
          <w:i w:val="false"/>
          <w:iCs w:val="false"/>
        </w:rPr>
        <w:t xml:space="preserve">EARS-Net relies on participating labs and hospitals reporting results, so coverage and testing volume vary by country. This affects cross-country comparability and is noted as a limitation; no correction for reporting coverage was applied.</w:t>
      </w:r>
    </w:p>
    <w:p>
      <w:pPr>
        <w:spacing w:after="160"/>
      </w:pPr>
      <w:r>
        <w:rPr>
          <w:b/>
          <w:bCs/>
          <w:i w:val="false"/>
          <w:iCs w:val="false"/>
        </w:rPr>
        <w:t xml:space="preserve">Why does Spain look worse recently?</w:t>
      </w:r>
    </w:p>
    <w:p>
      <w:pPr>
        <w:spacing w:after="160"/>
      </w:pPr>
      <w:r>
        <w:rPr>
          <w:b w:val="false"/>
          <w:bCs w:val="false"/>
          <w:i w:val="false"/>
          <w:iCs w:val="false"/>
        </w:rPr>
        <w:t xml:space="preserve">The underlying cause (antibiotic use, reporting changes or genuine spread of resistant strains) was not investigated. The analysis identifies the trend, not its cause.</w:t>
      </w:r>
    </w:p>
    <w:p>
      <w:pPr>
        <w:spacing w:after="160"/>
      </w:pPr>
      <w:r>
        <w:rPr>
          <w:b/>
          <w:bCs/>
          <w:i w:val="false"/>
          <w:iCs w:val="false"/>
        </w:rPr>
        <w:t xml:space="preserve">What would you do differently with more time?</w:t>
      </w:r>
    </w:p>
    <w:p>
      <w:pPr>
        <w:spacing w:after="160"/>
      </w:pPr>
      <w:r>
        <w:rPr>
          <w:b w:val="false"/>
          <w:bCs w:val="false"/>
          <w:i w:val="false"/>
          <w:iCs w:val="false"/>
        </w:rPr>
        <w:t xml:space="preserve">Replicate ECDC's official incidence methodology, which applies a population-coverage correction instead of raw surveillance counts, and explore non-linear regression to capture patterns like Germany's peak-and-decline.</w:t>
      </w:r>
    </w:p>
    <w:p>
      <w:pPr>
        <w:spacing w:after="160"/>
      </w:pPr>
      <w:r>
        <w:rPr>
          <w:b/>
          <w:bCs/>
          <w:i w:val="false"/>
          <w:iCs w:val="false"/>
        </w:rPr>
        <w:t xml:space="preserve">Is this reproducible?</w:t>
      </w:r>
    </w:p>
    <w:p>
      <w:pPr>
        <w:spacing w:after="160"/>
      </w:pPr>
      <w:r>
        <w:rPr>
          <w:b w:val="false"/>
          <w:bCs w:val="false"/>
          <w:i w:val="false"/>
          <w:iCs w:val="false"/>
        </w:rPr>
        <w:t xml:space="preserve">Yes. All data sources are public (ECDC Surveillance Atlas, Eurostat, ECDC country factsheets) and the analysis code is in the project notebook.</w:t>
      </w:r>
    </w:p>
    <w:p>
      <w:pPr>
        <w:spacing w:after="160"/>
      </w:pPr>
      <w:r>
        <w:rPr>
          <w:b/>
          <w:bCs/>
          <w:i w:val="false"/>
          <w:iCs w:val="false"/>
        </w:rPr>
        <w:t xml:space="preserve">Did you validate the model with a train/test split?</w:t>
      </w:r>
    </w:p>
    <w:p>
      <w:pPr>
        <w:spacing w:after="160"/>
      </w:pPr>
      <w:r>
        <w:rPr>
          <w:b w:val="false"/>
          <w:bCs w:val="false"/>
          <w:i w:val="false"/>
          <w:iCs w:val="false"/>
        </w:rPr>
        <w:t xml:space="preserve">No. With only 10 yearly data points per country, a split would leave too little data for a meaningful model. The full series was used to estimate the overall trend, not to validate predictive accuracy.</w:t>
      </w:r>
    </w:p>
    <w:p>
      <w:pPr>
        <w:spacing w:after="160"/>
      </w:pPr>
      <w:r>
        <w:rPr>
          <w:b/>
          <w:bCs/>
          <w:i w:val="false"/>
          <w:iCs w:val="false"/>
        </w:rPr>
        <w:t xml:space="preserve">Does this show causation?</w:t>
      </w:r>
    </w:p>
    <w:p>
      <w:pPr>
        <w:spacing w:after="160"/>
      </w:pPr>
      <w:r>
        <w:rPr>
          <w:b w:val="false"/>
          <w:bCs w:val="false"/>
          <w:i w:val="false"/>
          <w:iCs w:val="false"/>
        </w:rPr>
        <w:t xml:space="preserve">No. The analysis is descriptive and trend-based. It does not establish that any specific factor caused the observed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2026-10-07T13:54:05.697Z</dcterms:created>
  <dcterms:modified xsi:type="dcterms:W3CDTF">2026-10-07T13:54:05.697Z</dcterms:modified>
</cp:coreProperties>
</file>

<file path=docProps/custom.xml><?xml version="1.0" encoding="utf-8"?>
<Properties xmlns="http://schemas.openxmlformats.org/officeDocument/2006/custom-properties" xmlns:vt="http://schemas.openxmlformats.org/officeDocument/2006/docPropsVTypes"/>
</file>