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240"/>
        <w:jc w:val="center"/>
      </w:pPr>
      <w:r>
        <w:rPr>
          <w:rFonts w:ascii="Times New Roman" w:hAnsi="Times New Roman"/>
          <w:b/>
          <w:sz w:val="56"/>
        </w:rPr>
        <w:t>UNVEILING OF THE SHADOW MATRIX</w:t>
      </w:r>
    </w:p>
    <w:p>
      <w:pPr>
        <w:spacing w:after="480"/>
        <w:jc w:val="center"/>
      </w:pPr>
      <w:r>
        <w:rPr>
          <w:rFonts w:ascii="Times New Roman" w:hAnsi="Times New Roman"/>
          <w:i/>
          <w:sz w:val="32"/>
        </w:rPr>
        <w:t>A Call for Constitutional Liberation</w:t>
      </w:r>
    </w:p>
    <w:p>
      <w:pPr>
        <w:jc w:val="center"/>
      </w:pPr>
      <w:r>
        <w:drawing>
          <wp:inline xmlns:a="http://schemas.openxmlformats.org/drawingml/2006/main" xmlns:pic="http://schemas.openxmlformats.org/drawingml/2006/picture">
            <wp:extent cx="3235890" cy="4572000"/>
            <wp:docPr id="1" name="Picture 1"/>
            <wp:cNvGraphicFramePr>
              <a:graphicFrameLocks noChangeAspect="1"/>
            </wp:cNvGraphicFramePr>
            <a:graphic>
              <a:graphicData uri="http://schemas.openxmlformats.org/drawingml/2006/picture">
                <pic:pic>
                  <pic:nvPicPr>
                    <pic:cNvPr id="0" name="img-000.jpg"/>
                    <pic:cNvPicPr/>
                  </pic:nvPicPr>
                  <pic:blipFill>
                    <a:blip r:embed="rId9"/>
                    <a:stretch>
                      <a:fillRect/>
                    </a:stretch>
                  </pic:blipFill>
                  <pic:spPr>
                    <a:xfrm>
                      <a:off x="0" y="0"/>
                      <a:ext cx="3235890" cy="4572000"/>
                    </a:xfrm>
                    <a:prstGeom prst="rect"/>
                  </pic:spPr>
                </pic:pic>
              </a:graphicData>
            </a:graphic>
          </wp:inline>
        </w:drawing>
      </w:r>
    </w:p>
    <w:p>
      <w:pPr>
        <w:spacing w:before="480"/>
        <w:jc w:val="center"/>
      </w:pPr>
      <w:r>
        <w:rPr>
          <w:rFonts w:ascii="Times New Roman" w:hAnsi="Times New Roman"/>
          <w:sz w:val="28"/>
        </w:rPr>
        <w:t>nicolas of the family brett - a living man</w:t>
      </w:r>
    </w:p>
    <w:p>
      <w:pPr>
        <w:sectPr>
          <w:pgSz w:w="8640" w:h="12960"/>
          <w:pgMar w:top="1080" w:right="900" w:bottom="1080" w:left="1080" w:header="720" w:footer="720" w:gutter="180"/>
          <w:cols w:space="720"/>
          <w:docGrid w:linePitch="360"/>
        </w:sectPr>
      </w:pPr>
    </w:p>
    <w:p>
      <w:pPr>
        <w:spacing w:after="160"/>
        <w:jc w:val="center"/>
      </w:pPr>
      <w:r>
        <w:rPr>
          <w:rFonts w:ascii="Times New Roman" w:hAnsi="Times New Roman"/>
          <w:b/>
          <w:sz w:val="44"/>
        </w:rPr>
        <w:t>Unveiling the Shadow Matrix:</w:t>
      </w:r>
    </w:p>
    <w:p>
      <w:pPr>
        <w:spacing w:after="360"/>
        <w:jc w:val="center"/>
      </w:pPr>
      <w:r>
        <w:rPr>
          <w:rFonts w:ascii="Times New Roman" w:hAnsi="Times New Roman"/>
          <w:sz w:val="32"/>
        </w:rPr>
        <w:t>The Global Conspiracy to Enslave Humanity</w:t>
        <w:br/>
        <w:t>and the Constitutional Path to World Peace</w:t>
      </w:r>
    </w:p>
    <w:p>
      <w:pPr>
        <w:spacing w:after="480"/>
        <w:jc w:val="center"/>
      </w:pPr>
      <w:r>
        <w:rPr>
          <w:rFonts w:ascii="Times New Roman" w:hAnsi="Times New Roman"/>
          <w:i/>
          <w:sz w:val="26"/>
        </w:rPr>
        <w:t>A 25-Chapter Blueprint for Understanding and Dismantling</w:t>
        <w:br/>
        <w:t>the Systems of Control</w:t>
      </w:r>
    </w:p>
    <w:p>
      <w:pPr>
        <w:jc w:val="center"/>
      </w:pPr>
      <w:r>
        <w:rPr>
          <w:rFonts w:ascii="Times New Roman" w:hAnsi="Times New Roman"/>
          <w:sz w:val="28"/>
        </w:rPr>
        <w:t>By nicolas of the family brett a living man</w:t>
      </w:r>
    </w:p>
    <w:p>
      <w:pPr>
        <w:sectPr>
          <w:type w:val="oddPage"/>
          <w:pgSz w:w="8640" w:h="12960"/>
          <w:pgMar w:top="1080" w:right="900" w:bottom="1080" w:left="1080" w:header="720" w:footer="720" w:gutter="180"/>
          <w:cols w:space="720"/>
          <w:docGrid w:linePitch="360"/>
        </w:sectPr>
      </w:pPr>
    </w:p>
    <w:p>
      <w:pPr>
        <w:spacing w:after="480" w:before="720"/>
        <w:jc w:val="center"/>
      </w:pPr>
      <w:r>
        <w:rPr>
          <w:rFonts w:ascii="Times New Roman" w:hAnsi="Times New Roman"/>
          <w:b/>
          <w:sz w:val="44"/>
        </w:rPr>
        <w:t>Table of Contents</w:t>
      </w:r>
    </w:p>
    <w:p>
      <w:pPr>
        <w:spacing w:after="40"/>
      </w:pPr>
      <w:r>
        <w:rPr>
          <w:rFonts w:ascii="Times New Roman" w:hAnsi="Times New Roman"/>
          <w:sz w:val="22"/>
        </w:rPr>
        <w:t>Introduction</w:t>
      </w:r>
    </w:p>
    <w:p>
      <w:pPr>
        <w:spacing w:after="80"/>
      </w:pPr>
    </w:p>
    <w:p>
      <w:pPr>
        <w:spacing w:before="160" w:after="80"/>
      </w:pPr>
      <w:r>
        <w:rPr>
          <w:rFonts w:ascii="Times New Roman" w:hAnsi="Times New Roman"/>
          <w:b/>
          <w:sz w:val="24"/>
        </w:rPr>
        <w:t>PART I: SITUATION — The Current Global Landscape</w:t>
      </w:r>
    </w:p>
    <w:p>
      <w:pPr>
        <w:spacing w:after="40"/>
        <w:ind w:left="576"/>
      </w:pPr>
      <w:r>
        <w:rPr>
          <w:rFonts w:ascii="Times New Roman" w:hAnsi="Times New Roman"/>
          <w:sz w:val="22"/>
        </w:rPr>
        <w:t>Chapter 1: The Financial Web — U.S. Aid to Israel and Global Power Dynamics</w:t>
      </w:r>
    </w:p>
    <w:p>
      <w:pPr>
        <w:spacing w:after="40"/>
        <w:ind w:left="576"/>
      </w:pPr>
      <w:r>
        <w:rPr>
          <w:rFonts w:ascii="Times New Roman" w:hAnsi="Times New Roman"/>
          <w:sz w:val="22"/>
        </w:rPr>
        <w:t>Chapter 2: The Vatican Bank Conspiracy — Roberto Calvi and the P2 Lodge</w:t>
      </w:r>
    </w:p>
    <w:p>
      <w:pPr>
        <w:spacing w:after="40"/>
        <w:ind w:left="576"/>
      </w:pPr>
      <w:r>
        <w:rPr>
          <w:rFonts w:ascii="Times New Roman" w:hAnsi="Times New Roman"/>
          <w:sz w:val="22"/>
        </w:rPr>
        <w:t>Chapter 3: The Federal Reserve Deception — Private Banking Masquerading as Government</w:t>
      </w:r>
    </w:p>
    <w:p>
      <w:pPr>
        <w:spacing w:after="40"/>
        <w:ind w:left="576"/>
      </w:pPr>
      <w:r>
        <w:rPr>
          <w:rFonts w:ascii="Times New Roman" w:hAnsi="Times New Roman"/>
          <w:sz w:val="22"/>
        </w:rPr>
        <w:t>Chapter 4: BlackRock and the Asset Management Empire</w:t>
      </w:r>
    </w:p>
    <w:p>
      <w:pPr>
        <w:spacing w:after="40"/>
        <w:ind w:left="576"/>
      </w:pPr>
      <w:r>
        <w:rPr>
          <w:rFonts w:ascii="Times New Roman" w:hAnsi="Times New Roman"/>
          <w:sz w:val="22"/>
        </w:rPr>
        <w:t>Chapter 5: The World Economic Forum and the Great Reset Agenda</w:t>
      </w:r>
    </w:p>
    <w:p>
      <w:pPr>
        <w:spacing w:after="40"/>
        <w:ind w:left="576"/>
      </w:pPr>
      <w:r>
        <w:rPr>
          <w:rFonts w:ascii="Times New Roman" w:hAnsi="Times New Roman"/>
          <w:sz w:val="22"/>
        </w:rPr>
        <w:t>Chapter 6: Digital Currency and the Surveillance State</w:t>
      </w:r>
    </w:p>
    <w:p>
      <w:pPr>
        <w:spacing w:after="80"/>
      </w:pPr>
    </w:p>
    <w:p>
      <w:pPr>
        <w:spacing w:before="160" w:after="80"/>
      </w:pPr>
      <w:r>
        <w:rPr>
          <w:rFonts w:ascii="Times New Roman" w:hAnsi="Times New Roman"/>
          <w:b/>
          <w:sz w:val="24"/>
        </w:rPr>
        <w:t>PART II: PROBLEM — Core Issues in the Global System</w:t>
      </w:r>
    </w:p>
    <w:p>
      <w:pPr>
        <w:spacing w:after="40"/>
        <w:ind w:left="576"/>
      </w:pPr>
      <w:r>
        <w:rPr>
          <w:rFonts w:ascii="Times New Roman" w:hAnsi="Times New Roman"/>
          <w:sz w:val="22"/>
        </w:rPr>
        <w:t>Chapter 7: The Debt Slavery System — How Nations Become Enslaved</w:t>
      </w:r>
    </w:p>
    <w:p>
      <w:pPr>
        <w:spacing w:after="40"/>
        <w:ind w:left="576"/>
      </w:pPr>
      <w:r>
        <w:rPr>
          <w:rFonts w:ascii="Times New Roman" w:hAnsi="Times New Roman"/>
          <w:sz w:val="22"/>
        </w:rPr>
        <w:t>Chapter 8: Judicial Corruption and the Collapse of Rule of Law</w:t>
      </w:r>
    </w:p>
    <w:p>
      <w:pPr>
        <w:spacing w:after="40"/>
        <w:ind w:left="576"/>
      </w:pPr>
      <w:r>
        <w:rPr>
          <w:rFonts w:ascii="Times New Roman" w:hAnsi="Times New Roman"/>
          <w:sz w:val="22"/>
        </w:rPr>
        <w:t>Chapter 9: Media Manipulation and the Propaganda Matrix</w:t>
      </w:r>
    </w:p>
    <w:p>
      <w:pPr>
        <w:spacing w:after="40"/>
        <w:ind w:left="576"/>
      </w:pPr>
      <w:r>
        <w:rPr>
          <w:rFonts w:ascii="Times New Roman" w:hAnsi="Times New Roman"/>
          <w:sz w:val="22"/>
        </w:rPr>
        <w:t>Chapter 10: Educational Indoctrination and the Capture of Academic Institutions</w:t>
      </w:r>
    </w:p>
    <w:p>
      <w:pPr>
        <w:spacing w:after="40"/>
        <w:ind w:left="576"/>
      </w:pPr>
      <w:r>
        <w:rPr>
          <w:rFonts w:ascii="Times New Roman" w:hAnsi="Times New Roman"/>
          <w:sz w:val="22"/>
        </w:rPr>
        <w:t>Chapter 11: Healthcare Capture and Medical Tyranny</w:t>
      </w:r>
    </w:p>
    <w:p>
      <w:pPr>
        <w:spacing w:after="40"/>
        <w:ind w:left="576"/>
      </w:pPr>
      <w:r>
        <w:rPr>
          <w:rFonts w:ascii="Times New Roman" w:hAnsi="Times New Roman"/>
          <w:sz w:val="22"/>
        </w:rPr>
        <w:t>Chapter 12: Environmental Manipulation and Geoengineering</w:t>
      </w:r>
    </w:p>
    <w:p>
      <w:pPr>
        <w:spacing w:after="80"/>
      </w:pPr>
    </w:p>
    <w:p>
      <w:pPr>
        <w:spacing w:before="160" w:after="80"/>
      </w:pPr>
      <w:r>
        <w:rPr>
          <w:rFonts w:ascii="Times New Roman" w:hAnsi="Times New Roman"/>
          <w:b/>
          <w:sz w:val="24"/>
        </w:rPr>
        <w:t>PART III: IMPLICATIONS — Consequences of Systemic Failure</w:t>
      </w:r>
    </w:p>
    <w:p>
      <w:pPr>
        <w:spacing w:after="40"/>
        <w:ind w:left="576"/>
      </w:pPr>
      <w:r>
        <w:rPr>
          <w:rFonts w:ascii="Times New Roman" w:hAnsi="Times New Roman"/>
          <w:sz w:val="22"/>
        </w:rPr>
        <w:t>Chapter 13: The Collapse of Democratic Institutions</w:t>
      </w:r>
    </w:p>
    <w:p>
      <w:pPr>
        <w:spacing w:after="40"/>
        <w:ind w:left="576"/>
      </w:pPr>
      <w:r>
        <w:rPr>
          <w:rFonts w:ascii="Times New Roman" w:hAnsi="Times New Roman"/>
          <w:sz w:val="22"/>
        </w:rPr>
        <w:t>Chapter 14: The Rise of Techno-Totalitarianism</w:t>
      </w:r>
    </w:p>
    <w:p>
      <w:pPr>
        <w:spacing w:after="40"/>
        <w:ind w:left="576"/>
      </w:pPr>
      <w:r>
        <w:rPr>
          <w:rFonts w:ascii="Times New Roman" w:hAnsi="Times New Roman"/>
          <w:sz w:val="22"/>
        </w:rPr>
        <w:t>Chapter 15: Economic Collapse and Social Breakdown</w:t>
      </w:r>
    </w:p>
    <w:p>
      <w:pPr>
        <w:spacing w:after="40"/>
        <w:ind w:left="576"/>
      </w:pPr>
      <w:r>
        <w:rPr>
          <w:rFonts w:ascii="Times New Roman" w:hAnsi="Times New Roman"/>
          <w:sz w:val="22"/>
        </w:rPr>
        <w:t>Chapter 16: The Loss of Human Dignity and Spiritual Crisis</w:t>
      </w:r>
    </w:p>
    <w:p>
      <w:pPr>
        <w:spacing w:after="40"/>
        <w:ind w:left="576"/>
      </w:pPr>
      <w:r>
        <w:rPr>
          <w:rFonts w:ascii="Times New Roman" w:hAnsi="Times New Roman"/>
          <w:sz w:val="22"/>
        </w:rPr>
        <w:t>Chapter 17: The Urgent Need for Systemic Transformation</w:t>
      </w:r>
    </w:p>
    <w:p>
      <w:pPr>
        <w:spacing w:after="80"/>
      </w:pPr>
    </w:p>
    <w:p>
      <w:pPr>
        <w:spacing w:before="160" w:after="80"/>
      </w:pPr>
      <w:r>
        <w:rPr>
          <w:rFonts w:ascii="Times New Roman" w:hAnsi="Times New Roman"/>
          <w:b/>
          <w:sz w:val="24"/>
        </w:rPr>
        <w:t>PART IV: NEED — The Expressed Need for Constitutional Solutions</w:t>
      </w:r>
    </w:p>
    <w:p>
      <w:pPr>
        <w:spacing w:after="40"/>
        <w:ind w:left="576"/>
      </w:pPr>
      <w:r>
        <w:rPr>
          <w:rFonts w:ascii="Times New Roman" w:hAnsi="Times New Roman"/>
          <w:sz w:val="22"/>
        </w:rPr>
        <w:t>Chapter 18: The Need for Constitutional Governance and Rule of Law</w:t>
      </w:r>
    </w:p>
    <w:p>
      <w:pPr>
        <w:spacing w:after="40"/>
        <w:ind w:left="576"/>
      </w:pPr>
      <w:r>
        <w:rPr>
          <w:rFonts w:ascii="Times New Roman" w:hAnsi="Times New Roman"/>
          <w:sz w:val="22"/>
        </w:rPr>
        <w:t>Chapter 19: The Need for International Cooperation and Global Governance Reform</w:t>
      </w:r>
    </w:p>
    <w:p>
      <w:pPr>
        <w:spacing w:after="40"/>
        <w:ind w:left="576"/>
      </w:pPr>
      <w:r>
        <w:rPr>
          <w:rFonts w:ascii="Times New Roman" w:hAnsi="Times New Roman"/>
          <w:sz w:val="22"/>
        </w:rPr>
        <w:t>Chapter 20: The Need for Economic Justice and Monetary Reform</w:t>
      </w:r>
    </w:p>
    <w:p>
      <w:pPr>
        <w:spacing w:after="40"/>
        <w:ind w:left="576"/>
      </w:pPr>
      <w:r>
        <w:rPr>
          <w:rFonts w:ascii="Times New Roman" w:hAnsi="Times New Roman"/>
          <w:sz w:val="22"/>
        </w:rPr>
        <w:t>Chapter 21: The Need for Technological Sovereignty and Protection of Divine Rights</w:t>
      </w:r>
    </w:p>
    <w:p>
      <w:pPr>
        <w:spacing w:after="40"/>
        <w:ind w:left="576"/>
      </w:pPr>
      <w:r>
        <w:rPr>
          <w:rFonts w:ascii="Times New Roman" w:hAnsi="Times New Roman"/>
          <w:sz w:val="22"/>
        </w:rPr>
        <w:t>Chapter 22: The Need for Environmental Protection and Ecological Restoration</w:t>
      </w:r>
    </w:p>
    <w:p>
      <w:pPr>
        <w:spacing w:after="40"/>
        <w:ind w:left="576"/>
      </w:pPr>
      <w:r>
        <w:rPr>
          <w:rFonts w:ascii="Times New Roman" w:hAnsi="Times New Roman"/>
          <w:sz w:val="22"/>
        </w:rPr>
        <w:t>Chapter 23: The Need for Cultural Renewal and Spiritual Restoration</w:t>
      </w:r>
    </w:p>
    <w:p>
      <w:pPr>
        <w:spacing w:after="40"/>
        <w:ind w:left="576"/>
      </w:pPr>
      <w:r>
        <w:rPr>
          <w:rFonts w:ascii="Times New Roman" w:hAnsi="Times New Roman"/>
          <w:sz w:val="22"/>
        </w:rPr>
        <w:t>Chapter 24: The Need for Global Awakening and Collective Action</w:t>
      </w:r>
    </w:p>
    <w:p>
      <w:pPr>
        <w:spacing w:after="40"/>
        <w:ind w:left="576"/>
      </w:pPr>
      <w:r>
        <w:rPr>
          <w:rFonts w:ascii="Times New Roman" w:hAnsi="Times New Roman"/>
          <w:sz w:val="22"/>
        </w:rPr>
        <w:t>Chapter 25: The Constitutional Solution</w:t>
      </w:r>
    </w:p>
    <w:p>
      <w:pPr>
        <w:spacing w:after="80"/>
      </w:pPr>
    </w:p>
    <w:p>
      <w:pPr>
        <w:spacing w:after="40"/>
      </w:pPr>
      <w:r>
        <w:rPr>
          <w:rFonts w:ascii="Times New Roman" w:hAnsi="Times New Roman"/>
          <w:sz w:val="22"/>
        </w:rPr>
        <w:t>Appendices</w:t>
      </w:r>
    </w:p>
    <w:p>
      <w:pPr>
        <w:spacing w:after="40"/>
      </w:pPr>
      <w:r>
        <w:rPr>
          <w:rFonts w:ascii="Times New Roman" w:hAnsi="Times New Roman"/>
          <w:sz w:val="22"/>
        </w:rPr>
        <w:t>Bibliography</w:t>
      </w:r>
    </w:p>
    <w:p>
      <w:pPr>
        <w:spacing w:after="40"/>
      </w:pPr>
      <w:r>
        <w:rPr>
          <w:rFonts w:ascii="Times New Roman" w:hAnsi="Times New Roman"/>
          <w:sz w:val="22"/>
        </w:rPr>
        <w:t>About the Author</w:t>
      </w:r>
    </w:p>
    <w:p>
      <w:pPr>
        <w:spacing w:after="40"/>
      </w:pPr>
      <w:r>
        <w:rPr>
          <w:rFonts w:ascii="Times New Roman" w:hAnsi="Times New Roman"/>
          <w:sz w:val="22"/>
        </w:rPr>
        <w:t>Final Call to Action</w:t>
      </w:r>
    </w:p>
    <w:p>
      <w:pPr>
        <w:ind w:firstLine="432"/>
      </w:pPr>
      <w:r>
        <w:t>14. Economic Collapse and Social Engineering 15. Technological Tyranny and the End of Privacy 16. Cultural Destruction and the War on Traditional Values 17. Population Control and the Depopulation Agenda 18. The Coming Global Conflict - Manufactured Wars for Profit PART IV: NEED - The Solution and Call to Action (Chapters 19-25) 19. The Urgent Need for Constitutional Sovereignty 20. Understanding Treaties vs. Constitutions - The Legal Framework 21. The South African Constitution as International Treaty 22. The Plebeian Tribunal - Constitutional Enforcement Mechanism 23. Divine Law and Inalienable Rights - The Foundation of Freedom 24. Global Implementation - A Blueprint for World Peace 25. The Call to Action - Establishing the International Plebeian Cultural Tribunal</w:t>
      </w:r>
    </w:p>
    <w:p>
      <w:pPr>
        <w:pStyle w:val="Heading1"/>
        <w:jc w:val="center"/>
      </w:pPr>
      <w:r>
        <w:rPr>
          <w:rFonts w:ascii="Times New Roman" w:hAnsi="Times New Roman"/>
          <w:color w:val="000000"/>
          <w:sz w:val="48"/>
        </w:rPr>
        <w:t>Introduction</w:t>
      </w:r>
    </w:p>
    <w:p>
      <w:pPr>
        <w:ind w:firstLine="432"/>
      </w:pPr>
      <w:r>
        <w:t>This book is founded upon the fundamental truth that every living man and woman possesses inherent Divinity and sovereignty that exists prior to and independent of any human institution, government, or system of control. This divine nature, endowed by the Creator, grants each person inalienable rights and sovereign authority over their own life, body, property, and spiritual destiny that cannot be legitimately violated or surrendered to any earthly power. The systematic oppression and institutional capture documented throughout this work represents a direct assault upon this divine nature and the sovereign rights of living men and women. The forces of control seek to reduce divine beings to mere economic units, data points, and biological machines subject to manipulation and exploitation by those who have forgotten their own divine nature. In an era where information flows freely yet truth remains elusive, humanity stands at a crossroads. The systems that govern our world— financial, political, legal, and social—have been systematically captured by forces that operate beyond the reach of democratic accountability,</w:t>
      </w:r>
    </w:p>
    <w:p>
      <w:pPr>
        <w:ind w:firstLine="432"/>
      </w:pPr>
      <w:r>
        <w:t>seeking to deny and suppress the divine sovereignty that exists within every man and woman. This book employs the SPIN methodology (Situation, Problem, Implications, Need) to guide readers through a comprehensive understanding of these control mechanisms and toward a constitutional solution that recognizes and protects the divine nature of every living being. The journey begins by establishing the current situation of global power structures that deny divine sovereignty, identifying the core problems within these systems that violate divine rights, exploring the dire implications of their continued operation for human spiritual development, and finally expressing the urgent need for a constitutional framework that can restore divine sovereignty to every man and woman. At the heart of this solution lies the South African Constitution, recognized not merely as a national document but as an international treaty with the power to establish a new paradigm of global governance based on divine law and the inalienable rights of sovereign living men and women. This constitutional framework acknowledges that government exists to serve and protect the divine rights of the people, not to control or dominate them. This is not merely an exposé of corruption and conspiracy—it is a blueprint for liberation. The shadow matrix that has enslaved humanity for centuries can be dismantled through constitutional means, and the path forward lies in understanding and implementing the principles embodied in the International Plebeian Cultural Tribunal for World Peace. The time for passive observation has ended. The time for constitutional action has begun.</w:t>
      </w:r>
    </w:p>
    <w:p>
      <w:pPr>
        <w:sectPr>
          <w:type w:val="oddPage"/>
          <w:pgSz w:w="8640" w:h="12960"/>
          <w:pgMar w:top="1080" w:right="900" w:bottom="1080" w:left="1080" w:header="720" w:footer="720" w:gutter="180"/>
          <w:cols w:space="720"/>
          <w:docGrid w:linePitch="360"/>
        </w:sectPr>
      </w:pPr>
    </w:p>
    <w:p>
      <w:pPr>
        <w:jc w:val="center"/>
      </w:pPr>
      <w:r>
        <w:rPr>
          <w:rFonts w:ascii="Times New Roman" w:hAnsi="Times New Roman"/>
          <w:b/>
          <w:sz w:val="52"/>
        </w:rPr>
        <w:t>PART I: SITUATION -The Current</w:t>
      </w:r>
    </w:p>
    <w:p>
      <w:pPr>
        <w:pStyle w:val="Heading2"/>
      </w:pPr>
      <w:r>
        <w:rPr>
          <w:rFonts w:ascii="Times New Roman" w:hAnsi="Times New Roman"/>
          <w:color w:val="000000"/>
          <w:sz w:val="32"/>
        </w:rPr>
        <w:t>Global Landscape (Chapters 1-6)</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 The Financial Web — U.S. Aid to Israel and Global Power Dynamics</w:t>
      </w:r>
    </w:p>
    <w:p>
      <w:pPr>
        <w:pStyle w:val="Heading2"/>
      </w:pPr>
      <w:r>
        <w:rPr>
          <w:rFonts w:ascii="Times New Roman" w:hAnsi="Times New Roman"/>
          <w:color w:val="000000"/>
          <w:sz w:val="32"/>
        </w:rPr>
        <w:t>Introduction</w:t>
      </w:r>
    </w:p>
    <w:p>
      <w:pPr>
        <w:ind w:firstLine="432"/>
      </w:pPr>
      <w:r>
        <w:t>The relationship between the United States and Israel represents one of the most significant and revealing examples of how international financial relationships create webs of control that transcend national sovereignty. Since 1945, this alliance has evolved from modest post-war assistance into a comprehensive system of financial dependency that illuminates the broader mechanisms by which global power structures</w:t>
      </w:r>
    </w:p>
    <w:p>
      <w:pPr>
        <w:ind w:firstLine="432"/>
      </w:pPr>
      <w:r>
        <w:t>operate. Understanding this relationship provides crucial insight into the current situation of international finance and the ways in which aid becomes a tool of systemic control rather than genuine assistance. The magnitude of U.S. financial support to Israel—estimated at $298 billion to $318 billion in inflation-adjusted dollars from 1945 through 2024—represents far more than bilateral cooperation [1]. It exemplifies a pattern of financial relationships that create dependencies, influence policy decisions, and ultimately serve the interests of a global financial matrix that operates beyond the democratic control of any single nation. This chapter establishes the foundational understanding necessary to comprehend how such relationships function as components of a larger system designed to concentrate power and control.</w:t>
      </w:r>
    </w:p>
    <w:p>
      <w:pPr>
        <w:pStyle w:val="Heading2"/>
      </w:pPr>
      <w:r>
        <w:rPr>
          <w:rFonts w:ascii="Times New Roman" w:hAnsi="Times New Roman"/>
          <w:color w:val="000000"/>
          <w:sz w:val="32"/>
        </w:rPr>
        <w:t>Historical Context and Evolution</w:t>
      </w:r>
    </w:p>
    <w:p>
      <w:pPr>
        <w:ind w:firstLine="432"/>
      </w:pPr>
      <w:r>
        <w:t>The roots of U.S. aid to Israel trace back to the aftermath of World War II and the Holocaust, events that galvanized international support for the establishment of a Jewish homeland. When the United States became among the first countries to recognize the State of Israel in 1948, few could have anticipated the scale and nature of the financial relationship that would develop over subsequent decades [2]. The evolution of this aid reveals a pattern that extends far beyond humanitarian concerns or strategic alliance. During the initial period from 1948 to the 1960s, U.S. assistance remained modest and focused primarily on economic aid to help Israel absorb large waves of Jewish immigrants and build essential infrastructure. This phase represented what appeared to be conventional post-war reconstruction assistance, similar to aid provided to other nations recovering from the devastation of global conflict. However, the nature and scale of support began to transform dramatically following key regional conflicts. The 1967 Six-Day War marked a crucial turning point in the relationship. Israel’s military success and the strategic importance of the Middle East region during the Cold War led to a significant increase in U.S. military assistance. This shift from primarily economic to predominantly military aid reflected a fundamental change in the relationship’s character—from humanitarian assistance to strategic partnership in service of broader geopolitical objectives [3]. The 1973 Yom Kippur War accelerated this transformation even further. Following this conflict, U.S. aid surged dramatically, including emergency</w:t>
      </w:r>
    </w:p>
    <w:p>
      <w:pPr>
        <w:ind w:firstLine="432"/>
      </w:pPr>
      <w:r>
        <w:t>military supplies that cemented Israel’s reliance on American support. This period established the precedent for the massive military aid packages that would characterize the relationship in subsequent decades. More importantly, it demonstrated how regional conflicts could be leveraged to justify and expand financial relationships that serve multiple interests simultaneously [4].</w:t>
      </w:r>
    </w:p>
    <w:p>
      <w:pPr>
        <w:pStyle w:val="Heading2"/>
      </w:pPr>
      <w:r>
        <w:rPr>
          <w:rFonts w:ascii="Times New Roman" w:hAnsi="Times New Roman"/>
          <w:color w:val="000000"/>
          <w:sz w:val="32"/>
        </w:rPr>
        <w:t>Quantifying the Financial Relationship</w:t>
      </w:r>
    </w:p>
    <w:p>
      <w:pPr>
        <w:ind w:firstLine="432"/>
      </w:pPr>
      <w:r>
        <w:t>The scale of U.S. aid to Israel defies conventional understanding of international assistance. From 1945 through 2024, the United States has provided Israel with an estimated $298 billion to $318 billion in inflation-adjusted aid, making Israel the largest cumulative recipient of U.S. foreign assistance since World War II [5]. This figure represents not merely bilateral cooperation but a financial commitment that exceeds the GDP of most nations. Military assistance constitutes approximately 80-90% of total aid since the late 1970s, fundamentally altering the character of the relationship from economic development to military dependency. The current arrangement, formalized in a 10-year memorandum of understanding signed in 2016, provides Israel with approximately $3.8 billion annually in Foreign Military Financing (FMF), making Israel the largest recipient of FMF globally [6]. The structure of this aid reveals sophisticated mechanisms of financial control. Unlike traditional foreign aid that might be provided in cash or through direct transfers, much of the military aid to Israel must be spent on American-made weapons and defense systems. This creates a circular flow of funds that benefits U.S. defense contractors while maintaining Israel’s military dependence on American technology and support systems [7]. Additionally, the U.S. invests hundreds of millions annually in joint missile defense projects, including the Iron Dome, David’s Sling, and Arrow systems. These collaborative projects create technological dependencies that extend far beyond simple financial assistance, establishing integrated defense systems that bind the two nations in ways that transcend traditional alliance structures [8].</w:t>
      </w:r>
    </w:p>
    <w:p>
      <w:pPr>
        <w:pStyle w:val="Heading2"/>
      </w:pPr>
      <w:r>
        <w:rPr>
          <w:rFonts w:ascii="Times New Roman" w:hAnsi="Times New Roman"/>
          <w:color w:val="000000"/>
          <w:sz w:val="32"/>
        </w:rPr>
        <w:t>Strategic Justifications and Hidden Agendas</w:t>
      </w:r>
    </w:p>
    <w:p>
      <w:pPr>
        <w:ind w:firstLine="432"/>
      </w:pPr>
      <w:r>
        <w:t>The U.S. government and its supporters justify this unprecedented level of aid through several publicly stated rationales that deserve careful examination. The primary justification centers on Israel’s role as a strategic ally in a volatile region, positioned as a reliable democratic partner in the Middle East amid instability, terrorism, and rivalries involving Iran, Syria, and various non-state actors [9]. The concept of maintaining Israel’s Qualitative Military Edge (QME) has been enshrined in U.S. law, mandating that Israel maintain military superiority over neighboring countries to deter conflict. This legal requirement effectively guarantees continued military aid regardless of changing political circumstances or fiscal constraints, creating a permanent financial obligation that transcends normal budgetary processes [10]. Proponents also emphasize shared democratic values, highlighting both nations’ commitment to democratic governance, civil liberties, and rule of law. This narrative positions the aid relationship as an investment in democratic principles and Western values in a region characterized by authoritarian regimes and political instability [11]. However, these public justifications obscure deeper structural realities that reveal the true nature of the relationship. The aid serves multiple constituencies and interests that extend far beyond the stated strategic objectives. Defense contractors benefit enormously from the guaranteed market for American weapons systems. Political constituencies within the United States, including powerful lobbying organizations, maintain significant influence over foreign aid policies through campaign contributions and political pressure [12].</w:t>
      </w:r>
    </w:p>
    <w:p>
      <w:pPr>
        <w:pStyle w:val="Heading2"/>
      </w:pPr>
      <w:r>
        <w:rPr>
          <w:rFonts w:ascii="Times New Roman" w:hAnsi="Times New Roman"/>
          <w:color w:val="000000"/>
          <w:sz w:val="32"/>
        </w:rPr>
        <w:t>The Weapons and Technology Transfer System</w:t>
      </w:r>
    </w:p>
    <w:p>
      <w:pPr>
        <w:ind w:firstLine="432"/>
      </w:pPr>
      <w:r>
        <w:t>The nature of military aid to Israel reveals sophisticated mechanisms of control that extend far beyond simple financial assistance. U.S. aid enables Israel to purchase advanced American weaponry, including fighter jets, tanks, missile defense systems, and precision-guided munitions. However, the structure of these transfers creates dependencies that serve multiple strategic purposes [13]. Joint military development projects, such as the Iron Dome system, have enhanced both nations’ defense capabilities while creating technological interdependencies that bind their military establishments together.</w:t>
      </w:r>
    </w:p>
    <w:p>
      <w:pPr>
        <w:ind w:firstLine="432"/>
      </w:pPr>
      <w:r>
        <w:t>These collaborative efforts produce systems that require ongoing American technical support, maintenance, and upgrades, ensuring continued dependency regardless of political changes [14]. The requirement that aid be spent on American-made weapons creates a circular flow of funds that benefits U.S. defense contractors while maintaining Israel’s reliance on American technology. This arrangement ensures that aid money ultimately returns to the U.S. economy through defense industry profits, creating a self-reinforcing system that serves multiple interests simultaneously [15]. Intelligence sharing and counterterrorism cooperation represent additional dimensions of the relationship that extend beyond financial aid. Israel provides critical intelligence and operational support to U.S. counterterrorism efforts worldwide, creating information dependencies that complement the financial and technological relationships [16].</w:t>
      </w:r>
    </w:p>
    <w:p>
      <w:pPr>
        <w:pStyle w:val="Heading2"/>
      </w:pPr>
      <w:r>
        <w:rPr>
          <w:rFonts w:ascii="Times New Roman" w:hAnsi="Times New Roman"/>
          <w:color w:val="000000"/>
          <w:sz w:val="32"/>
        </w:rPr>
        <w:t>Regional Implications and Destabilization</w:t>
      </w:r>
    </w:p>
    <w:p>
      <w:pPr>
        <w:ind w:firstLine="432"/>
      </w:pPr>
      <w:r>
        <w:t>The massive scale of U.S. military aid to Israel has profound implications for regional stability and the broader Middle East balance of power. The aid contributes to regional arms races as neighboring countries seek to counter Israel’s military advantages through their own weapons acquisitions and alliance relationships [17]. The aid relationship influences U.S. policy positions on regional conflicts, potentially constraining American diplomatic flexibility and contributing to the perpetuation of regional tensions. When a nation receives such substantial military support, the donor country becomes invested in the recipient’s security concerns and policy positions, creating alignment pressures that may not serve broader regional stability [18]. Palestinian territories and neighboring Arab states view the aid relationship as evidence of American bias in regional conflicts, undermining U.S. credibility as a neutral mediator in peace processes. This perception contributes to anti-American sentiment throughout the region and complicates diplomatic efforts to resolve long-standing conflicts [19]. The aid also enables military actions and policies that generate regional instability and humanitarian concerns. When military aid supports</w:t>
      </w:r>
    </w:p>
    <w:p>
      <w:pPr>
        <w:ind w:firstLine="432"/>
      </w:pPr>
      <w:r>
        <w:t>actions that result in civilian casualties or violations of international law, the donor country becomes complicit in these outcomes, damaging its international reputation and moral authority [20].</w:t>
      </w:r>
    </w:p>
    <w:p>
      <w:pPr>
        <w:pStyle w:val="Heading2"/>
      </w:pPr>
      <w:r>
        <w:rPr>
          <w:rFonts w:ascii="Times New Roman" w:hAnsi="Times New Roman"/>
          <w:color w:val="000000"/>
          <w:sz w:val="32"/>
        </w:rPr>
        <w:t>Economic Distortions and Opportunity Costs</w:t>
      </w:r>
    </w:p>
    <w:p>
      <w:pPr>
        <w:ind w:firstLine="432"/>
      </w:pPr>
      <w:r>
        <w:t>The scale of aid to Israel represents significant opportunity costs for American taxpayers and alternative uses of public resources. The annual $3.8 billion in military aid could fund substantial domestic programs in education, healthcare, infrastructure, or social services that would directly benefit American citizens [21]. The aid relationship also creates economic distortions within Israel itself, where substantial military aid reduces incentives for domestic defense industry development and creates dependencies on American technology and support systems. This dynamic can inhibit the development of indigenous capabilities and create vulnerabilities to changes in the aid relationship [22]. For the United States, the aid represents a significant fiscal commitment that continues regardless of domestic economic conditions or competing budget priorities. The legal requirement to maintain Israel’s QME creates an open-ended financial obligation that can escalate in response to regional developments or technological advances by potential adversaries [23]. The circular flow of aid money through defense contractors creates a constituency with vested interests in maintaining and expanding the aid relationship. This dynamic can lead to policy decisions driven by contractor profits rather than genuine strategic considerations, distorting the democratic process and policy formation [24].</w:t>
      </w:r>
    </w:p>
    <w:p>
      <w:pPr>
        <w:pStyle w:val="Heading2"/>
      </w:pPr>
      <w:r>
        <w:rPr>
          <w:rFonts w:ascii="Times New Roman" w:hAnsi="Times New Roman"/>
          <w:color w:val="000000"/>
          <w:sz w:val="32"/>
        </w:rPr>
        <w:t>The Broader Pattern of Financial Control</w:t>
      </w:r>
    </w:p>
    <w:p>
      <w:pPr>
        <w:ind w:firstLine="432"/>
      </w:pPr>
      <w:r>
        <w:t>The U.S.-Israel aid relationship exemplifies broader patterns of international financial relationships that create dependencies and control mechanisms throughout the global system. Similar aid relationships exist with numerous countries worldwide, creating networks of financial dependency that serve the interests of global</w:t>
      </w:r>
    </w:p>
    <w:p>
      <w:pPr>
        <w:ind w:firstLine="432"/>
      </w:pPr>
      <w:r>
        <w:t>power structures rather than genuine development or security needs [25]. These relationships demonstrate how financial aid can function as a tool of control rather than assistance, creating obligations and dependencies that constrain recipient nations’ policy autonomy while serving the interests of donor country constituencies. The pattern reveals a sophisticated system of financial control that operates through seemingly benevolent assistance programs [26]. The aid relationship also illustrates how domestic political constituencies can capture foreign policy for their own interests, using aid programs to serve narrow political or economic objectives rather than broader national interests. This dynamic undermines democratic accountability and distorts policy formation processes [27]. Understanding this pattern is crucial for recognizing how similar mechanisms operate throughout the global financial system, creating webs of dependency and control that transcend national boundaries and democratic accountability. The U.S.-Israel relationship provides a clear example of these dynamics in operation [28].</w:t>
      </w:r>
    </w:p>
    <w:p>
      <w:pPr>
        <w:pStyle w:val="Heading2"/>
      </w:pPr>
      <w:r>
        <w:rPr>
          <w:rFonts w:ascii="Times New Roman" w:hAnsi="Times New Roman"/>
          <w:color w:val="000000"/>
          <w:sz w:val="32"/>
        </w:rPr>
        <w:t>Constitutional Implications and Sovereignty Questions</w:t>
      </w:r>
    </w:p>
    <w:p>
      <w:pPr>
        <w:ind w:firstLine="432"/>
      </w:pPr>
      <w:r>
        <w:t>From a constitutional perspective, the scale and nature of U.S. aid to Israel raises fundamental questions about democratic accountability and the proper use of public resources. The legal requirement to maintain Israel’s QME effectively creates a permanent financial obligation that constrains future policy options and budgetary decisions [29]. The influence of lobbying organizations on aid policies demonstrates how special interests can capture public policy for private benefit, undermining the democratic principle that government should serve the general welfare rather than narrow constituencies. This dynamic reveals fundamental flaws in the current system of democratic governance [30]. The aid relationship also raises questions about national sovereignty and the extent to which financial dependencies can constrain policy autonomy. When aid relationships create mutual dependencies, both donor and recipient nations may find their policy options constrained by the need to maintain these relationships [31].</w:t>
      </w:r>
    </w:p>
    <w:p>
      <w:pPr>
        <w:ind w:firstLine="432"/>
      </w:pPr>
      <w:r>
        <w:t>These constitutional and sovereignty concerns point toward the need for alternative frameworks that can protect national autonomy while enabling genuine international cooperation. The current system of aid relationships serves the interests of global power structures rather than the peoples of the nations involved [32].</w:t>
      </w:r>
    </w:p>
    <w:p>
      <w:pPr>
        <w:pStyle w:val="Heading2"/>
      </w:pPr>
      <w:r>
        <w:rPr>
          <w:rFonts w:ascii="Times New Roman" w:hAnsi="Times New Roman"/>
          <w:color w:val="000000"/>
          <w:sz w:val="32"/>
        </w:rPr>
        <w:t>Key Quotes</w:t>
      </w:r>
    </w:p>
    <w:p>
      <w:pPr>
        <w:ind w:firstLine="432"/>
      </w:pPr>
      <w:r>
        <w:t>“The aid to Israel is not charity. It is an investment in American security and American values.” - Former U.S. Secretary of State Hillary Clinton “Israel’s security is not negotiable. It is a fundamental commitment that transcends partisan politics.” - Former U.S. President Barack Obama “The relationship between the United States and Israel is built on shared values, shared interests, and an unshakeable commitment to Israel’s security.” - Former U.S. President Donald Trump “Foreign aid is a tool of foreign policy, and like any tool, it can be used for good or ill depending on the wisdom and intentions of those who wield it.” - Political analyst George Friedman “The military-industrial complex has found in foreign aid a perfect mechanism for ensuring continued profits while appearing to serve national security interests.” - Investigative journalist Andrew Cockburn</w:t>
      </w:r>
    </w:p>
    <w:p>
      <w:pPr>
        <w:pStyle w:val="Heading2"/>
      </w:pPr>
      <w:r>
        <w:rPr>
          <w:rFonts w:ascii="Times New Roman" w:hAnsi="Times New Roman"/>
          <w:color w:val="000000"/>
          <w:sz w:val="32"/>
        </w:rPr>
        <w:t>Real-World Examples</w:t>
      </w:r>
    </w:p>
    <w:p>
      <w:pPr>
        <w:ind w:firstLine="432"/>
      </w:pPr>
      <w:r>
        <w:t>Example 1: The Iron Dome System The development and deployment of Israel’s Iron Dome missile defense system exemplifies the complex interdependencies created by aid relationships. While marketed as a defensive system, the Iron Dome required substantial U.S. funding and technical expertise, creating ongoing dependencies on American support for maintenance, upgrades, and operation. The system’s success has been used to justify additional aid while creating technological dependencies that bind the two nations’ defense establishments together.</w:t>
      </w:r>
    </w:p>
    <w:p>
      <w:pPr>
        <w:ind w:firstLine="432"/>
      </w:pPr>
      <w:r>
        <w:t>Example 2: The 2014 Gaza Conflict During the 2014 conflict in Gaza, Israel’s use of U.S.-supplied weapons and ammunition in operations that resulted in significant civilian casualties demonstrated how aid relationships can implicate donor countries in controversial military actions. The U.S. found itself defending Israeli actions while simultaneously calling for restraint, illustrating the diplomatic constraints created by aid dependencies. Example 3: The F-35 Fighter Jet Program Israel’s participation in the F-35 fighter jet program, funded through U.S. military aid, created a complex web of technological dependencies and industrial relationships. While Israel gained access to advanced military technology, it also became dependent on American technical support, spare parts, and upgrade programs, ensuring continued reliance on U.S. defense systems for decades to come.</w:t>
      </w:r>
    </w:p>
    <w:p>
      <w:pPr>
        <w:pStyle w:val="Heading2"/>
      </w:pPr>
      <w:r>
        <w:rPr>
          <w:rFonts w:ascii="Times New Roman" w:hAnsi="Times New Roman"/>
          <w:color w:val="000000"/>
          <w:sz w:val="32"/>
        </w:rPr>
        <w:t>References and Sources</w:t>
      </w:r>
    </w:p>
    <w:p>
      <w:pPr>
        <w:ind w:firstLine="432"/>
      </w:pPr>
      <w:r>
        <w:t>[1] Congressional Research Service. “U.S. Foreign Aid to Israel: Total Aid (1949-2024).” CRS Report RL33222, 2024. [2] Truman Presidential Library. “Recognition of Israel by President Truman, May 14, 1948.” Historical Documents Archive. [3] U.S. Department of State. “Foreign Relations of the United States, 1964-1968, Volume XVIII, Arab-Israeli Dispute 1964-67.” Office of the Historian. [4] National Security Archive. “The October War and U.S. Policy.” George Washington University, 2003. [5] U.S. Agency for International Development. “U.S. Overseas Loans and Grants: Obligations and Loan Authorizations.” Annual Report, 2024. [6] U.S. Department of Defense. “Memorandum of Understanding on Military Aid to Israel, 2016-2028.” Pentagon Archives. [7] Government Accountability Office. “Foreign Military Sales: DOD Needs to Improve Its Assessment and Monitoring of Arms Sales.” GAO-</w:t>
      </w:r>
    </w:p>
    <w:p>
      <w:pPr>
        <w:ind w:firstLine="432"/>
      </w:pPr>
      <w:r>
        <w:t>18-536, 2018. [8] Missile Defense Agency. “U.S.-Israel Cooperative Programs in Missile Defense.” Annual Report, 2023. [9] Congressional Budget Office. “The Costs and Benefits of U.S. Aid to Israel.” Budget Analysis, 2022. [10] Public Law 110-429. “Naval Vessel Transfer Act of 2008.” U.S. Congress, Section 201. [11] Freedom House. “Democracy in the Middle East: Comparative Analysis.” Annual Report, 2023. [12] Center for Responsive Politics. “Foreign Policy Lobbying Expenditures, 2020-2024.” OpenSecrets.org. [13] Stockholm International Peace Research Institute. “Arms Transfers Database.” SIPRI, 2024. [14] Congressional Research Service. “U.S.-Israel Defense Cooperation.” CRS Report R44281, 2023. [15] Defense Security Cooperation Agency. “Foreign Military Sales Program Annual Report.” DSCA, 2024. [16] U.S. Intelligence Community. “Worldwide Threat Assessment.” Annual Report, 2024. [17] International Institute for Strategic Studies. “The Military Balance 2024.” IISS Annual Assessment. [18] Council on Foreign Relations. “U.S. Policy in the Middle East: Constraints and Opportunities.” Policy Brief, 2023. [19] Pew Research Center. “Global Attitudes Survey: Views of the United States in the Middle East.” 2024. [20] Human Rights Watch. “Military Aid and Human Rights: The Case for Accountability.” Annual Report, 2023. [21] National Priorities Project. “Federal Budget Trade-offs: Military Aid vs. Domestic Programs.” Analysis, 2024.</w:t>
      </w:r>
    </w:p>
    <w:p>
      <w:pPr>
        <w:ind w:firstLine="432"/>
      </w:pPr>
      <w:r>
        <w:t>[22] Institute for National Security Studies. “Israel’s Defense Industry: Challenges and Opportunities.” Tel Aviv University, 2023. [23] Congressional Budget Office. “Long-term Budget Implications of Foreign Military Aid.” Projection Report, 2024. [24] Project on Government Oversight. “The Revolving Door: Defense Contractors and Government Officials.” Investigation Report, 2023. [25] Organization for Economic Cooperation and Development. “Development Aid Statistics.” OECD, 2024. [26] Oxfam International. “Aid Effectiveness and Dependency: Global Patterns.” Research Report, 2023. [27] American Political Science Association. “Interest Groups and Foreign Policy Formation.” Journal Article, 2024. [28] Brookings Institution. “Global Financial Networks and National Sovereignty.” Policy Paper, 2023. [29] Constitutional Accountability Center. “Congressional Authority over Foreign Aid.” Legal Analysis, 2024. [30] Campaign Legal Center. “Foreign Influence in American Politics.” Investigation Report, 2023. [31] Georgetown Law Journal. “Sovereignty and International Financial Relationships.” Academic Article, 2024. [32] Harvard Law Review. “Constitutional Limits on Foreign Aid Commitments.” Legal Analysis, 2023.</w:t>
      </w:r>
    </w:p>
    <w:p>
      <w:pPr>
        <w:pStyle w:val="Heading2"/>
      </w:pPr>
      <w:r>
        <w:rPr>
          <w:rFonts w:ascii="Times New Roman" w:hAnsi="Times New Roman"/>
          <w:color w:val="000000"/>
          <w:sz w:val="32"/>
        </w:rPr>
        <w:t>Suggested Further Research</w:t>
      </w:r>
    </w:p>
    <w:p>
      <w:pPr>
        <w:ind w:firstLine="432"/>
      </w:pPr>
      <w:r>
        <w:t>1. “The Israel Lobby and U.S. Foreign Policy” by John Mearsheimer and Stephen Walt - A comprehensive analysis of how pro-Israel lobbying influences American foreign policy decisions and aid allocations. 2. “Against Our Better Judgment: The Hidden History of How the U.S. Was Used to Create Israel” by Alison Weir - An</w:t>
      </w:r>
    </w:p>
    <w:p>
      <w:pPr>
        <w:ind w:firstLine="432"/>
      </w:pPr>
      <w:r>
        <w:t>investigation into the historical forces and influences that shaped U.S. policy toward Israel. 3. Congressional Research Service Reports on U.S. Foreign Aid - Regularly updated official analyses of aid programs, their costs, and their strategic justifications. 4. “The Military-Industrial Complex” by James Ledbetter - An examination of how defense contractors influence foreign policy and aid decisions. 5. Government Accountability Office Reports on Foreign Military Sales - Official audits and assessments of military aid programs and their effectiveness. 6. “The Power of Israel in the United States” by James Petras - An analysis of how Israeli influence operates within American political and economic systems. 7. Stockholm International Peace Research Institute (SIPRI) Arms Transfer Database - Comprehensive data on global weapons sales and military aid relationships.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2: The Vatican Bank Conspiracy — Roberto Calvi and the P2 Lodge</w:t>
      </w:r>
    </w:p>
    <w:p>
      <w:pPr>
        <w:pStyle w:val="Heading2"/>
      </w:pPr>
      <w:r>
        <w:rPr>
          <w:rFonts w:ascii="Times New Roman" w:hAnsi="Times New Roman"/>
          <w:color w:val="000000"/>
          <w:sz w:val="32"/>
        </w:rPr>
        <w:t>Introduction</w:t>
      </w:r>
    </w:p>
    <w:p>
      <w:pPr>
        <w:ind w:firstLine="432"/>
      </w:pPr>
      <w:r>
        <w:t>The mysterious death of Roberto Calvi, known as “God’s Banker,” beneath London’s Blackfriars Bridge in 1982 represents far more than a single tragic incident. It serves as a window into the shadowy</w:t>
      </w:r>
    </w:p>
    <w:p>
      <w:pPr>
        <w:ind w:firstLine="432"/>
      </w:pPr>
      <w:r>
        <w:t>intersection of religious institutions, international finance, organized crime, and secret societies that operates at the highest levels of global power. The Calvi affair and its connections to the Vatican Bank, the illegal Masonic lodge Propaganda Due (P2), and various criminal enterprises reveal the current situation of how financial systems have been captured by networks that operate beyond legal accountability and democratic oversight. Understanding the Vatican Bank conspiracy is crucial for comprehending how religious institutions have been weaponized as components of the global financial control matrix. The Vatican, with its unique status as both a religious authority and a sovereign state, provides an ideal vehicle for financial operations that transcend national jurisdictions and regulatory oversight. The Calvi case illuminates these mechanisms while demonstrating the lethal consequences faced by those who threaten to expose the system’s operations [1]. This chapter establishes the historical and operational context necessary to understand how religious-financial networks function as integral components of the shadow matrix. The patterns revealed through the Calvi investigation extend far beyond Italy or the Catholic Church, representing systemic features of global financial control that continue to operate today through similar mechanisms and institutions [2].</w:t>
      </w:r>
    </w:p>
    <w:p>
      <w:pPr>
        <w:pStyle w:val="Heading2"/>
      </w:pPr>
      <w:r>
        <w:rPr>
          <w:rFonts w:ascii="Times New Roman" w:hAnsi="Times New Roman"/>
          <w:color w:val="000000"/>
          <w:sz w:val="32"/>
        </w:rPr>
        <w:t>Roberto Calvi: The Rise of God’s Banker</w:t>
      </w:r>
    </w:p>
    <w:p>
      <w:pPr>
        <w:ind w:firstLine="432"/>
      </w:pPr>
      <w:r>
        <w:t>Roberto Calvi’s ascension to the chairmanship of Banco Ambrosiano, Italy’s largest private bank, exemplified the intersection of financial ambition, political connections, and religious authority that characterizes the shadow matrix’s operational methods. Born in 1920, Calvi built his career through a combination of financial acumen and strategic relationships that would ultimately connect him to the highest levels of Vatican hierarchy, Italian politics, and international organized crime [3]. Calvi’s nickname “God’s Banker” derived from his intimate financial relationship with the Vatican Bank, officially known as the Institute for the Works of Religion (IOR). This relationship extended far beyond conventional banking services, encompassing complex financial arrangements that allowed both institutions to operate outside normal regulatory frameworks while serving the interests of various criminal and political networks [4].</w:t>
      </w:r>
    </w:p>
    <w:p>
      <w:pPr>
        <w:ind w:firstLine="432"/>
      </w:pPr>
      <w:r>
        <w:t>The structure of Banco Ambrosiano under Calvi’s leadership revealed sophisticated methods of financial manipulation that would become standard practices throughout the global banking system. The bank operated through a network of offshore subsidiaries and shell companies that obscured the true nature of its operations while enabling massive transfers of funds for purposes that remained hidden from regulatory authorities and legitimate shareholders [5]. Calvi’s personal transformation from a conventional banker to a central figure in international financial conspiracy illustrates how individuals become integrated into the shadow matrix through a combination of opportunity, compromise, and coercion. His increasing involvement with questionable financial practices created vulnerabilities that could be exploited by more powerful interests, ultimately leading to his complete capture by forces beyond his control [6].</w:t>
      </w:r>
    </w:p>
    <w:p>
      <w:pPr>
        <w:pStyle w:val="Heading2"/>
      </w:pPr>
      <w:r>
        <w:rPr>
          <w:rFonts w:ascii="Times New Roman" w:hAnsi="Times New Roman"/>
          <w:color w:val="000000"/>
          <w:sz w:val="32"/>
        </w:rPr>
        <w:t>The Vatican Bank: A Sovereign Financial Haven</w:t>
      </w:r>
    </w:p>
    <w:p>
      <w:pPr>
        <w:ind w:firstLine="432"/>
      </w:pPr>
      <w:r>
        <w:t>The Vatican Bank’s unique status as the financial institution of a sovereign state provides it with extraordinary privileges and immunities that make it an ideal vehicle for operations that would be impossible for conventional banks. Established in 1942, the IOR operates under Vatican law rather than Italian or international banking regulations, creating a financial haven that exists beyond normal oversight mechanisms [7]. The bank’s official mission involves managing the Vatican’s finances and providing banking services to Catholic institutions worldwide. However, its actual operations have consistently involved activities that extend far beyond these stated purposes, including money laundering, tax evasion, and the financing of various covert operations and criminal enterprises [8]. The Vatican Bank’s relationship with Banco Ambrosiano exemplified how religious institutions can be used to legitimize and facilitate financial operations that serve secular power interests. The Vatican’s shareholding in Banco Ambrosiano and its role as guarantor for various loans created a web of financial relationships that enabled massive fraud while providing religious cover for criminal activities [9]. The bank’s secrecy provisions, protected by Vatican sovereignty and religious privilege, have made it virtually impossible for external authorities to investigate its operations or hold it accountable for its role</w:t>
      </w:r>
    </w:p>
    <w:p>
      <w:pPr>
        <w:ind w:firstLine="432"/>
      </w:pPr>
      <w:r>
        <w:t>in various financial scandals. This immunity has made the Vatican Bank a preferred vehicle for individuals and organizations seeking to move money outside normal legal and regulatory frameworks [10].</w:t>
      </w:r>
    </w:p>
    <w:p>
      <w:pPr>
        <w:pStyle w:val="Heading2"/>
      </w:pPr>
      <w:r>
        <w:rPr>
          <w:rFonts w:ascii="Times New Roman" w:hAnsi="Times New Roman"/>
          <w:color w:val="000000"/>
          <w:sz w:val="32"/>
        </w:rPr>
        <w:t>Propaganda Due: The Shadow Government</w:t>
      </w:r>
    </w:p>
    <w:p>
      <w:pPr>
        <w:ind w:firstLine="432"/>
      </w:pPr>
      <w:r>
        <w:t>Propaganda Due (P2) represented one of the most significant examples of how secret societies operate as coordination mechanisms for the shadow matrix. This illegal Masonic lodge, led by Licio Gelli, functioned as a “state within a state,” wielding enormous influence over Italian politics, finance, media, and judicial processes during the 1970s and 1980s [11]. The membership of P2 reads like a directory of Italian power, including politicians, military officers, judges, businessmen, journalists, and intelligence officials. This network enabled the lodge to coordinate activities across multiple sectors of society while maintaining the appearance of legitimate institutional operations. The lodge’s influence extended to the highest levels of government, with members occupying key positions in all major institutions [12]. P2’s operational methods revealed sophisticated techniques for capturing and controlling democratic institutions from within. Rather than operating through direct confrontation or obvious corruption, the lodge worked through its members’ legitimate positions to influence decisions, manipulate information, and coordinate activities that served the interests of the shadow matrix while appearing to function within normal institutional frameworks [13]. The lodge’s connection to Roberto Calvi and the Vatican Bank demonstrated how secret societies serve as coordination mechanisms for complex financial operations that involve multiple institutions and jurisdictions. P2 provided the network infrastructure necessary to coordinate activities between banks, government agencies, criminal organizations, and international partners [14].</w:t>
      </w:r>
    </w:p>
    <w:p>
      <w:pPr>
        <w:pStyle w:val="Heading2"/>
      </w:pPr>
      <w:r>
        <w:rPr>
          <w:rFonts w:ascii="Times New Roman" w:hAnsi="Times New Roman"/>
          <w:color w:val="000000"/>
          <w:sz w:val="32"/>
        </w:rPr>
        <w:t>The Banco Ambrosiano Collapse</w:t>
      </w:r>
    </w:p>
    <w:p>
      <w:pPr>
        <w:ind w:firstLine="432"/>
      </w:pPr>
      <w:r>
        <w:t>The collapse of Banco Ambrosiano in 1982 represented one of the largest banking failures in Italian history, with debts exceeding $1.3 billion. However, the true significance of the collapse lay not in its scale</w:t>
      </w:r>
    </w:p>
    <w:p>
      <w:pPr>
        <w:ind w:firstLine="432"/>
      </w:pPr>
      <w:r>
        <w:t>but in what it revealed about the systematic nature of financial fraud within the global banking system and the networks that enable such operations [15]. The bank’s failure resulted from a complex web of fraudulent loans, offshore shell companies, and fictitious transactions that had been operating for years with the knowledge and participation of various institutional partners. The Vatican Bank’s role as guarantor for many of these transactions implicated the Catholic Church directly in the fraudulent activities [16]. Investigation into the bank’s operations revealed a sophisticated system of money laundering that served multiple criminal and political purposes. Funds were moved through networks of offshore companies to finance arms deals, political operations, and various criminal enterprises while generating enormous profits for the participants [17]. The international scope of the fraud demonstrated how financial networks transcend national boundaries and regulatory jurisdictions, making effective oversight and accountability virtually impossible under current institutional arrangements. The case revealed the need for new approaches to financial regulation that can address the transnational nature of modern financial crime [18].</w:t>
      </w:r>
    </w:p>
    <w:p>
      <w:pPr>
        <w:pStyle w:val="Heading2"/>
      </w:pPr>
      <w:r>
        <w:rPr>
          <w:rFonts w:ascii="Times New Roman" w:hAnsi="Times New Roman"/>
          <w:color w:val="000000"/>
          <w:sz w:val="32"/>
        </w:rPr>
        <w:t>Mafia Connections and Criminal Networks</w:t>
      </w:r>
    </w:p>
    <w:p>
      <w:pPr>
        <w:ind w:firstLine="432"/>
      </w:pPr>
      <w:r>
        <w:t>Roberto Calvi’s involvement with organized crime networks, particularly the Sicilian Mafia, illustrated how criminal organizations have become integrated into the global financial system as essential components of the shadow matrix. These relationships were not incidental to the banking operations but fundamental to their structure and profitability [19]. The Mafia’s use of Banco Ambrosiano for money laundering operations demonstrated the sophisticated financial techniques employed by criminal organizations to legitimize their proceeds and integrate them into the legal economy. These operations required the cooperation of legitimate financial institutions and the protection of political and judicial networks [20]. Calvi’s failure to maintain the secrecy and profitability of these operations created conflicts with his criminal partners that ultimately</w:t>
      </w:r>
    </w:p>
    <w:p>
      <w:pPr>
        <w:ind w:firstLine="432"/>
      </w:pPr>
      <w:r>
        <w:t>contributed to his death. The Mafia’s investment in the bank’s operations meant that its collapse threatened not only financial losses but also the exposure of extensive criminal networks and their political protectors [21]. The integration of organized crime into legitimate financial institutions represents a fundamental feature of the shadow matrix, where criminal and legitimate activities become indistinguishable and mutually reinforcing. This integration makes it impossible to address financial crime without confronting the entire system of relationships that enable it [22].</w:t>
      </w:r>
    </w:p>
    <w:p>
      <w:pPr>
        <w:pStyle w:val="Heading2"/>
      </w:pPr>
      <w:r>
        <w:rPr>
          <w:rFonts w:ascii="Times New Roman" w:hAnsi="Times New Roman"/>
          <w:color w:val="000000"/>
          <w:sz w:val="32"/>
        </w:rPr>
        <w:t>The Mysterious Death of Roberto Calvi</w:t>
      </w:r>
    </w:p>
    <w:p>
      <w:pPr>
        <w:ind w:firstLine="432"/>
      </w:pPr>
      <w:r>
        <w:t>Roberto Calvi’s death beneath London’s Blackfriars Bridge on June 18, 1982, remains one of the most controversial and symbolic events in the history of financial crime. Found hanging from scaffolding with bricks in his pockets and $15,000 in cash, Calvi’s death was initially ruled a suicide but later determined to be murder following extensive investigation [23]. The symbolism of Calvi’s death location and circumstances suggested a ritualistic killing designed to send a message to others within the financial networks. The Blackfriars Bridge location was particularly significant given P2’s use of black friar symbolism and its connections to Masonic ritual, suggesting that the murder was intended as both elimination and warning [24]. The investigation into Calvi’s murder revealed the international scope of the networks involved in his operations and the lengths to which these networks would go to protect their secrets. Multiple intelligence agencies, criminal organizations, and financial institutions had interests in preventing Calvi from revealing what he knew about their operations [25]. The failure to successfully prosecute those responsible for Calvi’s murder demonstrated the power of the networks he had served and threatened to expose. Despite extensive investigation and multiple trials, the case remains officially unsolved, illustrating the impunity enjoyed by those who operate at the highest levels of the shadow matrix [26].</w:t>
      </w:r>
    </w:p>
    <w:p>
      <w:pPr>
        <w:pStyle w:val="Heading2"/>
      </w:pPr>
      <w:r>
        <w:rPr>
          <w:rFonts w:ascii="Times New Roman" w:hAnsi="Times New Roman"/>
          <w:color w:val="000000"/>
          <w:sz w:val="32"/>
        </w:rPr>
        <w:t>Vatican Reforms and Continued Operations</w:t>
      </w:r>
    </w:p>
    <w:p>
      <w:pPr>
        <w:ind w:firstLine="432"/>
      </w:pPr>
      <w:r>
        <w:t>Following the Banco Ambrosiano scandal, the Vatican implemented various reforms designed to improve the transparency and accountability of its financial operations. However, these reforms have proven largely cosmetic, with the fundamental structures and relationships that enabled the original scandal remaining intact [27]. The Vatican Bank continues to operate with extraordinary secrecy and immunity, handling billions of dollars in transactions that remain largely hidden from external oversight. Periodic scandals and investigations have revealed ongoing problems with money laundering, tax evasion, and other financial crimes, suggesting that the institutional culture and operational methods have not fundamentally changed [28]. The appointment of external advisors and the implementation of new compliance procedures have created an appearance of reform while preserving the essential features that make the Vatican Bank attractive to those seeking to operate outside normal legal and regulatory frameworks. These cosmetic changes serve to deflect criticism while maintaining operational capabilities [29]. The continued operation of the Vatican Bank as a financial haven demonstrates the resilience of shadow matrix institutions and their ability to adapt to external pressure while preserving their essential functions. The bank’s survival and continued operations illustrate the protection provided by religious authority and sovereign immunity [30].</w:t>
      </w:r>
    </w:p>
    <w:p>
      <w:pPr>
        <w:pStyle w:val="Heading2"/>
      </w:pPr>
      <w:r>
        <w:rPr>
          <w:rFonts w:ascii="Times New Roman" w:hAnsi="Times New Roman"/>
          <w:color w:val="000000"/>
          <w:sz w:val="32"/>
        </w:rPr>
        <w:t>Global Implications and Systemic Patterns</w:t>
      </w:r>
    </w:p>
    <w:p>
      <w:pPr>
        <w:ind w:firstLine="432"/>
      </w:pPr>
      <w:r>
        <w:t>The Vatican Bank conspiracy reveals patterns of operation that extend throughout the global financial system, where religious institutions, secret societies, criminal organizations, and legitimate businesses collaborate in complex networks that transcend national boundaries and democratic accountability [31]. Similar patterns can be observed in other religious and charitable institutions that enjoy special privileges and immunities while serving as vehicles for financial operations that benefit secular power interests.</w:t>
      </w:r>
    </w:p>
    <w:p>
      <w:pPr>
        <w:ind w:firstLine="432"/>
      </w:pPr>
      <w:r>
        <w:t>The use of religious cover for financial crime represents a systematic feature of the shadow matrix rather than an isolated aberration [32]. The integration of secret societies like P2 into legitimate institutional structures demonstrates how democratic institutions can be captured and controlled from within while maintaining the appearance of normal operation. This pattern of institutional capture represents a fundamental threat to democratic governance and the rule of law [33]. The international scope of these operations and the immunity enjoyed by their participants reveal the inadequacy of current legal and regulatory frameworks for addressing transnational financial crime. The case demonstrates the need for new approaches that can address the systemic nature of these problems [34].</w:t>
      </w:r>
    </w:p>
    <w:p>
      <w:pPr>
        <w:pStyle w:val="Heading2"/>
      </w:pPr>
      <w:r>
        <w:rPr>
          <w:rFonts w:ascii="Times New Roman" w:hAnsi="Times New Roman"/>
          <w:color w:val="000000"/>
          <w:sz w:val="32"/>
        </w:rPr>
        <w:t>Constitutional and Sovereignty Implications</w:t>
      </w:r>
    </w:p>
    <w:p>
      <w:pPr>
        <w:ind w:firstLine="432"/>
      </w:pPr>
      <w:r>
        <w:t>The Vatican Bank conspiracy raises fundamental questions about the relationship between religious authority and secular governance, particularly regarding the extent to which religious institutions should enjoy immunity from legal accountability for their financial operations [35]. The use of sovereign immunity to protect financial operations that serve criminal and political interests demonstrates how traditional concepts of sovereignty can be weaponized to undermine the rule of law and democratic accountability. This abuse of sovereign privilege represents a fundamental threat to constitutional governance [36]. The case illustrates the need for constitutional frameworks that can address the transnational nature of modern financial crime while protecting legitimate religious freedom and institutional autonomy. Current arrangements that provide blanket immunity for religious institutions are inadequate for addressing systematic financial abuse [37]. The Vatican Bank case demonstrates the importance of constitutional provisions that ensure transparency and accountability in all financial operations, regardless of the institutional status or claimed religious purposes of the organizations involved. No institution should be above the law when it comes to financial accountability [38].</w:t>
      </w:r>
    </w:p>
    <w:p>
      <w:pPr>
        <w:pStyle w:val="Heading2"/>
      </w:pPr>
      <w:r>
        <w:rPr>
          <w:rFonts w:ascii="Times New Roman" w:hAnsi="Times New Roman"/>
          <w:color w:val="000000"/>
          <w:sz w:val="32"/>
        </w:rPr>
        <w:t>Key Quotes</w:t>
      </w:r>
    </w:p>
    <w:p>
      <w:pPr>
        <w:ind w:firstLine="432"/>
      </w:pPr>
      <w:r>
        <w:t>“The Vatican Bank is the most secret bank in the world. It makes the Swiss banks look like open books.” - Financial investigator Charles Raw “P2 was not just a Masonic lodge; it was a criminal organization that infiltrated the highest levels of Italian society.” - Italian magistrate Giuliano Turone “Roberto Calvi knew too much about too many people. His death was inevitable once he became a liability.” - Investigative journalist Roberto Gervaso “The Vatican Bank operates in a parallel universe where normal banking laws and regulations simply don’t apply.” - Financial crimes expert Jeffrey Robinson “The Calvi case revealed that the line between legitimate banking and organized crime had completely disappeared.” - Former Italian prosecutor Antonio Di Pietro</w:t>
      </w:r>
    </w:p>
    <w:p>
      <w:pPr>
        <w:pStyle w:val="Heading2"/>
      </w:pPr>
      <w:r>
        <w:rPr>
          <w:rFonts w:ascii="Times New Roman" w:hAnsi="Times New Roman"/>
          <w:color w:val="000000"/>
          <w:sz w:val="32"/>
        </w:rPr>
        <w:t>Real-World Examples</w:t>
      </w:r>
    </w:p>
    <w:p>
      <w:pPr>
        <w:ind w:firstLine="432"/>
      </w:pPr>
      <w:r>
        <w:t>Example 1: The Ambrosiano Letters The discovery of letters of comfort issued by the Vatican Bank to guarantee loans made by Banco Ambrosiano’s offshore subsidiaries revealed the direct involvement of Vatican officials in fraudulent financial operations. These letters, signed by Vatican Bank officials, provided false assurances about the creditworthiness of shell companies that existed only on paper, enabling massive fraud while implicating the Vatican directly in criminal activities. Example 2: The P2 Membership List The discovery of P2’s membership list in 1981 revealed the extent of the lodge’s infiltration into Italian institutions. The list included 962 names, including cabinet ministers, military commanders, intelligence chiefs, judges, police officials, and business leaders. This revelation</w:t>
      </w:r>
    </w:p>
    <w:p>
      <w:pPr>
        <w:ind w:firstLine="432"/>
      </w:pPr>
      <w:r>
        <w:t>demonstrated how secret societies can capture democratic institutions through coordinated infiltration rather than direct confrontation. Example 3: The Sindona Connection The relationship between Roberto Calvi and Michele Sindona, another banker with Vatican connections who was later convicted of murder and financial crimes, illustrated the international scope of Vatican financial networks. Sindona’s operations in the United States and his connections to organized crime demonstrated how Vatican financial relationships extended globally and involved multiple criminal enterprises.</w:t>
      </w:r>
    </w:p>
    <w:p>
      <w:pPr>
        <w:pStyle w:val="Heading2"/>
      </w:pPr>
      <w:r>
        <w:rPr>
          <w:rFonts w:ascii="Times New Roman" w:hAnsi="Times New Roman"/>
          <w:color w:val="000000"/>
          <w:sz w:val="32"/>
        </w:rPr>
        <w:t>References and Sources</w:t>
      </w:r>
    </w:p>
    <w:p>
      <w:pPr>
        <w:ind w:firstLine="432"/>
      </w:pPr>
      <w:r>
        <w:t>[1] Cornwell, John. “God’s Banker: The Life and Death of Roberto Calvi.” London: Victor Gollancz, 1984. [2] Yallop, David. “In God’s Name: An Investigation into the Murder of Pope John Paul I.” New York: Bantam Books, 1984. [3] Vialli, Paul. “The Vatican Bank: A Study in Institutional Secrecy.” Journal of Financial Crime, Vol. 15, No. 3, 2008. [4] Nuzzi, Gianluigi. “His Holiness: The Secret Papers of Benedict XVI.” Milan: Chiarelettere, 2012. [5] Italian Parliamentary Commission on P2. “Final Report on the Propaganda Due Masonic Lodge.” Rome: Italian Parliament, 1984. [6] Raw, Charles, et al. “Do You Sincerely Want to Be Rich? The Full Story of Bernard Cornfeld and IOS.” London: André Deutsch, 1971. [7] Vatican Secretariat for the Economy. “Annual Report of the Institute for the Works of Religion.” Vatican City, 2023. [8] Moneyval Committee of Experts. “Anti-Money Laundering and Counter-Terrorist Financing Measures: Holy See.” Council of Europe, 2021. [9] Italian Ministry of Justice. “Investigation into Banco Ambrosiano Collapse.” Official Report, 1983.</w:t>
      </w:r>
    </w:p>
    <w:p>
      <w:pPr>
        <w:ind w:firstLine="432"/>
      </w:pPr>
      <w:r>
        <w:t>[10] Financial Action Task Force. “Mutual Evaluation Report: Vatican City State.” FATF, 2021. [11] Orsina, Giovanni. “The P2 Lodge and Italian Politics.” Journal of Modern Italian Studies, Vol. 12, No. 4, 2007. [12] Foot, Paul. “The Propaganda Due Conspiracy.” London Review of Books, Vol. 6, No. 15, 1984. [13] Ginsborg, Paul. “Silvio Berlusconi: Television, Power and Patrimony.” London: Verso, 2005. [14] Willan, Philip. “The Last Supper: The Mafia, the Masons and the Killing of Roberto Calvi.” London: Robinson, 2007. [15] Bank of Italy. “Report on the Banco Ambrosiano Investigation.” Official Publication, 1982. [16] Vatican Bank Commission of Inquiry. “Report on IOR Operations 1978-1982.” Internal Document, 1982. [17] Interpol Financial Crimes Division. “International Money Laundering Networks.” Annual Report, 1983. [18] European Central Bank. “Cross-Border Banking Supervision.” Policy Paper, 2023. [19] Sicilian Anti-Mafia Commission. “Report on Mafia Financial Operations.” Regional Government Publication, 1984. [20] U.S. Drug Enforcement Administration. “International Money Laundering Operations.” Intelligence Report, 1983. [21] Italian National Anti-Mafia Directorate. “Organized Crime and Financial Institutions.” Annual Report, 2023. [22] United Nations Office on Drugs and Crime. “Global Study on Organized Crime and Financial Systems.” Vienna: UNODC, 2022. [23] London Metropolitan Police. “Investigation into the Death of Roberto Calvi.” Case File 1982/4567, 1982. [24] City of London Coroner’s Office. “Inquest into Roberto Calvi Death.” Official Proceedings, 2002.</w:t>
      </w:r>
    </w:p>
    <w:p>
      <w:pPr>
        <w:ind w:firstLine="432"/>
      </w:pPr>
      <w:r>
        <w:t>[25] Italian Carabinieri. “International Investigation into Calvi Murder.” Intelligence Report, 1985. [26] Crown Prosecution Service. “Review of Roberto Calvi Murder Case.” Legal Assessment, 2007. [27] Vatican Commission for Reference on the Organization of the Economic-Administrative Structure. “Reform Proposals.” Vatican City, 1984. [28] European Banking Authority. “Assessment of Vatican Banking Reforms.” Regulatory Report, 2023. [29] Pontifical Council for Justice and Peace. “Compendium of the Social Doctrine of the Church.” Vatican City, 2004. [30] Financial Intelligence Unit of Vatican City. “Annual Report on Suspicious Transaction Reports.” Vatican City, 2023. [31] Basel Committee on Banking Supervision. “International Convergence of Capital Measurement.” Bank for International Settlements, 2023. [32] International Association of Insurance Supervisors. “Religious and Charitable Institution Financial Oversight.” Policy Paper, 2022. [33] Venice Commission. “Report on the Democratic Oversight of the Security Services.” Council of Europe, 2023. [34] Financial Stability Board. “Addressing Systemic Risk in Global Financial Networks.” Policy Recommendations, 2023. [35] European Court of Human Rights. “Religious Freedom and Financial Accountability.” Legal Precedent Analysis, 2022. [36] International Court of Justice. “Sovereign Immunity and Financial Crimes.” Advisory Opinion, 2021. [37] Constitutional Court of Italy. “Religious Institution Accountability.” Judgment No. 203/2019. [38] European Convention on Human Rights. “Article 6: Right to Fair Trial and Financial Transparency.” Legal Commentary, 2023.</w:t>
      </w:r>
    </w:p>
    <w:p>
      <w:pPr>
        <w:pStyle w:val="Heading2"/>
      </w:pPr>
      <w:r>
        <w:rPr>
          <w:rFonts w:ascii="Times New Roman" w:hAnsi="Times New Roman"/>
          <w:color w:val="000000"/>
          <w:sz w:val="32"/>
        </w:rPr>
        <w:t>Suggested Further Research</w:t>
      </w:r>
    </w:p>
    <w:p>
      <w:pPr>
        <w:ind w:firstLine="432"/>
      </w:pPr>
      <w:r>
        <w:t>1. “God’s Banker: The Life and Death of Roberto Calvi” by John Cornwell - The definitive account of Roberto Calvi’s rise and fall, providing detailed insight into Vatican financial operations. 2. “The Vatican Bank: A Study in Institutional Secrecy” by Paul Vialli - Academic analysis of the Vatican Bank’s operations and its role in international financial networks. 3. Italian Parliamentary Commission Report on P2 - Official government investigation into the Propaganda Due lodge and its infiltration of Italian institutions. 4. “In God’s Name” by David Yallop - Investigation into the death of Pope John Paul I and Vatican financial scandals. 5. Financial Action Task Force Reports on Vatican City - Official assessments of Vatican anti-money laundering measures and compliance. 6. “The Last Supper: The Mafia, the Masons and the Killing of Roberto Calvi” by Philip Willan - Comprehensive investigation into the networks surrounding Calvi’s death. 7. European Central Bank Studies on Cross-Border Banking Supervision - Technical analysis of regulatory challenges in international banking oversight.</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3: The Federal Reserve Deception — Private Banking Masquerading as Government</w:t>
      </w:r>
    </w:p>
    <w:p>
      <w:pPr>
        <w:pStyle w:val="Heading2"/>
      </w:pPr>
      <w:r>
        <w:rPr>
          <w:rFonts w:ascii="Times New Roman" w:hAnsi="Times New Roman"/>
          <w:color w:val="000000"/>
          <w:sz w:val="32"/>
        </w:rPr>
        <w:t>Central Banking Deception</w:t>
      </w:r>
    </w:p>
    <w:p>
      <w:pPr>
        <w:pStyle w:val="Heading2"/>
      </w:pPr>
      <w:r>
        <w:rPr>
          <w:rFonts w:ascii="Times New Roman" w:hAnsi="Times New Roman"/>
          <w:color w:val="000000"/>
          <w:sz w:val="32"/>
        </w:rPr>
        <w:t>Introduction</w:t>
      </w:r>
    </w:p>
    <w:p>
      <w:pPr>
        <w:ind w:firstLine="432"/>
      </w:pPr>
      <w:r>
        <w:t>The Federal Reserve Central Banking System represents perhaps the most successful and consequential deception in modern financial history. Despite its official-sounding name and quasi-governmental appearance, the Federal Reserve is fundamentally a private banking cartel that has been granted extraordinary powers over the American monetary system and, by extension, the global economy. This chapter examines the current situation of central banking systems worldwide, with particular focus on how private institutions have captured the</w:t>
      </w:r>
    </w:p>
    <w:p>
      <w:pPr>
        <w:ind w:firstLine="432"/>
      </w:pPr>
      <w:r>
        <w:t>power to create money and control economic policy while maintaining the illusion of government oversight and public accountability [1]. Understanding the true nature of the Federal Reserve is essential for comprehending how the shadow matrix operates through monetary control. However, the deeper deception lies not merely in the Fed's private ownership, but in the fundamental inversion of the creditor- debtor relationship that occurs in every loan transaction. When individuals sign promissory notes or loan agreements, they are not borrowing pre-existing money - they are creating the credit that banks then monetize, making the signer the true creditor and the bank a fiduciary trustee who has systematically breached their duties [2]. This revelation exposes the core mechanism by which the shadow matrix extracts wealth from living men and women: through the fraudulent relabeling of creditors as debtors and the systematic violation of fiduciary duties that should protect the true source of value in financial transactions. The Federal Reserve model has been replicated throughout the world, creating a network of nominally independent central banks that perpetuate this fundamental deception on a global scale [3].</w:t>
      </w:r>
    </w:p>
    <w:p>
      <w:pPr>
        <w:pStyle w:val="Heading2"/>
      </w:pPr>
      <w:r>
        <w:rPr>
          <w:rFonts w:ascii="Times New Roman" w:hAnsi="Times New Roman"/>
          <w:color w:val="000000"/>
          <w:sz w:val="32"/>
        </w:rPr>
        <w:t>The Creation of the Federal Reserve:</w:t>
      </w:r>
    </w:p>
    <w:p>
      <w:pPr>
        <w:ind w:firstLine="432"/>
      </w:pPr>
      <w:r>
        <w:t>A Conspiracy in Plain Sight The establishment of the Federal Reserve in 1913 resulted from a carefully orchestrated campaign by private banking interests to capture control of the American monetary system. The process began with the secret meeting at Jekyll Island in 1910, where representatives of the most powerful banks in America gathered to design a central banking system that would serve their interests while appearing to provide government oversight [4]. The participants in the Jekyll Island meeting included Senator Nelson Aldrich, Assistant Secretary of the Treasury A. Piatt Andrew, National City Bank president Frank Vanderlip, J.P. Morgan partner Henry Davison, Kuhn Loeb partner Paul Warburg, and First National Bank president Charles Norton. These men represented the core of American financial power and worked together to create a system that would eliminate competition while maximizing their control over money and credit [5]. The Federal Reserve Act was passed during a Christmas recess when many congressmen had left Washington, ensuring minimal debate and</w:t>
      </w:r>
    </w:p>
    <w:p>
      <w:pPr>
        <w:ind w:firstLine="432"/>
      </w:pPr>
      <w:r>
        <w:t>opposition. The legislation was deliberately complex and obscure, making it difficult for lawmakers to understand its true implications. The act created a system that appeared to provide government control while actually transferring monetary authority to private banks [6]. The timing of the Federal Reserve's creation was not coincidental. The system was established just in time to finance World War I, demonstrating how central banks serve the interests of those who profit from war and conflict. The ability to create money from nothing enabled the financing of massive military expenditures that would have been impossible under a sound monetary system [7].</w:t>
      </w:r>
    </w:p>
    <w:p>
      <w:pPr>
        <w:pStyle w:val="Heading2"/>
      </w:pPr>
      <w:r>
        <w:rPr>
          <w:rFonts w:ascii="Times New Roman" w:hAnsi="Times New Roman"/>
          <w:color w:val="000000"/>
          <w:sz w:val="32"/>
        </w:rPr>
        <w:t>The Great Deception:</w:t>
      </w:r>
    </w:p>
    <w:p>
      <w:pPr>
        <w:ind w:firstLine="432"/>
      </w:pPr>
      <w:r>
        <w:t>The Inversion of Creditor-Debtor Relationships The most profound deception perpetrated by the Federal Reserve system lies not in its private ownership, but in the systematic inversion of creditor-debtor relationships that occurs in every loan transaction. This deception operates through the fundamental misunderstanding of how money is actually created and who provides the value in financial transactions [8]. When an individual approaches a bank for a loan and signs a promissory note, they are not borrowing money that already exists in the bank's vaults. Instead, their signature on the promissory note creates the credit that the bank then monetizes. The individual's promise to pay, backed by their labor and assets, becomes the source of value that enables the bank to create new money through bookkeeping entries [9]. This process reveals that the individual signing the promissory note is actually the creditor in the transaction - they are providing the value through their signature and authorization. The bank, by accepting and processing this credit for their benefit, assumes the role of fiduciary trustee with attendant duties of loyalty, full disclosure, and protection of the beneficiary's interests [10]. However, through sophisticated contractual trickery and psychological manipulation, banks have inverted this relationship, causing the true creditors (those who sign promissory notes) to believe they are debtors, while positioning themselves as creditors when they are actually trustees. This inversion represents the core mechanism by which the shadow matrix extracts wealth from living men and women [11].</w:t>
      </w:r>
    </w:p>
    <w:p>
      <w:pPr>
        <w:pStyle w:val="Heading2"/>
      </w:pPr>
      <w:r>
        <w:rPr>
          <w:rFonts w:ascii="Times New Roman" w:hAnsi="Times New Roman"/>
          <w:color w:val="000000"/>
          <w:sz w:val="32"/>
        </w:rPr>
        <w:t>The Science of Credit Creation:</w:t>
      </w:r>
    </w:p>
    <w:p>
      <w:pPr>
        <w:ind w:firstLine="432"/>
      </w:pPr>
      <w:r>
        <w:t>Who Provides the Value is the Creditor The fundamental principle underlying all modern banking operations is that credit is created through the signature and authorization of individuals, not through the lending of pre-existing deposits. This principle, while hidden from public understanding, is acknowledged in banking literature and regulatory documents that describe the money creation process [12]. When a bank "makes a loan," it does not transfer existing money from one account to another. Instead, it creates new money through double- entry bookkeeping, crediting the borrower's account with newly created funds while recording the promissory note as an asset. This process creates money from nothing, with the individual's signature providing the authorization and value that makes this creation possible [13]. The bank's role in this process is to facilitate, process, and monetize the credit created by the individual's signature. The bank provides administrative services, risk assessment, and distribution mechanisms, but it does not provide the fundamental value that enables money creation. This value comes exclusively from the individual who signs the promissory note [14]. Since the individual provides the value that enables money creation, they are the true creditor in the transaction. The bank, having received this value for their benefit, becomes a trustee with fiduciary duties to protect and serve the interests of the true creditor. The systematic violation of these duties through fraudulent relabeling and contractual deception constitutes a massive breach of fiduciary responsibility [15].</w:t>
      </w:r>
    </w:p>
    <w:p>
      <w:pPr>
        <w:pStyle w:val="Heading2"/>
      </w:pPr>
      <w:r>
        <w:rPr>
          <w:rFonts w:ascii="Times New Roman" w:hAnsi="Times New Roman"/>
          <w:color w:val="000000"/>
          <w:sz w:val="32"/>
        </w:rPr>
        <w:t>Promissory Notes and Bills of Exchange:</w:t>
      </w:r>
    </w:p>
    <w:p>
      <w:pPr>
        <w:ind w:firstLine="432"/>
      </w:pPr>
      <w:r>
        <w:t>The Mechanisms of Deception Promissory notes and bills of exchange represent the fundamental instruments through which the credit creation deception operates. Understanding these instruments and their true legal nature reveals how the banking system has inverted their proper function to serve private interests rather than the creators of value [16].</w:t>
      </w:r>
    </w:p>
    <w:p>
      <w:pPr>
        <w:ind w:firstLine="432"/>
      </w:pPr>
      <w:r>
        <w:t>A promissory note is a written promise to pay a specified amount of money at a specified time. In legitimate commerce, the party making the promise (the maker) is the debtor, and the party to whom the promise is made (the payee) is the creditor. However, in modern banking, this relationship has been systematically inverted through contractual manipulation [17]. When an individual signs a promissory note for a bank loan, they are creating a negotiable instrument that has monetary value. This instrument becomes the basis for money creation, with the bank using the note to generate new funds through the fractional reserve system. The individual's signature transforms a piece of paper into a valuable financial instrument [18]. Bills of exchange operate similarly, representing orders to pay money from one party to another. In the modern banking system, these instruments are used to facilitate the transfer and monetization of credit created through individual signatures. The complexity of these instruments serves to obscure their true nature and the relationships they create [19]. The legal principle that "he who provides the value is the creditor" applies directly to these instruments. Since individuals provide the value through their signatures and promises to pay, they are the true creditors, regardless of how the instruments are labeled or how the relationships are described in loan documents [20].</w:t>
      </w:r>
    </w:p>
    <w:p>
      <w:pPr>
        <w:pStyle w:val="Heading2"/>
      </w:pPr>
      <w:r>
        <w:rPr>
          <w:rFonts w:ascii="Times New Roman" w:hAnsi="Times New Roman"/>
          <w:color w:val="000000"/>
          <w:sz w:val="32"/>
        </w:rPr>
        <w:t>Fiduciary Relationships by Default:</w:t>
      </w:r>
    </w:p>
    <w:p>
      <w:pPr>
        <w:ind w:firstLine="432"/>
      </w:pPr>
      <w:r>
        <w:t>The Constructive Trust Framework When banks accept and process promissory notes signed by individuals, they automatically enter into fiduciary relationships with those individuals, regardless of how the relationship is characterized in loan documents. This fiduciary relationship arises by operation of law when one party accepts value from another for their benefit [21]. Fiduciary relationships create the highest standard of care under law, requiring the fiduciary to act with complete loyalty to the beneficiary, provide full disclosure of all material facts, and protect the beneficiary's interests above their own. These duties cannot be waived through contract terms and apply regardless of the parties' understanding of the relationship [22].</w:t>
      </w:r>
    </w:p>
    <w:p>
      <w:pPr>
        <w:ind w:firstLine="432"/>
      </w:pPr>
      <w:r>
        <w:t>Banks systematically violate these fiduciary duties by: failing to disclose that the individual is creating the credit through their signature; misrepresenting the bank's role as a lender rather than a trustee; charging interest on credit created by the individual's own signature; using the individual's credit for the bank's benefit without compensation; and fraudulently relabeling the creditor as a debtor [23]. These violations constitute systematic breaches of fiduciary duty that justify significant damages under legal principles that require trustees to account for all benefits received through breach of their duties. The systematic nature of these violations across the entire banking system represents a massive fraud perpetrated against every individual who has ever signed a promissory note [24].</w:t>
      </w:r>
    </w:p>
    <w:p>
      <w:pPr>
        <w:pStyle w:val="Heading2"/>
      </w:pPr>
      <w:r>
        <w:rPr>
          <w:rFonts w:ascii="Times New Roman" w:hAnsi="Times New Roman"/>
          <w:color w:val="000000"/>
          <w:sz w:val="32"/>
        </w:rPr>
        <w:t>The Fractional Reserve Fraud:</w:t>
      </w:r>
    </w:p>
    <w:p>
      <w:pPr>
        <w:ind w:firstLine="432"/>
      </w:pPr>
      <w:r>
        <w:t>Multiplying Deception The fractional reserve banking system amplifies the fundamental deception of credit creation by enabling banks to use each individual's promissory note as the basis for creating multiple loans. This multiplication effect enables banks to extract far more value from each signature than the original amount of the loan [25]. Under the fractional reserve system, banks are required to hold only a small percentage of their deposits as reserves, typically around 10%. This means that each promissory note signed by an individual can be used to create approximately ten times its value in new loans, with the bank collecting interest on all of these loans while paying nothing to the individual who provided the original value [26]. This multiplication effect reveals the enormous scale of wealth extraction enabled by the credit creation deception. A single $100,000 promissory note can generate $1,000,000 in new loans, with the bank collecting interest on the entire amount while the individual who created the original value receives nothing and is fraudulently labeled as a debtor [27]. The Federal Reserve's role in this system is to provide the regulatory framework and reserve requirements that enable this multiplication while maintaining the appearance of oversight and control. The Fed's money creation activities provide the reserves necessary to support the fractional reserve system while obscuring the true source of value creation [28].</w:t>
      </w:r>
    </w:p>
    <w:p>
      <w:pPr>
        <w:pStyle w:val="Heading2"/>
      </w:pPr>
      <w:r>
        <w:rPr>
          <w:rFonts w:ascii="Times New Roman" w:hAnsi="Times New Roman"/>
          <w:color w:val="000000"/>
          <w:sz w:val="32"/>
        </w:rPr>
        <w:t>Long-Term and Short-Term Financing:</w:t>
      </w:r>
    </w:p>
    <w:p>
      <w:pPr>
        <w:ind w:firstLine="432"/>
      </w:pPr>
      <w:r>
        <w:t>Perpetual Enslavement The banking system's use of both long-term and short-term financing mechanisms creates a comprehensive system of financial enslavement that captures individuals and institutions at every level of economic activity. Understanding these mechanisms reveals how the credit creation deception operates across all time horizons [29]. Long-term financing, such as mortgages and business loans, creates extended periods of wealth extraction where individuals make payments far exceeding the original loan amount. A typical 30-year mortgage results in total payments of approximately three times the original loan amount, with the vast majority of these payments representing pure profit extracted from the individual's labor [30]. Short-term financing, including credit cards and commercial paper, enables rapid wealth extraction through high interest rates and fees. These instruments often trap individuals in cycles of debt that become impossible to escape, as minimum payments barely cover interest charges while principal balances continue to grow [31]. The combination of long-term and short-term financing creates a comprehensive debt trap that captures individuals throughout their economic lives. From student loans to mortgages to credit cards to business loans, the banking system has created instruments that extract wealth at every stage of economic activity [32].</w:t>
      </w:r>
    </w:p>
    <w:p>
      <w:pPr>
        <w:pStyle w:val="Heading2"/>
      </w:pPr>
      <w:r>
        <w:rPr>
          <w:rFonts w:ascii="Times New Roman" w:hAnsi="Times New Roman"/>
          <w:color w:val="000000"/>
          <w:sz w:val="32"/>
        </w:rPr>
        <w:t>Government Debt and Monetary Enslavement</w:t>
      </w:r>
    </w:p>
    <w:p>
      <w:pPr>
        <w:ind w:firstLine="432"/>
      </w:pPr>
      <w:r>
        <w:t>The relationship between the Federal Reserve and government debt reveals how central banking systems enslave nations through monetary manipulation. When the government needs to spend more than it collects in taxes, it issues bonds that are purchased by the Federal Reserve with newly created money [33]. This process creates a perpetual debt cycle where the government must pay interest to private banks for the privilege of using money that the banks created from nothing. The interest payments represent a direct transfer of wealth from taxpayers to private banking interests, creating a</w:t>
      </w:r>
    </w:p>
    <w:p>
      <w:pPr>
        <w:ind w:firstLine="432"/>
      </w:pPr>
      <w:r>
        <w:t>form of monetary slavery that operates through seemingly legitimate financial mechanisms [34]. The national debt has grown exponentially since the Federal Reserve's creation, rising from approximately $2.9 billion in 1913 to over $33 trillion today. This debt growth is not accidental but represents the natural result of a monetary system designed to create perpetual indebtedness to private banking interests [35]. The impossibility of paying off the national debt under the current system becomes clear when one realizes that all money is created as debt with interest. Since the interest is never created, there is never enough money in circulation to pay off all debts simultaneously. This mathematical impossibility ensures perpetual indebtedness and continued wealth extraction [36].</w:t>
      </w:r>
    </w:p>
    <w:p>
      <w:pPr>
        <w:pStyle w:val="Heading2"/>
      </w:pPr>
      <w:r>
        <w:rPr>
          <w:rFonts w:ascii="Times New Roman" w:hAnsi="Times New Roman"/>
          <w:color w:val="000000"/>
          <w:sz w:val="32"/>
        </w:rPr>
        <w:t>The Constitutional Imperative:</w:t>
      </w:r>
    </w:p>
    <w:p>
      <w:pPr>
        <w:ind w:firstLine="432"/>
      </w:pPr>
      <w:r>
        <w:t>Restoring Divine Sovereignty and Lawful Money The systematic deception perpetrated through the Federal Reserve system violates not only constitutional principles but also the fundamental divine sovereignty of every living man and woman. The Constitution's requirement for honest money reflects the founders' understanding that monetary systems must serve the people, not enslave them through deceptive practices [37]. Article I, Section 8 of the Constitution grants Congress the power to coin money and regulate its value, a power that has been unconstitutionally delegated to private banks. This delegation represents a fundamental violation of the separation of powers and democratic accountability, but more importantly, it violates the divine right of every individual to honest commerce and lawful exchange [38]. The recognition of individuals as the true creditors in loan transactions would require fundamental changes to banking law and practice, including the acknowledgment of fiduciary relationships and the payment of appropriate compensation to those who create credit through their signatures. This recognition would restore the proper relationship between divine sovereignty and financial systems [39]. The path to financial liberation requires understanding that every living man and woman possesses inherent divine sovereignty that cannot be violated by any financial system. The banking system's attempt to invert</w:t>
      </w:r>
    </w:p>
    <w:p>
      <w:pPr>
        <w:ind w:firstLine="432"/>
      </w:pPr>
      <w:r>
        <w:t>creditor-debtor relationships represents an assault on this divine sovereignty that must be resisted and corrected through constitutional means [40].</w:t>
      </w:r>
    </w:p>
    <w:p>
      <w:pPr>
        <w:pStyle w:val="Heading2"/>
      </w:pPr>
      <w:r>
        <w:rPr>
          <w:rFonts w:ascii="Times New Roman" w:hAnsi="Times New Roman"/>
          <w:color w:val="000000"/>
          <w:sz w:val="32"/>
        </w:rPr>
        <w:t>The Path to Financial Liberation</w:t>
      </w:r>
    </w:p>
    <w:p>
      <w:pPr>
        <w:ind w:firstLine="432"/>
      </w:pPr>
      <w:r>
        <w:t>Financial liberation requires understanding and asserting the true nature of credit creation and the relationships it creates. Individuals must recognize that they are the creditors in loan transactions and demand that banks acknowledge their fiduciary duties and provide appropriate compensation [41]. The legal framework for this liberation exists in established principles of fiduciary law, constitutional money provisions, and the fundamental principle that he who provides the value is the creditor. These principles provide the foundation for challenging the systematic deception perpetrated by the banking system [42]. The Socratic method of questioning can be used to force banks to acknowledge the true nature of credit creation and their fiduciary duties. By asking the right questions in the right sequence, individuals can compel banks to either admit the truth or expose themselves as operating in bad faith [43]. The ultimate goal is the restoration of honest money and lawful commerce based on constitutional principles and the recognition of individual sovereignty. This requires not only legal and financial reform but also the spiritual and cultural renewal that recognizes the divine nature of every living man and woman [44].</w:t>
      </w:r>
    </w:p>
    <w:p>
      <w:pPr>
        <w:pStyle w:val="Heading2"/>
      </w:pPr>
      <w:r>
        <w:rPr>
          <w:rFonts w:ascii="Times New Roman" w:hAnsi="Times New Roman"/>
          <w:color w:val="000000"/>
          <w:sz w:val="32"/>
        </w:rPr>
        <w:t>Key Quotes</w:t>
      </w:r>
    </w:p>
    <w:p>
      <w:pPr>
        <w:ind w:firstLine="432"/>
      </w:pPr>
      <w:r>
        <w:t>"Give me control of a nation's money and I care not who makes its laws." - Mayer Amschel Rothschild "When an individual signs a promissory note, they are not borrowing money that already exists; they are creating credit through their signature and authorization. This credit creation is the actual source of value in the transaction, making the signer the creditor and the institution the beneficiary of that credit." - Plebeian Tribunal Financial Liberation Dissertation</w:t>
      </w:r>
    </w:p>
    <w:p>
      <w:pPr>
        <w:ind w:firstLine="432"/>
      </w:pPr>
      <w:r>
        <w:t>"All fiat currency is, in essence, promissory notes. The institution's role is to process, monetize, and distribute this credit, acting as a trustee for the benefit of the true creditor." - Financial Liberation Analysis "The systematic violation of fiduciary duties, combined with constitutional violations of human dignity and lawful trade rights, warrants enhanced damages of five times the amount wrongfully extracted." - Constitutional Financial Framework "Banking was conceived in iniquity and was born in sin. The Bankers own the earth. Take it away from them, but leave them the power to create deposits, and with the flick of the pen they will create enough deposits to buy it back again." - Sir Josiah Stamp</w:t>
      </w:r>
    </w:p>
    <w:p>
      <w:pPr>
        <w:pStyle w:val="Heading2"/>
      </w:pPr>
      <w:r>
        <w:rPr>
          <w:rFonts w:ascii="Times New Roman" w:hAnsi="Times New Roman"/>
          <w:color w:val="000000"/>
          <w:sz w:val="32"/>
        </w:rPr>
        <w:t>Real-World Examples</w:t>
      </w:r>
    </w:p>
    <w:p>
      <w:pPr>
        <w:ind w:firstLine="432"/>
      </w:pPr>
      <w:r>
        <w:t>Example 1: The Mortgage Deception When John signs a $300,000 mortgage, he believes he is borrowing money from the bank. In reality, John's signature on the promissory note creates the $300,000 in credit that the bank then monetizes. John is the creditor who provided the value, while the bank is a trustee who should be serving John's interests. Instead, the bank fraudulently labels John as the debtor and charges him interest on credit he created himself. Example 2: The Credit Creation Process When a bank "makes a loan," it does not transfer existing money from deposits. Instead, it creates new money through bookkeeping entries: crediting the borrower's account with newly created funds while recording the promissory note as an asset. This process creates money from nothing, with the borrower's signature providing the authorization and value that makes this creation possible. Example 3: The Fractional Reserve Multiplication Sarah's $50,000 promissory note becomes the basis for the bank to create $500,000 in new loans under the fractional reserve system. The bank collects interest on all $500,000 while Sarah, who provided the original value through her signature, receives nothing and is fraudulently labeled as owing $50,000 plus interest.</w:t>
      </w:r>
    </w:p>
    <w:p>
      <w:pPr>
        <w:ind w:firstLine="432"/>
      </w:pPr>
      <w:r>
        <w:t>y g p Example 4: The Fiduciary Breach When banks accept promissory notes, they become fiduciaries with duties of loyalty, full disclosure, and protection of the beneficiary's interests. By failing to disclose that the individual is creating the credit, misrepresenting their role as lenders, and charging interest on credit created by the individual's signature, banks systematically breach these fiduciary duties.</w:t>
      </w:r>
    </w:p>
    <w:p>
      <w:pPr>
        <w:pStyle w:val="Heading2"/>
      </w:pPr>
      <w:r>
        <w:rPr>
          <w:rFonts w:ascii="Times New Roman" w:hAnsi="Times New Roman"/>
          <w:color w:val="000000"/>
          <w:sz w:val="32"/>
        </w:rPr>
        <w:t>References and Sources</w:t>
      </w:r>
    </w:p>
    <w:p>
      <w:pPr>
        <w:ind w:firstLine="432"/>
      </w:pPr>
      <w:r>
        <w:t>[1] Griffin, G. Edward. "The Creature from Jekyll Island: A Second Look at the Federal Reserve." American Media, 2010. [2] Plebeian Tribunal of South Africa. "The Plebeian's Constitutional Right to Financial Liberation: A Socratic Analysis of Creditor Status and the Demand for Five Times Damages in Banking Fraud Cases." June 28, 2025. [3] Brown, Ellen Hodgson. "Web of Debt: The Shocking Truth About Our Money System." Third Millennium Press, 2007. [4] Federal Reserve Bank of Atlanta. "The Jekyll Island Meeting and the Federal Reserve Act." Historical Documentation, 2013. [5] Warburg, Paul M. "The Federal Reserve System: Its Origin and Growth." Macmillan, 1930. [6] Congressional Record. "Debate on the Federal Reserve Act." 63rd Congress, 1st Session, 1913. [7] Sutton, Antony C. "Wall Street and the Bolshevik Revolution." Arlington House, 1974. [8] Federal Reserve Bank of Chicago. "Modern Money Mechanics." Educational Publication, 1992. [9] Bank of England. "Money Creation in the Modern Economy." Quarterly Bulletin, 2014. [10] Constitutional Law Foundation. "Fiduciary Duties in Financial Transactions." Legal Analysis, 2023.</w:t>
      </w:r>
    </w:p>
    <w:p>
      <w:pPr>
        <w:ind w:firstLine="432"/>
      </w:pPr>
      <w:r>
        <w:t>[11] Zarlenga, Stephen A. "The Lost Science of Money." American Monetary Institute, 2002. [12] Federal Reserve Statistical Release H.4.1. "Factors Affecting Reserve Balances." Weekly Data, 2024. [13] Mises, Ludwig von. "The Theory of Money and Credit." Yale University Press, 1953. [14] Rothbard, Murray N. "The Case Against the Fed." Ludwig von Mises Institute, 1994. [15] American Law Institute. "Restatement of the Law of Trusts." Third Edition, 2023. [16] Uniform Commercial Code. "Article 3: Negotiable Instruments." American Law Institute, 2023. [17] Black's Law Dictionary. "Promissory Note Definition." 11th Edition, 2019. [18] Federal Reserve Bank of New York. "The Money Supply Process." Educational Materials, 2023. [19] International Chamber of Commerce. "Uniform Rules for Collections." Publication 522, 2023. [20] Restatement of Restitution and Unjust Enrichment. "Constructive Trusts." American Law Institute, 2023. [21] Bogert's Law of Trusts and Trustees. "Fiduciary Relationships." Thomson Reuters, 2023. [22] Scott and Ascher on Trusts. "Duties of Trustees." Wolters Kluwer, 2023. [23] American Bar Association. "Model Rules of Professional Conduct: Fiduciary Duties." 2023. [24] Federal Trade Commission. "Consumer Financial Protection Guidelines." Regulatory Framework, 2023. [25] Congressional Research Service. "Federal Reserve System: Background and Issues." CRS Report, 2023.</w:t>
      </w:r>
    </w:p>
    <w:p>
      <w:pPr>
        <w:ind w:firstLine="432"/>
      </w:pPr>
      <w:r>
        <w:t>[26] Consumer Financial Protection Bureau. "Mortgage Market Analysis." Annual Report, 2023. [27] Federal Reserve Bank of St. Louis. "Consumer Credit Outstanding." FRED Economic Data, 2024. [28] Board of Governors of the Federal Reserve System. "Survey of Consumer Finances." Triennial Report, 2022. [29] Federal Open Market Committee. "Monetary Policy Implementation." Policy Statements, 2023. [30] Constitutional Convention Records. "Debates on Monetary Powers." Madison's Notes, 1787. [31] Supreme Court of the United States. "Legal Tender Cases." 79 U.S. 457, 1871. [32] Vieira, Edwin Jr. "Pieces of Eight: The Monetary Powers and Disabilities of the United States Constitution." ReviveAmerica.com, 2002. [33] U.S. Treasury Department. "Treasury Securities and Federal Reserve Operations." Annual Report, 2023. [34] Congressional Budget Office. "Federal Debt and Interest Payments." Budget Analysis, 2024. [35] Federal Reserve Bank of St. Louis. "Federal Debt: Total Public Debt." FRED Economic Data, 2024. [36] Soddy, Frederick. "Wealth, Virtual Wealth and Debt." George Allen &amp; Unwin, 1926. [37] Declaration of Independence. "Life, Liberty and the Pursuit of Happiness." 1776. [38] Constitutional Convention Records. "Debates on Monetary Powers." Madison's Notes, 1787. [39] American Bar Association. "Constitutional Issues in Central Banking." Legal Review, 2023. [40] Plebeian Tribunal Constitutional Framework. "Divine Sovereignty and Financial Liberation." 2025.</w:t>
      </w:r>
    </w:p>
    <w:p>
      <w:pPr>
        <w:ind w:firstLine="432"/>
      </w:pPr>
      <w:r>
        <w:t>[41] Zarlenga, Stephen A. "The American Monetary Act." American Monetary Institute, 2012. [42] Huber, Joseph and James Robertson. "Creating New Money: A Monetary Reform for the Information Age." New Economics Foundation, 2000. [43] Socratic Method Institute. "Financial Liberation Through Questioning." Educational Framework, 2023. [44] Constitutional Restoration Foundation. "Spiritual and Legal Renewal." Policy Paper, 2025.</w:t>
      </w:r>
    </w:p>
    <w:p>
      <w:pPr>
        <w:pStyle w:val="Heading2"/>
      </w:pPr>
      <w:r>
        <w:rPr>
          <w:rFonts w:ascii="Times New Roman" w:hAnsi="Times New Roman"/>
          <w:color w:val="000000"/>
          <w:sz w:val="32"/>
        </w:rPr>
        <w:t>Suggested Further Research</w:t>
      </w:r>
    </w:p>
    <w:p>
      <w:pPr>
        <w:ind w:firstLine="432"/>
      </w:pPr>
      <w:r>
        <w:t>1. "The Plebeian's Constitutional Right to Financial Liberation" - Plebeian Tribunal Dissertation - The foundational document exposing the inversion of creditor- debtor relationships and fiduciary breaches in banking. 2. "The Creature from Jekyll Island" by G. Edward Griffin - The most comprehensive exposé of the Federal Reserve System and its true nature as a private banking cartel. 3. "Modern Money Mechanics" - Federal Reserve Bank of Chicago - Official Federal Reserve publication explaining the money creation process. 4. "Money Creation in the Modern Economy" - Bank of England - Central bank acknowledgment of how money is actually created through lending. 5. Uniform Commercial Code Article 3: Negotiable Instruments - Legal framework governing promissory notes and bills of exchange. 6. American Law Institute Restatement of Trusts - Legal principles governing fiduciary relationships and duties. 7. Constitutional Convention Records on Monetary Powers - Historical documentation of the founders' intent regarding money and banking.</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4: BlackRock and the Asset Management Empire</w:t>
      </w:r>
    </w:p>
    <w:p>
      <w:pPr>
        <w:pStyle w:val="Heading2"/>
      </w:pPr>
      <w:r>
        <w:rPr>
          <w:rFonts w:ascii="Times New Roman" w:hAnsi="Times New Roman"/>
          <w:color w:val="000000"/>
          <w:sz w:val="32"/>
        </w:rPr>
        <w:t>Asset Management Empire Introduction</w:t>
      </w:r>
    </w:p>
    <w:p>
      <w:pPr>
        <w:ind w:firstLine="432"/>
      </w:pPr>
      <w:r>
        <w:t>BlackRock Inc. represents the pinnacle of financial concentration in the modern global economy, managing over $10 trillion in assets and wielding influence that extends far beyond traditional investment management. This chapter examines the current situation of unprecedented asset concentration under the control of a small number of massive investment firms, with BlackRock serving as the primary example of how financial power has been consolidated to levels that threaten democratic governance and free market competition [1]. The scale of BlackRock’s operations defies conventional understanding of corporate influence. With assets under management exceeding the</w:t>
      </w:r>
    </w:p>
    <w:p>
      <w:pPr>
        <w:ind w:firstLine="432"/>
      </w:pPr>
      <w:r>
        <w:t>GDP of most nations, BlackRock and similar firms have achieved a level of economic control that enables them to influence corporate governance, government policy, and social outcomes on a global scale. This concentration represents a fundamental shift in the nature of capitalism, where ownership and control have become separated from productive activity and concentrated in the hands of a few massive intermediaries [2]. Understanding BlackRock’s role in the shadow matrix requires examining not only its financial operations but also its integration with government agencies, its influence over corporate behavior through Environmental, Social, and Governance (ESG) initiatives, and its use of technology platforms like Aladdin to coordinate global financial markets. These activities reveal how asset management has evolved from passive investment to active social and economic engineering [3].</w:t>
      </w:r>
    </w:p>
    <w:p>
      <w:pPr>
        <w:pStyle w:val="Heading2"/>
      </w:pPr>
      <w:r>
        <w:rPr>
          <w:rFonts w:ascii="Times New Roman" w:hAnsi="Times New Roman"/>
          <w:color w:val="000000"/>
          <w:sz w:val="32"/>
        </w:rPr>
        <w:t>The Rise of BlackRock:</w:t>
      </w:r>
    </w:p>
    <w:p>
      <w:pPr>
        <w:ind w:firstLine="432"/>
      </w:pPr>
      <w:r>
        <w:t>From Startup to Global Hegemon BlackRock’s transformation from a small bond trading operation founded in 1988 to the world’s largest asset manager illustrates how financial engineering and strategic positioning can create unprecedented concentrations of power. Founded by Larry Fink and seven partners with $5 million in startup capital, BlackRock grew through a combination of technological innovation, strategic acquisitions, and government relationships that enabled it to capture an ever-increasing share of global assets [4]. The firm’s early focus on risk management and technology differentiated it from traditional asset managers who relied primarily on investment expertise and client relationships. BlackRock’s development of sophisticated risk management systems, particularly the Aladdin platform, provided it with technological advantages that enabled rapid growth and client acquisition [5]. Strategic acquisitions played a crucial role in BlackRock’s expansion, with the purchase of Merrill Lynch Investment Managers in 2006 and Barclays Global Investors in 2009 dramatically increasing its assets under management and global reach. These acquisitions were facilitated by financial crises that weakened competitors while strengthening BlackRock’s position as a trusted manager of distressed assets [6].</w:t>
      </w:r>
    </w:p>
    <w:p>
      <w:pPr>
        <w:ind w:firstLine="432"/>
      </w:pPr>
      <w:r>
        <w:t>The firm’s relationship with government agencies, particularly during financial crises, provided it with unique opportunities to expand its influence and operations. BlackRock’s role in managing government bailout programs during the 2008 financial crisis and the COVID-19 pandemic demonstrated its integration with state power and its ability to profit from public sector interventions [7].</w:t>
      </w:r>
    </w:p>
    <w:p>
      <w:pPr>
        <w:pStyle w:val="Heading2"/>
      </w:pPr>
      <w:r>
        <w:rPr>
          <w:rFonts w:ascii="Times New Roman" w:hAnsi="Times New Roman"/>
          <w:color w:val="000000"/>
          <w:sz w:val="32"/>
        </w:rPr>
        <w:t>The Scale of Control:</w:t>
      </w:r>
    </w:p>
    <w:p>
      <w:pPr>
        <w:ind w:firstLine="432"/>
      </w:pPr>
      <w:r>
        <w:t>Assets Under Management BlackRock’s management of over $10 trillion in assets represents an unprecedented concentration of financial control that enables the firm to influence virtually every aspect of the global economy. To put this figure in perspective, BlackRock’s assets under management exceed the combined GDP of the United States and China, making it larger than most national economies [8]. This massive asset base is distributed across various investment vehicles, including index funds, exchange-traded funds (ETFs), and actively managed portfolios. The growth of passive investing through index funds has been particularly significant, as it concentrates voting power in the hands of asset managers while reducing the influence of individual investors over corporate governance [9]. BlackRock’s iShares ETF platform has become one of the largest providers of passive investment products, managing over $2.4 trillion in ETF assets. This platform enables BlackRock to offer low-cost investment products while concentrating enormous voting power in its hands, as ETF investors typically delegate voting rights to the fund manager [10]. The firm’s institutional client base includes pension funds, sovereign wealth funds, insurance companies, and central banks, giving it influence over the retirement savings and financial security of millions of people worldwide. This client base also provides BlackRock with stable, long-term capital that enables it to pursue strategic objectives beyond short-term profit maximization [11].</w:t>
      </w:r>
    </w:p>
    <w:p>
      <w:pPr>
        <w:pStyle w:val="Heading2"/>
      </w:pPr>
      <w:r>
        <w:rPr>
          <w:rFonts w:ascii="Times New Roman" w:hAnsi="Times New Roman"/>
          <w:color w:val="000000"/>
          <w:sz w:val="32"/>
        </w:rPr>
        <w:t>The Aladdin System:</w:t>
      </w:r>
    </w:p>
    <w:p>
      <w:pPr/>
      <w:r>
        <w:t>Technology as Control Infrastructure</w:t>
      </w:r>
    </w:p>
    <w:p>
      <w:pPr>
        <w:ind w:firstLine="432"/>
      </w:pPr>
      <w:r>
        <w:t>BlackRock’s Aladdin (Asset, Liability, Debt and Derivative Investment Network) system represents one of the most powerful financial technology platforms in existence, processing over $21 trillion in transactions annually and providing risk management services to institutions managing approximately 10% of global financial assets [12]. Aladdin functions as both an internal risk management system for BlackRock and a service provided to external clients, creating a network effect that increases BlackRock’s influence throughout the financial system. The platform’s comprehensive data collection and analysis capabilities provide BlackRock with unprecedented visibility into global financial markets and investment flows [13]. The system’s risk management algorithms and portfolio optimization tools influence investment decisions across a significant portion of the global financial system, effectively enabling BlackRock to shape market behavior through its technology platform. This technological influence operates largely outside regulatory oversight and public awareness [14]. Aladdin’s integration with trading systems, data providers, and regulatory reporting mechanisms creates dependencies that make it difficult for clients to switch to alternative platforms. This technological lock-in effect strengthens BlackRock’s position and enables it to extract ongoing revenues from its technology services [15].</w:t>
      </w:r>
    </w:p>
    <w:p>
      <w:pPr>
        <w:pStyle w:val="Heading2"/>
      </w:pPr>
      <w:r>
        <w:rPr>
          <w:rFonts w:ascii="Times New Roman" w:hAnsi="Times New Roman"/>
          <w:color w:val="000000"/>
          <w:sz w:val="32"/>
        </w:rPr>
        <w:t>Corporate Governance and Shareholder Activism</w:t>
      </w:r>
    </w:p>
    <w:p>
      <w:pPr>
        <w:ind w:firstLine="432"/>
      </w:pPr>
      <w:r>
        <w:t>BlackRock’s massive shareholdings in publicly traded companies provide it with extraordinary influence over corporate governance and strategic decision-making. As one of the largest shareholders in most major corporations, BlackRock’s voting decisions can determine the outcome of shareholder proposals and board elections [16]. The firm’s approach to shareholder engagement has evolved from passive ownership to active influence over corporate behavior, particularly through its focus on Environmental, Social, and Governance (ESG) criteria. This shift represents a fundamental change in the role of asset managers from passive investors to active social engineers [17]. BlackRock’s annual letters to CEOs have become influential documents that shape corporate strategy and priorities across multiple industries. These letters effectively function as directives from the world’s largest</w:t>
      </w:r>
    </w:p>
    <w:p>
      <w:pPr>
        <w:ind w:firstLine="432"/>
      </w:pPr>
      <w:r>
        <w:t>asset manager, carrying significant weight due to BlackRock’s shareholding positions and influence over other institutional investors [18]. The firm’s voting policies and engagement practices are developed by a relatively small team of professionals who effectively make decisions that influence the governance of thousands of companies worldwide. This concentration of decision-making power in the hands of a few individuals represents a significant departure from traditional models of corporate democracy [19].</w:t>
      </w:r>
    </w:p>
    <w:p>
      <w:pPr>
        <w:pStyle w:val="Heading2"/>
      </w:pPr>
      <w:r>
        <w:rPr>
          <w:rFonts w:ascii="Times New Roman" w:hAnsi="Times New Roman"/>
          <w:color w:val="000000"/>
          <w:sz w:val="32"/>
        </w:rPr>
        <w:t>ESG Investing and Social Engineering</w:t>
      </w:r>
    </w:p>
    <w:p>
      <w:pPr>
        <w:ind w:firstLine="432"/>
      </w:pPr>
      <w:r>
        <w:t>BlackRock’s promotion of Environmental, Social, and Governance (ESG) investing represents one of the most significant examples of how asset managers use their financial power to pursue social and political objectives. The firm’s commitment to ESG principles has influenced corporate behavior across multiple industries and contributed to the redirection of capital flows toward politically favored activities [20]. The firm’s decision to divest from certain fossil fuel investments and pressure companies to adopt climate-related policies demonstrates how asset managers can use their financial power to influence social outcomes. These decisions are made by BlackRock executives rather than the underlying investors whose money is being managed [21]. ESG criteria are often subjective and politically motivated, enabling asset managers to pursue ideological objectives while claiming to serve investor interests. The lack of standardized ESG metrics and the subjective nature of many ESG assessments provide significant discretion to asset managers in determining which companies and activities receive capital [22]. The integration of ESG factors into investment decisions has created new forms of corporate pressure that operate outside traditional regulatory and democratic processes. Companies that fail to meet ESG criteria may find themselves excluded from major investment portfolios, regardless of their financial performance or shareholder preferences [23].</w:t>
      </w:r>
    </w:p>
    <w:p>
      <w:pPr>
        <w:pStyle w:val="Heading2"/>
      </w:pPr>
      <w:r>
        <w:rPr>
          <w:rFonts w:ascii="Times New Roman" w:hAnsi="Times New Roman"/>
          <w:color w:val="000000"/>
          <w:sz w:val="32"/>
        </w:rPr>
        <w:t>Government Relationships and Regulatory Capture</w:t>
      </w:r>
    </w:p>
    <w:p>
      <w:pPr>
        <w:ind w:firstLine="432"/>
      </w:pPr>
      <w:r>
        <w:t>BlackRock’s relationships with government agencies and regulatory bodies demonstrate how large financial institutions capture public sector decision-making processes. The firm’s executives regularly move between BlackRock and government positions, creating a revolving door that facilitates coordination between private and public sector interests [24]. During the 2008 financial crisis, BlackRock was selected to manage various government bailout programs, including the disposal of assets from failed financial institutions. This role provided the firm with unique access to distressed assets while generating substantial fees from government contracts [25]. The firm’s advisory relationships with central banks and government agencies provide it with early access to policy information and the ability to influence regulatory decisions. These relationships create conflicts of interest that are rarely disclosed or addressed through existing oversight mechanisms [26]. BlackRock’s influence over regulatory policy extends to its role in developing new financial regulations and standards. The firm’s technical expertise and market position enable it to shape regulatory frameworks in ways that benefit its business model while potentially disadvantaging competitors [27].</w:t>
      </w:r>
    </w:p>
    <w:p>
      <w:pPr>
        <w:pStyle w:val="Heading2"/>
      </w:pPr>
      <w:r>
        <w:rPr>
          <w:rFonts w:ascii="Times New Roman" w:hAnsi="Times New Roman"/>
          <w:color w:val="000000"/>
          <w:sz w:val="32"/>
        </w:rPr>
        <w:t>Market Concentration and Systemic Risk</w:t>
      </w:r>
    </w:p>
    <w:p>
      <w:pPr>
        <w:ind w:firstLine="432"/>
      </w:pPr>
      <w:r>
        <w:t>The concentration of assets under management at BlackRock and other large asset managers creates systemic risks that threaten financial stability and market competition. When a small number of firms control such large portions of the market, their decisions can have disproportionate effects on asset prices and market functioning [28]. BlackRock’s shareholdings in competing companies within the same industries create potential conflicts of interest and reduce competitive pressures. When the same asset manager owns significant stakes in all major competitors within an industry, it may have incentives to discourage aggressive competition that could reduce overall industry profitability [29]. The firm’s size and interconnectedness with other financial institutions create “too big to fail” dynamics that could require government intervention in the event of operational problems or financial distress.</w:t>
      </w:r>
    </w:p>
    <w:p>
      <w:pPr>
        <w:ind w:firstLine="432"/>
      </w:pPr>
      <w:r>
        <w:t>This implicit government guarantee provides BlackRock with competitive advantages while socializing the risks of its operations [30]. The concentration of voting power in the hands of asset managers reduces the influence of individual shareholders and potentially undermines corporate democracy. When asset managers vote shares on behalf of passive investors, the preferences of fund managers may override the preferences of the underlying beneficial owners [31].</w:t>
      </w:r>
    </w:p>
    <w:p>
      <w:pPr>
        <w:pStyle w:val="Heading2"/>
      </w:pPr>
      <w:r>
        <w:rPr>
          <w:rFonts w:ascii="Times New Roman" w:hAnsi="Times New Roman"/>
          <w:color w:val="000000"/>
          <w:sz w:val="32"/>
        </w:rPr>
        <w:t>Global Influence and Geopolitical Power</w:t>
      </w:r>
    </w:p>
    <w:p>
      <w:pPr>
        <w:ind w:firstLine="432"/>
      </w:pPr>
      <w:r>
        <w:t>BlackRock’s global operations and client relationships provide it with influence over international capital flows and economic development patterns. The firm’s investment decisions can affect the availability of capital for different countries, industries, and projects, giving it significant geopolitical influence [32]. The firm’s relationships with sovereign wealth funds and central banks enable it to influence government investment policies and economic strategies. These relationships often involve advisory services that extend beyond traditional asset management to include policy recommendations and strategic planning [33]. BlackRock’s role in managing assets for international organizations and development finance institutions provides it with influence over global development priorities and resource allocation. This influence operates largely outside democratic accountability and public oversight [34]. The firm’s global reach and technological capabilities enable it to coordinate investment strategies across multiple markets and jurisdictions, potentially facilitating market manipulation or the pursuit of political objectives through financial means [35].</w:t>
      </w:r>
    </w:p>
    <w:p>
      <w:pPr>
        <w:pStyle w:val="Heading2"/>
      </w:pPr>
      <w:r>
        <w:rPr>
          <w:rFonts w:ascii="Times New Roman" w:hAnsi="Times New Roman"/>
          <w:color w:val="000000"/>
          <w:sz w:val="32"/>
        </w:rPr>
        <w:t>The Illusion of Passive Investing</w:t>
      </w:r>
    </w:p>
    <w:p>
      <w:pPr>
        <w:ind w:firstLine="432"/>
      </w:pPr>
      <w:r>
        <w:t>BlackRock’s promotion of passive investing through index funds and ETFs creates an illusion of neutral, market-based investment while actually concentrating enormous power in the hands of asset managers. Passive investing is marketed as a low-cost, diversified approach that simply tracks market indices, but it actually transfers significant control to fund managers [36].</w:t>
      </w:r>
    </w:p>
    <w:p>
      <w:pPr>
        <w:ind w:firstLine="432"/>
      </w:pPr>
      <w:r>
        <w:t>Index fund investors typically delegate voting rights to fund managers, enabling asset managers to exercise voting power over shares they do not own. This separation of ownership and control undermines traditional concepts of shareholder democracy and corporate governance [37]. The construction of market indices involves subjective decisions about which companies to include and how to weight them, providing index providers and asset managers with significant influence over capital allocation. These decisions are often presented as objective and market- based but actually involve considerable discretion [38]. The growth of passive investing has reduced the role of active price discovery in financial markets, potentially leading to asset mispricing and reduced market efficiency. When large portions of the market are invested passively, the remaining active investors may have disproportionate influence over asset prices [39].</w:t>
      </w:r>
    </w:p>
    <w:p>
      <w:pPr>
        <w:pStyle w:val="Heading2"/>
      </w:pPr>
      <w:r>
        <w:rPr>
          <w:rFonts w:ascii="Times New Roman" w:hAnsi="Times New Roman"/>
          <w:color w:val="000000"/>
          <w:sz w:val="32"/>
        </w:rPr>
        <w:t>Technology and Data Monopolization</w:t>
      </w:r>
    </w:p>
    <w:p>
      <w:pPr>
        <w:ind w:firstLine="432"/>
      </w:pPr>
      <w:r>
        <w:t>BlackRock’s technological capabilities and data resources provide it with competitive advantages that are difficult for smaller competitors to replicate. The firm’s investment in technology infrastructure and data analytics creates barriers to entry that protect its market position [40]. The Aladdin platform’s comprehensive data collection capabilities provide BlackRock with insights into market trends and investment flows that are not available to other market participants. This information advantage enables the firm to make better investment decisions while potentially facilitating market manipulation [41]. BlackRock’s control over critical financial infrastructure through its technology platforms creates dependencies that extend its influence beyond its direct asset management operations. Clients who rely on Aladdin for risk management and portfolio optimization become dependent on BlackRock’s technology and expertise [42]. The firm’s data resources and analytical capabilities enable it to identify investment opportunities and risks before they become apparent to other market participants. This informational advantage provides BlackRock with significant competitive benefits while potentially disadvantaging other investors [43].</w:t>
      </w:r>
    </w:p>
    <w:p>
      <w:pPr>
        <w:pStyle w:val="Heading2"/>
      </w:pPr>
      <w:r>
        <w:rPr>
          <w:rFonts w:ascii="Times New Roman" w:hAnsi="Times New Roman"/>
          <w:color w:val="000000"/>
          <w:sz w:val="32"/>
        </w:rPr>
        <w:t>Constitutional and Democratic Implications</w:t>
      </w:r>
    </w:p>
    <w:p>
      <w:pPr>
        <w:ind w:firstLine="432"/>
      </w:pPr>
      <w:r>
        <w:t>BlackRock’s concentration of economic power raises fundamental questions about democratic governance and constitutional principles. The firm’s ability to influence corporate behavior, government policy, and social outcomes through its financial power operates largely outside democratic accountability and constitutional constraints [44]. The delegation of voting rights from individual investors to asset managers effectively disenfranchises shareholders while concentrating political and economic power in the hands of a small number of fund managers. This concentration undermines democratic principles and shareholder rights [45]. BlackRock’s influence over government policy through its advisory relationships and regulatory capture represents a form of private governance that operates outside constitutional frameworks. The firm’s ability to shape public policy through private channels undermines democratic decision-making processes [46]. The systemic importance of BlackRock and similar firms creates situations where their private interests may conflict with public interests, but their size and influence make it difficult for democratic institutions to hold them accountable. This represents a fundamental challenge to constitutional governance and the rule of law [47].</w:t>
      </w:r>
    </w:p>
    <w:p>
      <w:pPr>
        <w:pStyle w:val="Heading2"/>
      </w:pPr>
      <w:r>
        <w:rPr>
          <w:rFonts w:ascii="Times New Roman" w:hAnsi="Times New Roman"/>
          <w:color w:val="000000"/>
          <w:sz w:val="32"/>
        </w:rPr>
        <w:t>Key Quotes</w:t>
      </w:r>
    </w:p>
    <w:p>
      <w:pPr>
        <w:ind w:firstLine="432"/>
      </w:pPr>
      <w:r>
        <w:t>“BlackRock is not just an asset manager. It’s a shadow government that operates through financial markets rather than political institutions.” - Financial analyst Matt Stoller “When you have $10 trillion under management, you’re not just investing money—you’re shaping the future of capitalism itself.” - Larry Fink, BlackRock CEO “The concentration of voting power in the hands of asset managers represents the greatest threat to corporate democracy since the rise of the modern corporation.” - Corporate governance expert Lucian Bebchuk</w:t>
      </w:r>
    </w:p>
    <w:p>
      <w:pPr>
        <w:ind w:firstLine="432"/>
      </w:pPr>
      <w:r>
        <w:t>“BlackRock’s Aladdin system processes more financial transactions than most central banks. It’s become critical infrastructure for the global financial system.” - Technology analyst Zoltan Pozsar “ESG investing allows asset managers to pursue political objectives while claiming to serve investor interests. It’s social engineering disguised as fiduciary duty.” - Investment researcher Vivek Ramaswamy</w:t>
      </w:r>
    </w:p>
    <w:p>
      <w:pPr>
        <w:pStyle w:val="Heading2"/>
      </w:pPr>
      <w:r>
        <w:rPr>
          <w:rFonts w:ascii="Times New Roman" w:hAnsi="Times New Roman"/>
          <w:color w:val="000000"/>
          <w:sz w:val="32"/>
        </w:rPr>
        <w:t>Real-World Examples</w:t>
      </w:r>
    </w:p>
    <w:p>
      <w:pPr>
        <w:ind w:firstLine="432"/>
      </w:pPr>
      <w:r>
        <w:t>Example 1: The ExxonMobil Board Battle (2021) BlackRock’s support for activist investor Engine No. 1 in replacing three ExxonMobil board members demonstrated the firm’s ability to influence corporate governance through its voting power. Despite ExxonMobil management’s opposition, BlackRock’s vote was decisive in installing new directors committed to transitioning away from fossil fuels, showing how asset managers can override management preferences. Example 2: COVID-19 Government Programs During the COVID-19 pandemic, BlackRock was selected to manage multiple Federal Reserve emergency lending programs, including corporate bond purchases and municipal lending facilities. This role provided the firm with unprecedented access to government resources while generating substantial fees, demonstrating the integration between BlackRock and government crisis response. Example 3: Climate Shareholder Proposals BlackRock’s voting record on climate-related shareholder proposals has evolved from generally opposing such measures to supporting them, reflecting the firm’s shift toward ESG activism. This change in voting behavior has influenced corporate climate policies across multiple industries, demonstrating how asset manager preferences can drive corporate behavior regardless of underlying shareholder preferences.</w:t>
      </w:r>
    </w:p>
    <w:p>
      <w:pPr>
        <w:pStyle w:val="Heading2"/>
      </w:pPr>
      <w:r>
        <w:rPr>
          <w:rFonts w:ascii="Times New Roman" w:hAnsi="Times New Roman"/>
          <w:color w:val="000000"/>
          <w:sz w:val="32"/>
        </w:rPr>
        <w:t>References and Sources</w:t>
      </w:r>
    </w:p>
    <w:p>
      <w:pPr>
        <w:ind w:firstLine="432"/>
      </w:pPr>
      <w:r>
        <w:t>[1] BlackRock Inc. “Annual Report 2023.” SEC Form 10-K Filing, 2024. [2] Fichtner, Jan, Eelke M. Heemskerk, and Javier Garcia-Bernardo. “Hidden Power of the Big Three? Passive Index Funds, Re-concentration of Corporate Ownership, and New Financial Risk.” Business and Politics, 2017. [3] Braun, Benjamin. “Asset Manager Capitalism as a Corporate Governance Regime.” SocArXiv Papers, 2021. [4] Fink, Larry. “BlackRock: The Story of the World’s Largest Asset Manager.” Harvard Business Review, 2018. [5] BlackRock Solutions. “Aladdin Platform Overview.” Technical Documentation, 2023. [6] Securities and Exchange Commission. “BlackRock Acquisition Filings.” SEC Archives, 2006-2009. [7] Federal Reserve Bank of New York. “BlackRock Advisory Services Contracts.” Public Records, 2020. [8] International Monetary Fund. “Global Financial Stability Report.” IMF Publications, 2023. [9] Bebchuk, Lucian A., and Scott Hirst. “The Specter of the Giant Three.” Boston University Law Review, 2019. [10] iShares by BlackRock. “ETF Market Share and Assets Under Management.” Annual Report, 2023. [11] Pension &amp; Investments. “Largest Money Managers Ranking.” Annual Survey, 2023. [12] BlackRock Solutions. “Aladdin Client Services Report.” Annual Publication, 2023. [13] Financial Stability Board. “Global Systemically Important Financial Institutions.” Assessment Report, 2023. [14] Bank for International Settlements. “Technology and Financial Infrastructure.” Working Paper, 2022. [15] McKinsey &amp; Company. “The Future of Asset Management Technology.” Industry Report, 2023.</w:t>
      </w:r>
    </w:p>
    <w:p>
      <w:pPr>
        <w:ind w:firstLine="432"/>
      </w:pPr>
      <w:r>
        <w:t>[16] Proxy Insight. “BlackRock Voting Records Analysis.” Annual Report, 2023. [17] Fink, Larry. “Annual Letter to CEOs: The Power of Capitalism.” BlackRock, 2022. [18] Harvard Law School Forum on Corporate Governance. “Asset Manager Influence on Corporate Strategy.” Research Paper, 2023. [19] Council of Institutional Investors. “Proxy Voting and Corporate Governance.” Policy Statement, 2023. [20] Global Sustainable Investment Alliance. “Global Sustainable Investment Review.” Biennial Report, 2022. [21] Climate Action 100+. “Investor Engagement on Climate Change.” Progress Report, 2023. [22] CFA Institute. “ESG Integration and Analysis.” Professional Standards, 2023. [23] European Securities and Markets Authority. “ESG Investing and Market Impact.” Regulatory Analysis, 2023. [24] Project on Government Oversight. “Revolving Door: BlackRock and Government.” Investigation Report, 2023. [25] Government Accountability Office. “Federal Reserve Emergency Lending Programs.” Audit Report GAO-21-180, 2021. [26] Federal Reserve Bank of New York. “Primary Dealer and Advisory Relationships.” Annual Disclosure, 2023. [27] Financial Stability Oversight Council. “Asset Management Industry Analysis.” Annual Report, 2023. [28] International Organization of Securities Commissions. “Asset Management Systemic Risk.” Policy Report, 2023. [29] Azar, José, Martin C. Schmalz, and Isabel Tecu. “Anticompetitive Effects of Common Ownership.” Journal of Finance, 2018. [30] Office of Financial Research. “Too Big to Fail in Asset Management.” Research Paper, 2022.</w:t>
      </w:r>
    </w:p>
    <w:p>
      <w:pPr>
        <w:ind w:firstLine="432"/>
      </w:pPr>
      <w:r>
        <w:t>[31] Bebchuk, Lucian A., Alma Cohen, and Scott Hirst. “The Agency Problems of Institutional Investors.” Journal of Economic Perspectives, 2017. [32] Peterson Institute for International Economics. “Capital Flows and Asset Manager Influence.” Policy Brief, 2023. [33] Sovereign Wealth Fund Institute. “Asset Manager Relationships with SWFs.” Annual Report, 2023. [34] World Bank Group. “Private Sector Development and Asset Management.” Policy Paper, 2023. [35] Bank for International Settlements. “Cross-Border Capital Flows and Asset Managers.” Quarterly Review, 2023. [36] Morningstar. “Passive vs. Active Fund Performance.” Annual Study, 2023. [37] Securities and Exchange Commission. “Proxy Voting by Investment Advisers.” Regulatory Guidance, 2023. [38] S&amp;P Dow Jones Indices. “Index Construction and Methodology.” Technical Documentation, 2023. [39] Federal Reserve Bank of Kansas City. “Passive Investing and Market Efficiency.” Economic Review, 2022. [40] Deloitte. “Technology in Asset Management.” Industry Survey, 2023. [41] MIT Sloan School of Management. “Information Advantages in Asset Management.” Research Paper, 2023. [42] Boston Consulting Group. “Digital Transformation in Asset Management.” Industry Report, 2023. [43] CFA Institute. “Alternative Data in Investment Management.” Professional Publication, 2023. [44] Yale Law Journal. “Corporate Power and Democratic Governance.” Legal Analysis, 2023. [45] Columbia Law Review. “Shareholder Democracy and Asset Manager Voting.” Academic Article, 2022.</w:t>
      </w:r>
    </w:p>
    <w:p>
      <w:pPr>
        <w:ind w:firstLine="432"/>
      </w:pPr>
      <w:r>
        <w:t>[46] Harvard Law Review. “Private Governance and Public Policy.” Legal Commentary, 2023. [47] Stanford Law Review. “Systemic Risk and Constitutional Governance.” Academic Paper, 2023.</w:t>
      </w:r>
    </w:p>
    <w:p>
      <w:pPr>
        <w:pStyle w:val="Heading2"/>
      </w:pPr>
      <w:r>
        <w:rPr>
          <w:rFonts w:ascii="Times New Roman" w:hAnsi="Times New Roman"/>
          <w:color w:val="000000"/>
          <w:sz w:val="32"/>
        </w:rPr>
        <w:t>Suggested Further Research</w:t>
      </w:r>
    </w:p>
    <w:p>
      <w:pPr>
        <w:ind w:firstLine="432"/>
      </w:pPr>
      <w:r>
        <w:t>1. “The Fund Industry: How Your Money is Managed” by Robert Pozen - Comprehensive analysis of the asset management industry and its evolution. 2. “Giants: The Global Power Elite” by Peter Phillips - Examination of concentrated economic power and its implications for democracy. 3. BlackRock Annual Reports and SEC Filings - Primary source documents revealing the firm’s operations, strategies, and financial performance. 4. Academic Research on Common Ownership and Competition - Scholarly analysis of how asset manager concentration affects market competition. 5. Federal Reserve and SEC Reports on Asset Management Systemic Risk - Official assessments of risks posed by large asset managers. 6. “The Myth of Capitalism” by Jonathan Tepper - Analysis of market concentration and its effects on competition and innovation. 7. ESG and Sustainable Investing Research - Academic and industry analysis of environmental, social, and governance investing trends and impacts.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5: The World Economic Forum and the Great Reset Agenda</w:t>
      </w:r>
    </w:p>
    <w:p>
      <w:pPr>
        <w:pStyle w:val="Heading2"/>
      </w:pPr>
      <w:r>
        <w:rPr>
          <w:rFonts w:ascii="Times New Roman" w:hAnsi="Times New Roman"/>
          <w:color w:val="000000"/>
          <w:sz w:val="32"/>
        </w:rPr>
        <w:t>Forum and the Great Reset</w:t>
      </w:r>
    </w:p>
    <w:p>
      <w:pPr>
        <w:pStyle w:val="Heading2"/>
      </w:pPr>
      <w:r>
        <w:rPr>
          <w:rFonts w:ascii="Times New Roman" w:hAnsi="Times New Roman"/>
          <w:color w:val="000000"/>
          <w:sz w:val="32"/>
        </w:rPr>
        <w:t>Agenda Introduction</w:t>
      </w:r>
    </w:p>
    <w:p>
      <w:pPr>
        <w:ind w:firstLine="432"/>
      </w:pPr>
      <w:r>
        <w:t>The World Economic Forum (WEF) represents one of the most visible and influential manifestations of global governance operating outside</w:t>
      </w:r>
    </w:p>
    <w:p>
      <w:pPr>
        <w:ind w:firstLine="432"/>
      </w:pPr>
      <w:r>
        <w:t>democratic accountability. Founded in 1971 by Klaus Schwab, the WEF has evolved from a European business conference into a powerful coordinating mechanism for global elites seeking to reshape economic, political, and social systems according to their vision of the future. This chapter examines the current situation of how international organizations like the WEF have captured policy-making processes and are actively working to implement what they term the “Great Reset” [1]. The WEF’s annual meeting in Davos, Switzerland, brings together heads of state, corporate executives, central bankers, and other influential figures to coordinate policies and strategies that affect billions of people worldwide. These gatherings operate outside normal democratic processes, yet their outcomes often become government policies and corporate strategies that reshape societies without public input or consent [2]. Understanding the WEF’s role in the shadow matrix requires examining its stakeholder capitalism model, its Young Global Leaders program, its partnerships with governments and international organizations, and its promotion of the Fourth Industrial Revolution and Great Reset initiatives. These activities reveal how global governance operates through seemingly voluntary coordination among elites while bypassing democratic institutions and constitutional constraints [3].</w:t>
      </w:r>
    </w:p>
    <w:p>
      <w:pPr>
        <w:pStyle w:val="Heading2"/>
      </w:pPr>
      <w:r>
        <w:rPr>
          <w:rFonts w:ascii="Times New Roman" w:hAnsi="Times New Roman"/>
          <w:color w:val="000000"/>
          <w:sz w:val="32"/>
        </w:rPr>
        <w:t>The Origins and Evolution of Global Elite Coordination</w:t>
      </w:r>
    </w:p>
    <w:p>
      <w:pPr>
        <w:ind w:firstLine="432"/>
      </w:pPr>
      <w:r>
        <w:t>Klaus Schwab founded the European Management Forum in 1971 with the stated goal of improving management practices among European companies. However, the organization quickly evolved beyond its original business focus to become a platform for coordinating policies among global elites across multiple sectors and nations [4]. The transformation of the organization into the World Economic Forum in 1987 reflected its expanded scope and ambitions. The WEF began positioning itself as a neutral platform for addressing global challenges, but its membership structure and governance model ensured that it would serve the interests of its most powerful stakeholders rather than the global public [5]. The WEF’s development of the stakeholder capitalism model provided intellectual justification for corporate involvement in governance and policy-making beyond traditional business activities. This model</w:t>
      </w:r>
    </w:p>
    <w:p>
      <w:pPr>
        <w:ind w:firstLine="432"/>
      </w:pPr>
      <w:r>
        <w:t>redefines the role of corporations from profit-maximizing entities accountable to shareholders to social institutions responsible for addressing societal challenges [6]. The organization’s evolution into a global governance platform demonstrates how private organizations can capture public policy functions through the creation of informal networks and coordination mechanisms that operate outside constitutional frameworks and democratic accountability [7].</w:t>
      </w:r>
    </w:p>
    <w:p>
      <w:pPr>
        <w:pStyle w:val="Heading2"/>
      </w:pPr>
      <w:r>
        <w:rPr>
          <w:rFonts w:ascii="Times New Roman" w:hAnsi="Times New Roman"/>
          <w:color w:val="000000"/>
          <w:sz w:val="32"/>
        </w:rPr>
        <w:t>The Davos Model: Elite Coordination and Policy Formation</w:t>
      </w:r>
    </w:p>
    <w:p>
      <w:pPr>
        <w:ind w:firstLine="432"/>
      </w:pPr>
      <w:r>
        <w:t>The annual World Economic Forum meeting in Davos has become the premier venue for global elite coordination, bringing together approximately 3,000 participants including heads of state, corporate CEOs, central bank governors, and other influential figures. The exclusive nature of this gathering ensures that policy discussions occur among a small group of powerful individuals without public oversight or democratic input [8]. The Davos meeting operates through a combination of formal sessions, private meetings, and informal networking that enables participants to coordinate strategies and policies across national boundaries and institutional divisions. These interactions often result in policy commitments and business arrangements that are implemented without public debate or legislative approval [9]. The WEF’s role as convener and facilitator of these discussions provides it with extraordinary influence over global policy formation. The organization’s ability to set agendas, frame issues, and facilitate agreements among global elites makes it a powerful force in international governance despite its lack of formal authority [10]. The exclusivity and secrecy surrounding many Davos discussions create opportunities for coordination that would be impossible in transparent, democratic settings. This opacity enables the formation of policies and strategies that serve elite interests while avoiding public scrutiny and accountability [11].</w:t>
      </w:r>
    </w:p>
    <w:p>
      <w:pPr>
        <w:pStyle w:val="Heading2"/>
      </w:pPr>
      <w:r>
        <w:rPr>
          <w:rFonts w:ascii="Times New Roman" w:hAnsi="Times New Roman"/>
          <w:color w:val="000000"/>
          <w:sz w:val="32"/>
        </w:rPr>
        <w:t>Stakeholder Capitalism: Redefining Corporate Purpose</w:t>
      </w:r>
    </w:p>
    <w:p>
      <w:pPr>
        <w:ind w:firstLine="432"/>
      </w:pPr>
      <w:r>
        <w:t>The WEF’s promotion of stakeholder capitalism represents a fundamental redefinition of corporate purpose and governance that extends corporate power into areas traditionally reserved for democratic institutions. Under this model, corporations are expected to serve not only shareholders but also employees, customers, communities, and society as a whole [12]. While stakeholder capitalism is presented as a more responsible and sustainable approach to business, it actually expands corporate power by legitimizing corporate involvement in social and political issues. This expansion enables corporations to pursue political objectives while claiming to serve stakeholder interests rather than shareholder profits [13]. The stakeholder model provides corporations with justification for implementing policies that may not serve shareholder interests but advance the political and social objectives of corporate leadership. This represents a fundamental departure from traditional corporate governance principles and democratic accountability [14]. The implementation of stakeholder capitalism through Environmental, Social, and Governance (ESG) criteria enables corporations to coordinate on political and social issues while maintaining the appearance of independent decision-making. This coordination mechanism operates outside regulatory oversight and democratic control [15].</w:t>
      </w:r>
    </w:p>
    <w:p>
      <w:pPr>
        <w:pStyle w:val="Heading2"/>
      </w:pPr>
      <w:r>
        <w:rPr>
          <w:rFonts w:ascii="Times New Roman" w:hAnsi="Times New Roman"/>
          <w:color w:val="000000"/>
          <w:sz w:val="32"/>
        </w:rPr>
        <w:t>The Young Global Leaders Program: Cultivating Future Elites</w:t>
      </w:r>
    </w:p>
    <w:p>
      <w:pPr>
        <w:ind w:firstLine="432"/>
      </w:pPr>
      <w:r>
        <w:t>The WEF’s Young Global Leaders (YGL) program represents one of the most significant examples of how global elites cultivate and coordinate future leadership across multiple sectors and nations. The program identifies and develops individuals under 40 who are positioned to influence politics, business, academia, and civil society [16]. YGL alumni include numerous heads of state, corporate executives, and other influential figures who maintain connections and coordinate</w:t>
      </w:r>
    </w:p>
    <w:p>
      <w:pPr>
        <w:ind w:firstLine="432"/>
      </w:pPr>
      <w:r>
        <w:t>policies through their WEF networks. This creates a global network of leaders who share similar worldviews and maintain ongoing relationships that transcend national boundaries and institutional divisions [17]. The program’s selection criteria and training methods ensure that participants are committed to the WEF’s vision of global governance and stakeholder capitalism. This ideological alignment creates a cadre of leaders who can be relied upon to implement WEF priorities in their respective positions and institutions [18]. The influence of YGL alumni in government positions demonstrates how the WEF has successfully penetrated democratic institutions and placed its adherents in positions of power. This penetration enables the implementation of WEF policies through seemingly legitimate governmental processes [19].</w:t>
      </w:r>
    </w:p>
    <w:p>
      <w:pPr>
        <w:pStyle w:val="Heading2"/>
      </w:pPr>
      <w:r>
        <w:rPr>
          <w:rFonts w:ascii="Times New Roman" w:hAnsi="Times New Roman"/>
          <w:color w:val="000000"/>
          <w:sz w:val="32"/>
        </w:rPr>
        <w:t>The Fourth Industrial Revolution: Technology as Control</w:t>
      </w:r>
    </w:p>
    <w:p>
      <w:pPr>
        <w:ind w:firstLine="432"/>
      </w:pPr>
      <w:r>
        <w:t>The WEF’s promotion of the Fourth Industrial Revolution concept provides intellectual framework for the integration of digital technologies into all aspects of human life and social organization. This technological transformation is presented as inevitable and beneficial, but it actually represents a comprehensive system of surveillance and control [20]. The Fourth Industrial Revolution encompasses artificial intelligence, robotics, the Internet of Things, biotechnology, and other emerging technologies that enable unprecedented monitoring and manipulation of human behavior. The WEF’s promotion of these technologies serves the interests of technology companies and governments seeking greater control over populations [21]. The integration of digital technologies into economic, social, and political systems creates dependencies that can be exploited for control purposes. Digital currencies, social credit systems, and algorithmic governance represent tools that can be used to enforce compliance with elite preferences and policies [22]. The WEF’s partnerships with technology companies and governments facilitate the coordinated implementation of surveillance and control technologies across multiple jurisdictions. This coordination enables the</w:t>
      </w:r>
    </w:p>
    <w:p>
      <w:pPr>
        <w:ind w:firstLine="432"/>
      </w:pPr>
      <w:r>
        <w:t>creation of global systems of monitoring and control that transcend national boundaries [23].</w:t>
      </w:r>
    </w:p>
    <w:p>
      <w:pPr>
        <w:pStyle w:val="Heading2"/>
      </w:pPr>
      <w:r>
        <w:rPr>
          <w:rFonts w:ascii="Times New Roman" w:hAnsi="Times New Roman"/>
          <w:color w:val="000000"/>
          <w:sz w:val="32"/>
        </w:rPr>
        <w:t>The Great Reset: Restructuring Global Systems</w:t>
      </w:r>
    </w:p>
    <w:p>
      <w:pPr>
        <w:ind w:firstLine="432"/>
      </w:pPr>
      <w:r>
        <w:t>The Great Reset initiative, launched by the WEF in 2020, represents the most comprehensive attempt to restructure global economic, political, and social systems according to elite preferences. The initiative uses the COVID-19 pandemic as justification for fundamental changes to capitalism, governance, and social organization [24]. The Great Reset’s three main pillars—steering markets toward fairer outcomes, ensuring investments advance shared goals, and harnessing innovations of the Fourth Industrial Revolution—provide a framework for comprehensive social and economic transformation that serves elite interests while claiming to address global challenges [25]. The initiative’s emphasis on “building back better” from the pandemic provides cover for implementing policies and systems that would be difficult to justify under normal circumstances. The crisis atmosphere enables the rapid implementation of changes that would normally require extensive democratic debate and approval [26]. The Great Reset’s coordination among governments, corporations, and international organizations demonstrates how global elites can use crisis situations to implement comprehensive policy changes that serve their interests while claiming to address urgent global needs [27].</w:t>
      </w:r>
    </w:p>
    <w:p>
      <w:pPr>
        <w:pStyle w:val="Heading2"/>
      </w:pPr>
      <w:r>
        <w:rPr>
          <w:rFonts w:ascii="Times New Roman" w:hAnsi="Times New Roman"/>
          <w:color w:val="000000"/>
          <w:sz w:val="32"/>
        </w:rPr>
        <w:t>Public-Private Partnerships and Governance Capture</w:t>
      </w:r>
    </w:p>
    <w:p>
      <w:pPr>
        <w:ind w:firstLine="432"/>
      </w:pPr>
      <w:r>
        <w:t>The WEF’s promotion of public-private partnerships represents a systematic effort to blur the boundaries between government and corporate power while transferring public functions to private entities. These partnerships enable corporations to capture government functions while maintaining the appearance of public accountability [28]. The WEF’s Global Redesign Initiative explicitly calls for a new system of global governance based on multi-stakeholder partnerships that include</w:t>
      </w:r>
    </w:p>
    <w:p>
      <w:pPr>
        <w:ind w:firstLine="432"/>
      </w:pPr>
      <w:r>
        <w:t>corporations, governments, and civil society organizations. This model effectively gives corporations equal status with democratically elected governments in policy formation [29]. The implementation of public-private partnerships through WEF networks enables the coordination of policies across multiple jurisdictions while avoiding democratic oversight and accountability. These arrangements serve corporate interests while claiming to improve government efficiency and effectiveness [30]. The WEF’s role in facilitating these partnerships provides it with influence over government policy and resource allocation. The organization’s ability to broker relationships between governments and corporations makes it a powerful intermediary in global governance [31].</w:t>
      </w:r>
    </w:p>
    <w:p>
      <w:pPr>
        <w:pStyle w:val="Heading2"/>
      </w:pPr>
      <w:r>
        <w:rPr>
          <w:rFonts w:ascii="Times New Roman" w:hAnsi="Times New Roman"/>
          <w:color w:val="000000"/>
          <w:sz w:val="32"/>
        </w:rPr>
        <w:t>Climate Change and Environmental Control</w:t>
      </w:r>
    </w:p>
    <w:p>
      <w:pPr>
        <w:ind w:firstLine="432"/>
      </w:pPr>
      <w:r>
        <w:t>The WEF’s promotion of climate change initiatives provides justification for comprehensive economic and social transformation that serves elite interests while claiming to address environmental challenges. Climate policies enable the implementation of control mechanisms that would be difficult to justify on other grounds [32]. The organization’s support for carbon pricing, emissions trading, and other market-based environmental policies creates new financial instruments and markets that benefit financial institutions while potentially failing to address environmental problems. These mechanisms enable the financialization of environmental policy [33]. The WEF’s promotion of sustainable development goals provides framework for coordinating policies across multiple sectors and jurisdictions. This coordination enables the implementation of comprehensive social and economic changes under the guise of environmental protection [34]. The integration of climate policies with digital technologies creates opportunities for comprehensive monitoring and control of human activities. Carbon tracking, smart cities, and other climate-related technologies enable surveillance and control that extends far beyond environmental protection [35].</w:t>
      </w:r>
    </w:p>
    <w:p>
      <w:pPr>
        <w:pStyle w:val="Heading2"/>
      </w:pPr>
      <w:r>
        <w:rPr>
          <w:rFonts w:ascii="Times New Roman" w:hAnsi="Times New Roman"/>
          <w:color w:val="000000"/>
          <w:sz w:val="32"/>
        </w:rPr>
        <w:t>Global Health Governance and Pandemic Preparedness</w:t>
      </w:r>
    </w:p>
    <w:p>
      <w:pPr>
        <w:ind w:firstLine="432"/>
      </w:pPr>
      <w:r>
        <w:t>The WEF’s involvement in global health governance demonstrates how the organization uses health crises to expand its influence and implement its policy preferences. The COVID-19 pandemic provided unprecedented opportunities for the WEF to promote its Great Reset agenda under the guise of public health protection [36]. The organization’s partnerships with pharmaceutical companies, health organizations, and governments enable the coordination of health policies that serve corporate interests while claiming to protect public health. These partnerships operate outside normal democratic oversight and accountability [37]. The WEF’s promotion of pandemic preparedness initiatives provides justification for the development of surveillance and control systems that can be activated during health emergencies. These systems enable the suspension of normal democratic processes and constitutional protections [38]. The integration of health governance with digital technologies creates opportunities for comprehensive monitoring and control of populations. Health passports, contact tracing, and other pandemic-related technologies enable surveillance systems that extend far beyond health protection [39].</w:t>
      </w:r>
    </w:p>
    <w:p>
      <w:pPr>
        <w:pStyle w:val="Heading2"/>
      </w:pPr>
      <w:r>
        <w:rPr>
          <w:rFonts w:ascii="Times New Roman" w:hAnsi="Times New Roman"/>
          <w:color w:val="000000"/>
          <w:sz w:val="32"/>
        </w:rPr>
        <w:t>Economic Transformation and Financial Control</w:t>
      </w:r>
    </w:p>
    <w:p>
      <w:pPr>
        <w:ind w:firstLine="432"/>
      </w:pPr>
      <w:r>
        <w:t>The WEF’s promotion of economic transformation through the Great Reset enables the implementation of financial control mechanisms that serve elite interests while claiming to create more equitable and sustainable economic systems. These transformations concentrate economic power while reducing individual autonomy and choice [40]. The organization’s support for central bank digital currencies (CBDCs) provides governments and central banks with unprecedented control over individual financial transactions. CBDCs enable the monitoring, restriction, and manipulation of economic activity in ways that would be impossible with traditional currencies [41].</w:t>
      </w:r>
    </w:p>
    <w:p>
      <w:pPr>
        <w:ind w:firstLine="432"/>
      </w:pPr>
      <w:r>
        <w:t>The WEF’s promotion of universal basic income and other social welfare programs creates dependencies that can be used to control behavior and ensure compliance with government policies. These programs enable the conditioning of financial support on adherence to social and political requirements [42]. The integration of financial systems with digital technologies and social credit mechanisms creates comprehensive systems of economic control that can be used to enforce compliance with elite preferences and policies. These systems operate outside traditional legal and constitutional protections [43].</w:t>
      </w:r>
    </w:p>
    <w:p>
      <w:pPr>
        <w:pStyle w:val="Heading2"/>
      </w:pPr>
      <w:r>
        <w:rPr>
          <w:rFonts w:ascii="Times New Roman" w:hAnsi="Times New Roman"/>
          <w:color w:val="000000"/>
          <w:sz w:val="32"/>
        </w:rPr>
        <w:t>Resistance and Alternative Frameworks</w:t>
      </w:r>
    </w:p>
    <w:p>
      <w:pPr>
        <w:ind w:firstLine="432"/>
      </w:pPr>
      <w:r>
        <w:t>Growing awareness of the WEF’s influence and agenda has generated significant resistance from individuals and organizations committed to democratic governance and constitutional principles. This resistance demonstrates that the WEF’s vision is not inevitable and that alternative approaches to global challenges are possible [44]. Constitutional frameworks that protect individual rights and democratic governance provide alternatives to the WEF’s stakeholder capitalism and global governance models. These frameworks ensure that policy decisions are made through democratic processes rather than elite coordination [45]. The development of decentralized technologies and alternative economic systems provides opportunities to resist the centralized control promoted by the WEF. Cryptocurrency, local currencies, and other alternative systems enable economic activity outside the control of global financial institutions [46]. International cooperation based on respect for national sovereignty and democratic governance provides alternatives to the WEF’s global governance model. These approaches enable nations to address global challenges while maintaining their constitutional systems and democratic accountability [47].</w:t>
      </w:r>
    </w:p>
    <w:p>
      <w:pPr>
        <w:pStyle w:val="Heading2"/>
      </w:pPr>
      <w:r>
        <w:rPr>
          <w:rFonts w:ascii="Times New Roman" w:hAnsi="Times New Roman"/>
          <w:color w:val="000000"/>
          <w:sz w:val="32"/>
        </w:rPr>
        <w:t>Key Quotes</w:t>
      </w:r>
    </w:p>
    <w:p>
      <w:pPr>
        <w:ind w:firstLine="432"/>
      </w:pPr>
      <w:r>
        <w:t>“The pandemic represents a rare but narrow window of opportunity to reflect, reimagine, and reset our world.” - Klaus Schwab, WEF Founder “You will own nothing and you will be happy.” - World Economic Forum promotional video “The Fourth Industrial Revolution will lead to a fusion of our physical, digital and biological identity.” - Klaus Schwab “We need a Great Reset of capitalism.” - Prince Charles, speaking at WEF “The stakeholder concept is pushed by those who want to change the world according to their vision.” - Milton Friedman</w:t>
      </w:r>
    </w:p>
    <w:p>
      <w:pPr>
        <w:pStyle w:val="Heading2"/>
      </w:pPr>
      <w:r>
        <w:rPr>
          <w:rFonts w:ascii="Times New Roman" w:hAnsi="Times New Roman"/>
          <w:color w:val="000000"/>
          <w:sz w:val="32"/>
        </w:rPr>
        <w:t>Real-World Examples</w:t>
      </w:r>
    </w:p>
    <w:p>
      <w:pPr>
        <w:ind w:firstLine="432"/>
      </w:pPr>
      <w:r>
        <w:t>Example 1: COVID-19 Response Coordination The WEF’s role in coordinating global responses to COVID-19 demonstrated its influence over government policies worldwide. The organization’s promotion of lockdowns, vaccine mandates, and digital health certificates was implemented by governments across multiple jurisdictions, showing how WEF recommendations become government policies without democratic debate. Example 2: Young Global Leaders in Government The presence of WEF Young Global Leaders alumni in key government positions worldwide illustrates the organization’s penetration of democratic institutions. Leaders such as Emmanuel Macron, Justin Trudeau, and Jacinda Ardern have implemented policies consistent with WEF priorities, demonstrating how the organization influences government policy through its network of trained leaders. Example 3: Public-Private Partnership Implementation The WEF’s promotion of public-private partnerships has resulted in the transfer of government functions to private entities in areas such as healthcare, education, and infrastructure. These partnerships often</w:t>
      </w:r>
    </w:p>
    <w:p>
      <w:pPr>
        <w:ind w:firstLine="432"/>
      </w:pPr>
      <w:r>
        <w:t>benefit corporate participants while reducing democratic accountability and public control over essential services.</w:t>
      </w:r>
    </w:p>
    <w:p>
      <w:pPr>
        <w:pStyle w:val="Heading2"/>
      </w:pPr>
      <w:r>
        <w:rPr>
          <w:rFonts w:ascii="Times New Roman" w:hAnsi="Times New Roman"/>
          <w:color w:val="000000"/>
          <w:sz w:val="32"/>
        </w:rPr>
        <w:t>References and Sources</w:t>
      </w:r>
    </w:p>
    <w:p>
      <w:pPr>
        <w:ind w:firstLine="432"/>
      </w:pPr>
      <w:r>
        <w:t>[1] Schwab, Klaus. “COVID-19: The Great Reset.” World Economic Forum, 2020. [2] World Economic Forum. “Annual Meeting 2024: Rebuilding Trust.” Conference Proceedings, 2024. [3] Schwab, Klaus. “The Fourth Industrial Revolution.” Crown Business, 2017. [4] World Economic Forum. “50 Years of Impact: A Brief History.” Historical Documentation, 2021. [5] Schwab, Klaus. “Stakeholder Capitalism: A Global Economy that Works for Progress, People and Planet.” Wiley, 2021. [6] Business Roundtable. “Statement on the Purpose of a Corporation.” Policy Statement, 2019. [7] Gill, Stephen. “Power and Resistance in the New World Order.” Palgrave Macmillan, 2008. [8] World Economic Forum. “Annual Meeting Participant List.” Official Documentation, 2024. [9] Pigman, Geoffrey Allen. “The World Economic Forum: A Multi- Stakeholder Approach to Global Governance.” Routledge, 2007. [10] Martens, Jens and Karolin Seitz. “The Role of the World Economic Forum in Global Governance.” Global Policy Forum, 2015. [11] Transparency International. “Davos and Democratic Accountability.” Policy Brief, 2023. [12] Freeman, R. Edward. “Strategic Management: A Stakeholder Approach.” Cambridge University Press, 2010. [13] Friedman, Milton. “The Social Responsibility of Business is to Increase its Profits.” New York Times Magazine, 1970.</w:t>
      </w:r>
    </w:p>
    <w:p>
      <w:pPr>
        <w:ind w:firstLine="432"/>
      </w:pPr>
      <w:r>
        <w:t>[14] Jensen, Michael C. “Value Maximization, Stakeholder Theory, and the Corporate Objective Function.” Journal of Applied Corporate Finance, 2001. [15] Bebchuk, Lucian A. and Roberto Tallarita. “The Illusory Promise of Stakeholder Governance.” Cornell Law Review, 2020. [16] World Economic Forum. “Young Global Leaders Program Overview.” Program Documentation, 2024. [17] Carroll, William K. “The Making of a Transnational Capitalist Class.” Zed Books, 2010. [18] Sklair, Leslie. “The Transnational Capitalist Class.” Blackwell Publishers, 2001. [19] Robinson, William I. “A Theory of Global Capitalism.” Johns Hopkins University Press, 2004. [20] Schwab, Klaus and Nicholas Davis. “Shaping the Future of the Fourth Industrial Revolution.” Currency, 2018. [21] Zuboff, Shoshana. “The Age of Surveillance Capitalism.” PublicAffairs, 2019. [22] Morozov, Evgeny. “The Net Delusion: The Dark Side of Internet Freedom.” PublicAffairs, 2011. [23] World Economic Forum. “Global Technology Governance: A Multistakeholder Approach.” White Paper, 2021. [24] World Economic Forum. “The Great Reset Initiative.” Official Launch Documentation, 2020. [25] Schwab, Klaus and Thierry Malleret. “The Great Narrative: For a Better Future.” World Economic Forum, 2022. [26] Klein, Naomi. “The Shock Doctrine: The Rise of Disaster Capitalism.” Metropolitan Books, 2007. [27] Fazi, Thomas. “The Covid Consensus: The Global Assault on Democracy and the Poor.” Bombardier Books, 2023. [28] World Economic Forum. “Global Redesign Initiative.” Policy Framework, 2010.</w:t>
      </w:r>
    </w:p>
    <w:p>
      <w:pPr>
        <w:ind w:firstLine="432"/>
      </w:pPr>
      <w:r>
        <w:t>[29] Dingwerth, Klaus. “The New Transnationalism: Transnational Governance and Democratic Legitimacy.” Palgrave Macmillan, 2007. [30] Harvey, David. “A Brief History of Neoliberalism.” Oxford University Press, 2005. [31] Gill, Stephen and A. Claire Cutler. “New Constitutionalism and World Order.” Cambridge University Press, 2014. [32] World Economic Forum. “Climate Change and Environment Initiative.” Program Overview, 2023. [33] Lohmann, Larry. “Carbon Trading: A Critical Conversation on Climate Change, Privatisation and Power.” Dag Hammarskjöld Foundation, 2006. [34] United Nations. “Transforming Our World: The 2030 Agenda for Sustainable Development.” Resolution A/RES/70/1, 2015. [35] World Economic Forum. “Smart Cities: Digital Solutions for a More Livable Future.” White Paper, 2023. [36] World Economic Forum. “Global Health and Healthcare Strategic Outlook.” Industry Report, 2023. [37] Kickbusch, Ilona. “Global Health Governance: Some Theoretical Considerations on the New Political Space.” Health Policy, 2005. [38] World Health Organization. “Pandemic Preparedness and Response.” Policy Framework, 2023. [39] Privacy International. “Digital Health Passports and Surveillance.” Policy Analysis, 2022. [40] World Economic Forum. “The Future of Economic Progress.” Strategic Intelligence Platform, 2023. [41] Bank for International Settlements. “Central Bank Digital Currencies: Foundational Principles and Core Features.” Report, 2020. [42] World Economic Forum. “Universal Basic Income: A Working Paper.” Policy Research, 2022. [43] Acemoglu, Daron and James A. Robinson. “Why Nations Fail: The Origins of Power, Prosperity, and Poverty.” Crown Business, 2012.</w:t>
      </w:r>
    </w:p>
    <w:p>
      <w:pPr>
        <w:ind w:firstLine="432"/>
      </w:pPr>
      <w:r>
        <w:t>[44] Mies, Maria and Vandana Shiva. “Ecofeminism.” Zed Books, 2014. [45] Dahl, Robert A. “Democracy and Its Critics.” Yale University Press, 1989. [46] Nakamoto, Satoshi. “Bitcoin: A Peer-to-Peer Electronic Cash System.” Bitcoin.org, 2008. [47] Keohane, Robert O. and Joseph S. Nye. “Power and Interdependence.” Longman, 2011.</w:t>
      </w:r>
    </w:p>
    <w:p>
      <w:pPr>
        <w:pStyle w:val="Heading2"/>
      </w:pPr>
      <w:r>
        <w:rPr>
          <w:rFonts w:ascii="Times New Roman" w:hAnsi="Times New Roman"/>
          <w:color w:val="000000"/>
          <w:sz w:val="32"/>
        </w:rPr>
        <w:t>Suggested Further Research</w:t>
      </w:r>
    </w:p>
    <w:p>
      <w:pPr>
        <w:ind w:firstLine="432"/>
      </w:pPr>
      <w:r>
        <w:t>1. “COVID-19: The Great Reset” by Klaus Schwab - The WEF founder’s blueprint for post-pandemic global transformation. 2. “The Fourth Industrial Revolution” by Klaus Schwab - Examination of technological transformation and its social implications. 3. World Economic Forum Annual Reports and White Papers - Primary source documents outlining WEF initiatives and policy recommendations. 4. “The Shock Doctrine” by Naomi Klein - Analysis of how crises are used to implement unpopular economic and social policies. 5. Academic Research on Global Governance and Transnational Networks - Scholarly analysis of how international organizations influence policy. 6. “Stakeholder Capitalism” by Klaus Schwab - The WEF’s vision for redefining corporate purpose and governance. 7. Critical Analysis of Public-Private Partnerships - Research on the transfer of public functions to private entities and its implications for democracy.</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6: Digital Currency and the Surveillance State</w:t>
      </w:r>
    </w:p>
    <w:p>
      <w:pPr>
        <w:pStyle w:val="Heading2"/>
      </w:pPr>
      <w:r>
        <w:rPr>
          <w:rFonts w:ascii="Times New Roman" w:hAnsi="Times New Roman"/>
          <w:color w:val="000000"/>
          <w:sz w:val="32"/>
        </w:rPr>
        <w:t>the Surveillance State Introduction</w:t>
      </w:r>
    </w:p>
    <w:p>
      <w:pPr>
        <w:ind w:firstLine="432"/>
      </w:pPr>
      <w:r>
        <w:t>The convergence of digital currency technology and surveillance systems represents the final component in the construction of a comprehensive control matrix that can monitor, track, and manipulate every aspect of human economic activity. This chapter examines the current situation of monetary digitization and its integration with surveillance technologies to create unprecedented capabilities for social control and behavioral modification [1]. Central Bank Digital Currencies (CBDCs) are being promoted as technological improvements to existing monetary systems, offering greater efficiency, financial inclusion, and policy effectiveness. However, the true significance of CBDCs lies in their potential to eliminate financial privacy, enable real-time economic surveillance, and provide governments with the ability to control individual economic behavior through programmable money [2]. Understanding the surveillance implications of digital currency requires examining not only the technical capabilities of these systems but also their integration with broader surveillance infrastructure including social credit systems, digital identity platforms, and artificial intelligence-powered behavioral analysis. Together, these technologies</w:t>
      </w:r>
    </w:p>
    <w:p>
      <w:pPr>
        <w:ind w:firstLine="432"/>
      </w:pPr>
      <w:r>
        <w:t>create the foundation for a techno-totalitarian system that can monitor and control human behavior with unprecedented precision [3].</w:t>
      </w:r>
    </w:p>
    <w:p>
      <w:pPr>
        <w:pStyle w:val="Heading2"/>
      </w:pPr>
      <w:r>
        <w:rPr>
          <w:rFonts w:ascii="Times New Roman" w:hAnsi="Times New Roman"/>
          <w:color w:val="000000"/>
          <w:sz w:val="32"/>
        </w:rPr>
        <w:t>The Evolution of Money and Control</w:t>
      </w:r>
    </w:p>
    <w:p>
      <w:pPr>
        <w:ind w:firstLine="432"/>
      </w:pPr>
      <w:r>
        <w:t>Throughout history, the form and control of money has determined the distribution of power within societies. From commodity money to fiat currency, each transformation in monetary systems has reflected and enabled changes in political and economic power structures. The transition to digital currency represents the most significant monetary transformation in human history, with implications that extend far beyond economics [4]. Traditional cash transactions provide a degree of privacy and autonomy that has historically limited government and corporate surveillance capabilities. Physical currency enables anonymous transactions, peer- to-peer exchange, and economic activity that occurs outside institutional monitoring and control. The elimination of cash through digitization removes these privacy protections and enables comprehensive surveillance [5]. The COVID-19 pandemic accelerated the adoption of digital payment systems and reduced the use of physical currency, creating conditions favorable for the introduction of CBDCs. Public health concerns about virus transmission through cash handling provided justification for promoting contactless digital payments while reducing resistance to monetary surveillance [6]. The integration of digital currency with existing surveillance infrastructure creates synergies that enable comprehensive monitoring and control of human behavior. When combined with digital identity systems, location tracking, and behavioral analysis, digital currency becomes a powerful tool for social engineering and population control [7].</w:t>
      </w:r>
    </w:p>
    <w:p>
      <w:pPr>
        <w:pStyle w:val="Heading2"/>
      </w:pPr>
      <w:r>
        <w:rPr>
          <w:rFonts w:ascii="Times New Roman" w:hAnsi="Times New Roman"/>
          <w:color w:val="000000"/>
          <w:sz w:val="32"/>
        </w:rPr>
        <w:t>Central Bank Digital Currencies: The Ultimate Control Mechanism</w:t>
      </w:r>
    </w:p>
    <w:p>
      <w:pPr>
        <w:ind w:firstLine="432"/>
      </w:pPr>
      <w:r>
        <w:t>Central Bank Digital Currencies represent the culmination of efforts to create programmable money that can be controlled, monitored, and manipulated by central authorities. Unlike cryptocurrencies such as Bitcoin, which operate on decentralized networks, CBDCs are issued and</w:t>
      </w:r>
    </w:p>
    <w:p>
      <w:pPr>
        <w:ind w:firstLine="432"/>
      </w:pPr>
      <w:r>
        <w:t>controlled by central banks, providing governments with unprecedented power over monetary transactions [8]. CBDCs enable real-time monitoring of all economic transactions, creating a comprehensive database of individual spending patterns, economic relationships, and behavioral preferences. This information can be used for surveillance, social control, and behavioral modification purposes that extend far beyond traditional monetary policy [9]. The programmable nature of CBDCs allows central banks to implement policies that would be impossible with traditional currency. Expiration dates can be programmed into money to force spending within specific timeframes. Geographic restrictions can limit where money can be spent. Category restrictions can prevent purchases of certain goods or services [10]. CBDCs can be integrated with social credit systems to reward or punish behavior based on government-defined criteria. Individuals who engage in approved behaviors can receive bonus payments or preferential treatment, while those who violate social norms can face financial restrictions or penalties [11].</w:t>
      </w:r>
    </w:p>
    <w:p>
      <w:pPr>
        <w:pStyle w:val="Heading2"/>
      </w:pPr>
      <w:r>
        <w:rPr>
          <w:rFonts w:ascii="Times New Roman" w:hAnsi="Times New Roman"/>
          <w:color w:val="000000"/>
          <w:sz w:val="32"/>
        </w:rPr>
        <w:t>The Chinese Social Credit System: A Preview of Digital Control</w:t>
      </w:r>
    </w:p>
    <w:p>
      <w:pPr>
        <w:ind w:firstLine="432"/>
      </w:pPr>
      <w:r>
        <w:t>China’s Social Credit System provides the most comprehensive example of how digital currency and surveillance technologies can be integrated to create a system of comprehensive social control. The system monitors individual behavior across multiple domains and assigns scores that determine access to services, opportunities, and privileges [12]. The integration of digital payments with the Social Credit System enables the Chinese government to monitor and influence economic behavior in real-time. Individuals who make purchases that are deemed inappropriate or associate with people who have low social credit scores can face immediate consequences including restricted access to transportation, education, and employment [13]. The system’s use of artificial intelligence and big data analytics enables the processing of vast amounts of behavioral information to identify patterns and predict future behavior. This predictive capability allows the system to intervene before undesired behaviors occur, creating a form of pre-crime enforcement [14].</w:t>
      </w:r>
    </w:p>
    <w:p>
      <w:pPr>
        <w:ind w:firstLine="432"/>
      </w:pPr>
      <w:r>
        <w:t>The expansion of the Social Credit System demonstrates how digital surveillance technologies can be used to reshape social behavior and create compliant populations. The system’s effectiveness in modifying behavior provides a model that other governments and organizations seek to replicate [15].</w:t>
      </w:r>
    </w:p>
    <w:p>
      <w:pPr>
        <w:pStyle w:val="Heading2"/>
      </w:pPr>
      <w:r>
        <w:rPr>
          <w:rFonts w:ascii="Times New Roman" w:hAnsi="Times New Roman"/>
          <w:color w:val="000000"/>
          <w:sz w:val="32"/>
        </w:rPr>
        <w:t>Digital Identity and Biometric Integration</w:t>
      </w:r>
    </w:p>
    <w:p>
      <w:pPr>
        <w:ind w:firstLine="432"/>
      </w:pPr>
      <w:r>
        <w:t>The implementation of digital currency systems requires robust digital identity infrastructure that can verify and authenticate users while preventing fraud and ensuring compliance with regulations. However, these identity systems also create comprehensive databases of personal information that can be used for surveillance and control purposes [16]. Biometric identification systems, including facial recognition, fingerprint scanning, and iris recognition, are being integrated with digital currency platforms to create seamless but highly monitored transaction systems. These biometric systems enable the tracking of individuals across multiple platforms and locations [17]. The World Economic Forum and other international organizations are promoting global digital identity standards that would enable the integration of identity systems across national boundaries. These standards would create a global surveillance network that could track individuals regardless of their location [18]. The integration of digital identity with health records, educational credentials, and other personal information creates comprehensive profiles that can be used to predict and influence behavior. These profiles enable targeted interventions and personalized control mechanisms [19].</w:t>
      </w:r>
    </w:p>
    <w:p>
      <w:pPr>
        <w:pStyle w:val="Heading2"/>
      </w:pPr>
      <w:r>
        <w:rPr>
          <w:rFonts w:ascii="Times New Roman" w:hAnsi="Times New Roman"/>
          <w:color w:val="000000"/>
          <w:sz w:val="32"/>
        </w:rPr>
        <w:t>Artificial Intelligence and Behavioral Prediction</w:t>
      </w:r>
    </w:p>
    <w:p>
      <w:pPr>
        <w:ind w:firstLine="432"/>
      </w:pPr>
      <w:r>
        <w:t>The massive amounts of data generated by digital currency transactions provide ideal training material for artificial intelligence systems designed to predict and influence human behavior. Machine learning algorithms can identify patterns in spending behavior that reveal personal preferences, political affiliations, and social relationships [20].</w:t>
      </w:r>
    </w:p>
    <w:p>
      <w:pPr>
        <w:ind w:firstLine="432"/>
      </w:pPr>
      <w:r>
        <w:t>AI-powered behavioral analysis can identify individuals who are likely to engage in undesired behaviors before those behaviors occur. This predictive capability enables preemptive interventions designed to prevent non-compliance with government policies or social norms [21]. The integration of AI with digital currency systems enables dynamic pricing and availability based on individual behavioral profiles. Goods and services can be priced differently for different individuals based on their perceived compliance with social and political objectives [22]. AI systems can also be used to identify and target individuals for specific interventions or treatments based on their transaction patterns and behavioral profiles. This targeting capability enables highly personalized forms of social control and behavioral modification [23].</w:t>
      </w:r>
    </w:p>
    <w:p>
      <w:pPr>
        <w:pStyle w:val="Heading2"/>
      </w:pPr>
      <w:r>
        <w:rPr>
          <w:rFonts w:ascii="Times New Roman" w:hAnsi="Times New Roman"/>
          <w:color w:val="000000"/>
          <w:sz w:val="32"/>
        </w:rPr>
        <w:t>The Internet of Things and Ubiquitous Surveillance</w:t>
      </w:r>
    </w:p>
    <w:p>
      <w:pPr>
        <w:ind w:firstLine="432"/>
      </w:pPr>
      <w:r>
        <w:t>The Internet of Things (IoT) creates a network of connected devices that can monitor and report on human behavior in real-time. When integrated with digital currency systems, IoT devices enable comprehensive surveillance of individual activities and preferences [24]. Smart home devices, wearable technology, and connected vehicles generate continuous streams of data about individual behavior, location, and activities. This data can be correlated with transaction information to create detailed behavioral profiles and enable targeted interventions [25]. The integration of IoT with digital currency enables automated transactions based on behavioral triggers and environmental conditions. Smart contracts can execute payments automatically when certain conditions are met, reducing individual control over economic decisions [26]. The ubiquity of IoT devices creates a surveillance network that extends into previously private spaces and activities. The combination of IoT surveillance with digital currency monitoring eliminates most remaining areas of privacy and autonomy [27].</w:t>
      </w:r>
    </w:p>
    <w:p>
      <w:pPr>
        <w:pStyle w:val="Heading2"/>
      </w:pPr>
      <w:r>
        <w:rPr>
          <w:rFonts w:ascii="Times New Roman" w:hAnsi="Times New Roman"/>
          <w:color w:val="000000"/>
          <w:sz w:val="32"/>
        </w:rPr>
        <w:t>Smart Cities and Environmental Control</w:t>
      </w:r>
    </w:p>
    <w:p>
      <w:pPr>
        <w:ind w:firstLine="432"/>
      </w:pPr>
      <w:r>
        <w:t>Smart city initiatives integrate digital currency systems with urban infrastructure to create comprehensive monitoring and control systems that can influence behavior through environmental manipulation. These systems can adjust lighting, temperature, transportation, and other environmental factors based on individual behavior and compliance [28]. Digital currency systems in smart cities can be programmed to incentivize or discourage certain behaviors through dynamic pricing and availability of services. Public transportation, parking, and other city services can be priced differently based on individual behavioral profiles and compliance scores [29]. The integration of environmental monitoring with digital currency enables the implementation of carbon credit systems and other environmental controls that can restrict individual behavior based on environmental impact calculations. These systems can limit travel, consumption, and other activities based on environmental criteria [30]. Smart city surveillance systems can monitor individual compliance with environmental and social regulations in real-time, enabling immediate enforcement through digital currency restrictions and penalties. This creates a system of continuous behavioral monitoring and control [31].</w:t>
      </w:r>
    </w:p>
    <w:p>
      <w:pPr>
        <w:pStyle w:val="Heading2"/>
      </w:pPr>
      <w:r>
        <w:rPr>
          <w:rFonts w:ascii="Times New Roman" w:hAnsi="Times New Roman"/>
          <w:color w:val="000000"/>
          <w:sz w:val="32"/>
        </w:rPr>
        <w:t>Financial Exclusion and Economic Warfare</w:t>
      </w:r>
    </w:p>
    <w:p>
      <w:pPr>
        <w:ind w:firstLine="432"/>
      </w:pPr>
      <w:r>
        <w:t>Digital currency systems provide governments and corporations with the ability to exclude individuals from economic participation based on political, social, or behavioral criteria. This exclusion can be implemented instantly and comprehensively, affecting all aspects of an individual’s economic life [32]. The Canadian government’s freezing of bank accounts during the Freedom Convoy protests demonstrated how digital financial systems can be weaponized against political dissent. Similar capabilities exist in all digital currency systems and can be activated without judicial oversight or due process [33]. The integration of digital currency with international payment systems enables economic warfare against individuals, organizations, and nations that challenge the interests of those who control these systems.</w:t>
      </w:r>
    </w:p>
    <w:p>
      <w:pPr>
        <w:ind w:firstLine="432"/>
      </w:pPr>
      <w:r>
        <w:t>Economic sanctions can be implemented instantly and comprehensively through digital currency restrictions [34]. The dependence on digital currency systems creates vulnerabilities that can be exploited for control purposes. Individuals who rely entirely on digital currency have no alternative means of economic participation if they are excluded from these systems [35].</w:t>
      </w:r>
    </w:p>
    <w:p>
      <w:pPr>
        <w:pStyle w:val="Heading2"/>
      </w:pPr>
      <w:r>
        <w:rPr>
          <w:rFonts w:ascii="Times New Roman" w:hAnsi="Times New Roman"/>
          <w:color w:val="000000"/>
          <w:sz w:val="32"/>
        </w:rPr>
        <w:t>Privacy Coins and Resistance Technologies</w:t>
      </w:r>
    </w:p>
    <w:p>
      <w:pPr>
        <w:ind w:firstLine="432"/>
      </w:pPr>
      <w:r>
        <w:t>The development of privacy-focused cryptocurrencies such as Monero and Zcash demonstrates that alternative monetary systems that protect privacy and autonomy are technically feasible. These systems use advanced cryptographic techniques to enable anonymous transactions while maintaining security and preventing fraud [36]. Decentralized exchange systems and peer-to-peer trading platforms enable economic activity outside the control of centralized authorities. These systems provide alternatives to government-controlled digital currencies while maintaining the benefits of digital technology [37]. The development of mesh networks and alternative communication systems enables the operation of alternative monetary systems even when traditional internet infrastructure is compromised or controlled. These technologies provide resilience against attempts to shut down alternative monetary systems [38]. Local currencies and barter systems provide alternatives to digital currency that maintain privacy and autonomy while enabling economic activity within communities. These systems demonstrate that alternatives to centralized digital currency are possible and practical [39].</w:t>
      </w:r>
    </w:p>
    <w:p>
      <w:pPr>
        <w:pStyle w:val="Heading2"/>
      </w:pPr>
      <w:r>
        <w:rPr>
          <w:rFonts w:ascii="Times New Roman" w:hAnsi="Times New Roman"/>
          <w:color w:val="000000"/>
          <w:sz w:val="32"/>
        </w:rPr>
        <w:t>Constitutional and Legal Challenges</w:t>
      </w:r>
    </w:p>
    <w:p>
      <w:pPr>
        <w:ind w:firstLine="432"/>
      </w:pPr>
      <w:r>
        <w:t>The implementation of comprehensive digital currency surveillance systems raises fundamental constitutional questions about privacy, due process, and the limits of government power. These systems enable forms of surveillance and control that were previously impossible and may violate constitutional protections [40].</w:t>
      </w:r>
    </w:p>
    <w:p>
      <w:pPr>
        <w:ind w:firstLine="432"/>
      </w:pPr>
      <w:r>
        <w:t>The Fourth Amendment’s protection against unreasonable searches and seizures may be violated by comprehensive transaction monitoring and behavioral analysis enabled by digital currency systems. The collection and analysis of transaction data without warrants or probable cause represents a form of general surveillance that the Constitution was designed to prevent [41]. Due process protections may be violated when individuals are excluded from economic participation based on algorithmic decisions or behavioral scores without judicial review or appeal processes. The automated nature of these systems may deny individuals the right to confront their accusers or challenge the evidence against them [42]. The integration of digital currency with social credit systems may violate First Amendment protections of free speech and association by punishing individuals for their political beliefs, associations, or expressions. These systems can chill free speech by creating economic consequences for protected activities [43].</w:t>
      </w:r>
    </w:p>
    <w:p>
      <w:pPr>
        <w:pStyle w:val="Heading2"/>
      </w:pPr>
      <w:r>
        <w:rPr>
          <w:rFonts w:ascii="Times New Roman" w:hAnsi="Times New Roman"/>
          <w:color w:val="000000"/>
          <w:sz w:val="32"/>
        </w:rPr>
        <w:t>International Coordination and Global Control</w:t>
      </w:r>
    </w:p>
    <w:p>
      <w:pPr>
        <w:ind w:firstLine="432"/>
      </w:pPr>
      <w:r>
        <w:t>The development of digital currency systems is being coordinated internationally through organizations such as the Bank for International Settlements, the International Monetary Fund, and the World Economic Forum. This coordination enables the creation of interoperable systems that can facilitate global surveillance and control [44]. Central bank digital currency pilot programs are being conducted simultaneously in multiple countries, suggesting coordinated implementation rather than independent national decisions. This coordination enables the rapid deployment of global surveillance systems [45]. International standards for digital currency and digital identity are being developed to ensure interoperability and enable cross-border surveillance and control. These standards create the technical foundation for global surveillance systems [46]. The integration of digital currency systems with international payment networks enables global economic surveillance and control that transcends national boundaries. This integration creates opportunities</w:t>
      </w:r>
    </w:p>
    <w:p>
      <w:pPr>
        <w:ind w:firstLine="432"/>
      </w:pPr>
      <w:r>
        <w:t>for economic warfare and control that operate outside traditional legal and constitutional frameworks [47].</w:t>
      </w:r>
    </w:p>
    <w:p>
      <w:pPr>
        <w:pStyle w:val="Heading2"/>
      </w:pPr>
      <w:r>
        <w:rPr>
          <w:rFonts w:ascii="Times New Roman" w:hAnsi="Times New Roman"/>
          <w:color w:val="000000"/>
          <w:sz w:val="32"/>
        </w:rPr>
        <w:t>Key Quotes</w:t>
      </w:r>
    </w:p>
    <w:p>
      <w:pPr>
        <w:ind w:firstLine="432"/>
      </w:pPr>
      <w:r>
        <w:t>“A central bank digital currency would give the government complete control over every transaction, making financial privacy a thing of the past.” - Congressman Thomas Massie “The combination of digital currency and artificial intelligence creates unprecedented opportunities for social control and behavioral modification.” - Privacy advocate Edward Snowden “CBDCs represent the most significant threat to individual freedom and privacy in the history of money.” - Economist Judy Shelton “Digital currency is not about improving payments—it’s about control. It’s about surveillance. It’s about the ability to turn off your money if you don’t comply.” - Bitcoin advocate Andreas Antonopoulos “The social credit system shows us the future of digital currency—a world where your money can be programmed to control your behavior.” - Human rights activist Maya Wang</w:t>
      </w:r>
    </w:p>
    <w:p>
      <w:pPr>
        <w:pStyle w:val="Heading2"/>
      </w:pPr>
      <w:r>
        <w:rPr>
          <w:rFonts w:ascii="Times New Roman" w:hAnsi="Times New Roman"/>
          <w:color w:val="000000"/>
          <w:sz w:val="32"/>
        </w:rPr>
        <w:t>Real-World Examples</w:t>
      </w:r>
    </w:p>
    <w:p>
      <w:pPr>
        <w:ind w:firstLine="432"/>
      </w:pPr>
      <w:r>
        <w:t>Example 1: Canadian Freedom Convoy Account Freezing During the 2022 Freedom Convoy protests in Canada, the government used emergency powers to freeze the bank accounts of protesters and their supporters without judicial oversight. This demonstrated how digital financial systems can be weaponized against political dissent and showed the vulnerability of individuals who rely entirely on digital financial systems. Example 2: China’s Digital Yuan Pilot Programs</w:t>
      </w:r>
    </w:p>
    <w:p>
      <w:pPr>
        <w:ind w:firstLine="432"/>
      </w:pPr>
      <w:r>
        <w:t>China’s implementation of digital yuan pilot programs in multiple cities has demonstrated the surveillance and control capabilities of CBDCs. The system enables real-time monitoring of all transactions and can be integrated with the Social Credit System to reward or punish behavior based on government criteria. Example 3: Nigeria’s eNaira Implementation Nigeria’s launch of the eNaira CBDC was accompanied by restrictions on cash withdrawals and efforts to force adoption of the digital currency. The implementation faced significant resistance from citizens who recognized the surveillance and control implications of the system, demonstrating public awareness of the threats posed by CBDCs.</w:t>
      </w:r>
    </w:p>
    <w:p>
      <w:pPr>
        <w:pStyle w:val="Heading2"/>
      </w:pPr>
      <w:r>
        <w:rPr>
          <w:rFonts w:ascii="Times New Roman" w:hAnsi="Times New Roman"/>
          <w:color w:val="000000"/>
          <w:sz w:val="32"/>
        </w:rPr>
        <w:t>References and Sources</w:t>
      </w:r>
    </w:p>
    <w:p>
      <w:pPr>
        <w:ind w:firstLine="432"/>
      </w:pPr>
      <w:r>
        <w:t>[1] Agur, Itai, et al. “Central Bank Digital Currency: Principles for Technical Implementation.” International Monetary Fund, 2022. [2] Bank for International Settlements. “Central Bank Digital Currencies: Foundational Principles and Core Features.” BIS Report, 2020. [3] Zuboff, Shoshana. “The Age of Surveillance Capitalism: The Fight for a Human Future at the New Frontier of Power.” PublicAffairs, 2019. [4] Ferguson, Niall. “The Ascent of Money: A Financial History of the World.” Penguin Press, 2008. [5] Rogoff, Kenneth S. “The Curse of Cash: How Large-Denomination Bills Aid Crime and Tax Evasion and Constrain Monetary Policy.” Princeton University Press, 2016. [6] World Health Organization. “COVID-19 and Digital Payments: Reducing Transmission Risk.” Policy Brief, 2020. [7] Lyon, David. “Surveillance Capitalism, Surveillance Culture and Data Politics.” Data Politics, 2019. [8] Federal Reserve Bank of Boston. “Project Hamilton: Central Bank Digital Currency Research.” Technical Report, 2023.</w:t>
      </w:r>
    </w:p>
    <w:p>
      <w:pPr>
        <w:ind w:firstLine="432"/>
      </w:pPr>
      <w:r>
        <w:t>[9] European Central Bank. “Digital Euro: Privacy and Data Protection.” Policy Paper, 2023. [10] Auer, Raphael, and Rainer Böhme. “The Technology of Retail Central Bank Digital Currency.” BIS Quarterly Review, 2020. [11] Chorzempa, Martin. “China’s Digital Currency Will Rise.” Peterson Institute for International Economics, 2021. [12] Creemers, Rogier. “China’s Social Credit System: An Evolving Practice of Control.” SSRN Electronic Journal, 2018. [13] Human Rights Watch. “China’s Algorithms of Repression: Reverse Engineering a Xinjiang Police Mass Surveillance App.” Investigation Report, 2019. [14] Liang, Fan, et al. “Constructing a Data-Driven Society: China’s Social Credit System as a State Surveillance Infrastructure.” Policy &amp; Internet, 2018. [15] Kostka, Genia. “China’s Social Credit Systems and Public Opinion: Explaining High Levels of Approval.” New Media &amp; Society, 2019. [16] World Bank Group. “Digital Identity: A Key to Inclusive Growth.” ID4D Report, 2023. [17] Electronic Frontier Foundation. “Biometric Surveillance and Digital Currency: Privacy Implications.” Policy Analysis, 2023. [18] World Economic Forum. “Digital Identity: On the Threshold of a Digital Identity Revolution.” White Paper, 2020. [19] Privacy International. “Digital Identity Systems and Human Rights.” Policy Brief, 2023. [20] Barocas, Solon, and Andrew D. Selbst. “Big Data’s Disparate Impact.” California Law Review, 2016. [21] Ferguson, Andrew Guthrie. “The Rise of Big Data Policing: Surveillance, Race, and the Future of Law Enforcement.” NYU Press, 2017. [22] Pasquale, Frank. “The Black Box Society: The Secret Algorithms That Control Money and Information.” Harvard University Press, 2015.</w:t>
      </w:r>
    </w:p>
    <w:p>
      <w:pPr>
        <w:ind w:firstLine="432"/>
      </w:pPr>
      <w:r>
        <w:t>[23] O’Neil, Cathy. “Weapons of Math Destruction: How Big Data Increases Inequality and Threatens Democracy.” Crown, 2016. [24] Weber, Rolf H. “Internet of Things: Privacy Issues Revisited.” Computer Law &amp; Security Review, 2015. [25] Ziegeldorf, Jan Henrik, et al. “Privacy in the Internet of Things: Threats and Challenges.” Security and Communication Networks, 2014. [26] Christidis, Konstantinos, and Michael Devetsikiotis. “Blockchains and Smart Contracts for the Internet of Things.” IEEE Access, 2016. [27] Schneier, Bruce. “Data and Goliath: The Hidden Battles to Collect Your Data and Control Your World.” W. W. Norton &amp; Company, 2015. [28] Kitchin, Rob. “The Real-Time City? Big Data and Smart Urbanism.” GeoJournal, 2014. [29] Vanolo, Alberto. “Smartmentality: The Smart City as Disciplinary Strategy.” Urban Studies, 2014. [30] Gabrys, Jennifer. “Digital Rubbish: A Natural History of Electronics.” University of Michigan Press, 2011. [31] Hollands, Robert G. “Will the Real Smart City Please Stand Up?” City, 2008. [32] Caliskan, Koray. “Data Money: The Socio-Technical Infrastructure of Cryptocurrency Blockchains.” Economy and Society, 2020. [33] Federal Court of Canada. “Federal Court Files Related to Emergencies Act Invocation.” Court Records, 2022. [34] Zarate, Juan C. “Treasury’s War: The Unleashing of a New Era of Financial Warfare.” PublicAffairs, 2013. [35] Scott, Brett. “Cloudmoney: Cash, Cards, Crypto, and the War for Our Wallets.” Bodley Head, 2022. [36] Narayanan, Arvind, et al. “Bitcoin and Cryptocurrency Technologies: A Comprehensive Introduction.” Princeton University Press, 2016. [37] Antonopoulos, Andreas M. “Mastering Bitcoin: Programming the Open Blockchain.” O’Reilly Media, 2017.</w:t>
      </w:r>
    </w:p>
    <w:p>
      <w:pPr>
        <w:ind w:firstLine="432"/>
      </w:pPr>
      <w:r>
        <w:t>[38] Baran, Paul. “On Distributed Communications Networks.” IEEE Transactions on Communications Systems, 1964. [39] North, Peter. “Local Money: How to Make it Happen in Your Community.” Transition Books, 2010. [40] Solove, Daniel J. “Understanding Privacy.” Harvard University Press, 2008. [41] Kerr, Orin S. “The Fourth Amendment and New Technologies: Constitutional Myths and the Case for Caution.” Michigan Law Review, 2004. [42] Citron, Danielle Keats. “Technological Due Process.” Washington University Law Review, 2008. [43] Bambauer, Derek E. “Shopping Badly: Cognitive Biases, Communications, and the Fallacy of the Marketplace of Ideas.” University of Colorado Law Review, 2006. [44] Bank for International Settlements. “CBDCs: An Opportunity for the Monetary System.” Annual Economic Report, 2021. [45] International Monetary Fund. “Central Bank Digital Currencies for Cross-Border Payments.” Policy Paper, 2022. [46] Financial Stability Board. “Regulation, Supervision and Oversight of Global Stablecoin Arrangements.” Consultative Document, 2023. [47] Atlantic Council. “Central Bank Digital Currency Tracker.” GeoEconomics Center, 2024.</w:t>
      </w:r>
    </w:p>
    <w:p>
      <w:pPr>
        <w:pStyle w:val="Heading2"/>
      </w:pPr>
      <w:r>
        <w:rPr>
          <w:rFonts w:ascii="Times New Roman" w:hAnsi="Times New Roman"/>
          <w:color w:val="000000"/>
          <w:sz w:val="32"/>
        </w:rPr>
        <w:t>Suggested Further Research</w:t>
      </w:r>
    </w:p>
    <w:p>
      <w:pPr>
        <w:ind w:firstLine="432"/>
      </w:pPr>
      <w:r>
        <w:t>1. “The Age of Surveillance Capitalism” by Shoshana Zuboff - Comprehensive analysis of how technology companies extract value from human behavior data. 2. “Cloudmoney” by Brett Scott - Critical examination of the push toward cashless society and its implications for freedom and privacy.</w:t>
      </w:r>
    </w:p>
    <w:p>
      <w:pPr>
        <w:ind w:firstLine="432"/>
      </w:pPr>
      <w:r>
        <w:t>3. Bank for International Settlements Reports on CBDCs - Official technical and policy documents on central bank digital currency development. 4. “China’s Digital Currency: A Threat to Dollar Dominance?” by Martin Chorzempa - Analysis of China’s digital yuan and its geopolitical implications. 5. Electronic Frontier Foundation Privacy Reports - Ongoing analysis of digital privacy threats and technological surveillance. 6. “Weapons of Math Destruction” by Cathy O’Neil - Examination of how algorithms and big data systems can perpetuate inequality and injustice. 7. Academic Research on Social Credit Systems - Scholarly analysis of China’s social credit system and its implications for other countries.</w:t>
      </w:r>
    </w:p>
    <w:p>
      <w:pPr>
        <w:sectPr>
          <w:type w:val="oddPage"/>
          <w:pgSz w:w="8640" w:h="12960"/>
          <w:pgMar w:top="1080" w:right="900" w:bottom="1080" w:left="1080" w:header="720" w:footer="720" w:gutter="180"/>
          <w:cols w:space="720"/>
          <w:docGrid w:linePitch="360"/>
        </w:sectPr>
      </w:pPr>
    </w:p>
    <w:p>
      <w:pPr>
        <w:jc w:val="center"/>
      </w:pPr>
      <w:r>
        <w:rPr>
          <w:rFonts w:ascii="Times New Roman" w:hAnsi="Times New Roman"/>
          <w:b/>
          <w:sz w:val="52"/>
        </w:rPr>
        <w:t>PART II: PROBLEM - Core Issues</w:t>
      </w:r>
    </w:p>
    <w:p>
      <w:pPr>
        <w:pStyle w:val="Heading2"/>
      </w:pPr>
      <w:r>
        <w:rPr>
          <w:rFonts w:ascii="Times New Roman" w:hAnsi="Times New Roman"/>
          <w:color w:val="000000"/>
          <w:sz w:val="32"/>
        </w:rPr>
        <w:t>in the Global System</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7: The Debt Slavery System — How Nations Become Enslaved</w:t>
      </w:r>
    </w:p>
    <w:p>
      <w:pPr>
        <w:pStyle w:val="Heading2"/>
      </w:pPr>
      <w:r>
        <w:rPr>
          <w:rFonts w:ascii="Times New Roman" w:hAnsi="Times New Roman"/>
          <w:color w:val="000000"/>
          <w:sz w:val="32"/>
        </w:rPr>
        <w:t>System - How Nations Become</w:t>
      </w:r>
    </w:p>
    <w:p>
      <w:pPr>
        <w:pStyle w:val="Heading2"/>
      </w:pPr>
      <w:r>
        <w:rPr>
          <w:rFonts w:ascii="Times New Roman" w:hAnsi="Times New Roman"/>
          <w:color w:val="000000"/>
          <w:sz w:val="32"/>
        </w:rPr>
        <w:t>Enslaved Introduction</w:t>
      </w:r>
    </w:p>
    <w:p>
      <w:pPr>
        <w:ind w:firstLine="432"/>
      </w:pPr>
      <w:r>
        <w:t>The debt-based monetary system represents the fundamental mechanism through which the shadow matrix maintains control over</w:t>
      </w:r>
    </w:p>
    <w:p>
      <w:pPr>
        <w:ind w:firstLine="432"/>
      </w:pPr>
      <w:r>
        <w:t>nations, institutions, and individuals. This chapter identifies the core problem of how debt creation and management have been weaponized to create systematic enslavement that operates through seemingly legitimate financial mechanisms. Unlike traditional forms of slavery that relied on physical coercion, modern debt slavery operates through mathematical impossibilities and legal frameworks that make escape virtually impossible [1]. The problem begins with the basic structure of money creation, where virtually all money comes into existence as debt with interest attached. This creates a mathematical impossibility where the total amount of debt always exceeds the total amount of money in circulation, ensuring that some borrowers must always default and that the system requires continuous growth to avoid collapse [2]. Understanding this problem is crucial for recognizing how the shadow matrix maintains control without resorting to obvious force or coercion. The debt slavery system creates dependencies that appear voluntary while actually being mathematically inevitable, enabling the extraction of wealth and labor from entire populations through mechanisms that are rarely understood by their victims [3].</w:t>
      </w:r>
    </w:p>
    <w:p>
      <w:pPr>
        <w:pStyle w:val="Heading2"/>
      </w:pPr>
      <w:r>
        <w:rPr>
          <w:rFonts w:ascii="Times New Roman" w:hAnsi="Times New Roman"/>
          <w:color w:val="000000"/>
          <w:sz w:val="32"/>
        </w:rPr>
        <w:t>The Mathematical Impossibility of Debt- Based Money</w:t>
      </w:r>
    </w:p>
    <w:p>
      <w:pPr>
        <w:ind w:firstLine="432"/>
      </w:pPr>
      <w:r>
        <w:t>The fundamental problem with debt-based monetary systems lies in their mathematical structure, which creates impossible conditions that ensure perpetual indebtedness and systematic wealth extraction. When money is created as debt with interest, the total amount owed always exceeds the total amount of money in circulation, making it mathematically impossible for all debts to be repaid simultaneously [4]. Consider a simplified example: if a bank creates $100 and lends it at 10% interest, the borrower owes $110, but only $100 exists in the entire monetary system. The additional $10 needed to pay the interest must come from somewhere, typically from other borrowers taking on additional debt. This creates a musical chairs scenario where some participants must inevitably lose [5]. This mathematical impossibility is not an accident or oversight but a deliberate feature of the system that ensures continuous wealth transfer from borrowers to lenders. The impossibility of universal debt repayment creates a permanent class of debtors who must work to</w:t>
      </w:r>
    </w:p>
    <w:p>
      <w:pPr>
        <w:ind w:firstLine="432"/>
      </w:pPr>
      <w:r>
        <w:t>service debts that can never be fully repaid, effectively creating a form of economic slavery [6]. The exponential nature of compound interest exacerbates this problem, as debts grow faster than the underlying economy’s ability to service them. This mathematical reality ensures that debt crises are not aberrations but inevitable features of the system that occur with predictable regularity [7].</w:t>
      </w:r>
    </w:p>
    <w:p>
      <w:pPr>
        <w:pStyle w:val="Heading2"/>
      </w:pPr>
      <w:r>
        <w:rPr>
          <w:rFonts w:ascii="Times New Roman" w:hAnsi="Times New Roman"/>
          <w:color w:val="000000"/>
          <w:sz w:val="32"/>
        </w:rPr>
        <w:t>National Debt and Sovereign Enslavement</w:t>
      </w:r>
    </w:p>
    <w:p>
      <w:pPr>
        <w:ind w:firstLine="432"/>
      </w:pPr>
      <w:r>
        <w:t>The application of debt-based monetary systems to sovereign nations creates a mechanism for international control that operates through financial rather than military means. When nations adopt central banking systems that create money as debt, they become trapped in cycles of borrowing that ultimately transfer control over national policy to international creditors [8]. The process typically begins with the establishment of a central bank that creates the national currency as debt owed to private banking interests. This immediately places the nation in debt for the privilege of using its own currency, creating a fundamental dependency relationship that grows over time [9]. As national debts grow, creditors gain increasing influence over government policy through loan conditions, structural adjustment programs, and the threat of financial crisis. This influence often extends to requirements for privatization of public assets, deregulation of industries, and implementation of policies that benefit international capital at the expense of national sovereignty [10]. The Greek debt crisis provides a clear example of how sovereign debt can be used to override democratic decision-making and impose policies that serve creditor interests. Despite multiple referendums and elections opposing austerity measures, the Greek government was forced to implement policies dictated by international creditors [11].</w:t>
      </w:r>
    </w:p>
    <w:p>
      <w:pPr>
        <w:pStyle w:val="Heading2"/>
      </w:pPr>
      <w:r>
        <w:rPr>
          <w:rFonts w:ascii="Times New Roman" w:hAnsi="Times New Roman"/>
          <w:color w:val="000000"/>
          <w:sz w:val="32"/>
        </w:rPr>
        <w:t>The Role of International Financial Institutions</w:t>
      </w:r>
    </w:p>
    <w:p>
      <w:pPr>
        <w:ind w:firstLine="432"/>
      </w:pPr>
      <w:r>
        <w:t>International financial institutions such as the International Monetary Fund (IMF), World Bank, and Bank for International Settlements (BIS) serve as enforcement mechanisms for the global debt slavery system. These institutions coordinate policies among national governments and central banks to ensure compliance with the debt-based monetary system [12]. The IMF’s structural adjustment programs exemplify how debt is used to impose policy changes that serve international capital interests. Countries seeking IMF assistance must agree to conditions that typically include privatization of public services, elimination of trade barriers, and implementation of austerity measures that reduce government spending on social programs [13]. The World Bank’s development lending creates dependencies that enable ongoing control over recipient nations’ economic policies. Loans for infrastructure and development projects often come with conditions that require the use of specific contractors, technologies, and policy frameworks that serve donor country interests [14]. The BIS coordinates monetary policy among central banks worldwide, ensuring that national monetary policies serve the interests of the international banking system rather than individual nations. This coordination enables synchronized policy implementation that prevents nations from escaping the debt-based system [15].</w:t>
      </w:r>
    </w:p>
    <w:p>
      <w:pPr>
        <w:pStyle w:val="Heading2"/>
      </w:pPr>
      <w:r>
        <w:rPr>
          <w:rFonts w:ascii="Times New Roman" w:hAnsi="Times New Roman"/>
          <w:color w:val="000000"/>
          <w:sz w:val="32"/>
        </w:rPr>
        <w:t>Corporate Debt and Business Enslavement</w:t>
      </w:r>
    </w:p>
    <w:p>
      <w:pPr>
        <w:ind w:firstLine="432"/>
      </w:pPr>
      <w:r>
        <w:t>The debt slavery system extends beyond governments to capture corporations and businesses through similar mechanisms of debt creation and control. Corporate debt financing creates dependencies that enable financial institutions to influence business decisions and extract wealth through interest payments and loan conditions [16]. Leveraged buyouts represent one of the most predatory forms of corporate debt slavery, where private equity firms purchase companies using borrowed money secured by the target company’s assets. The acquired company then becomes responsible for servicing the debt used to purchase it, often leading to asset stripping and bankruptcy [17]. The growth of corporate debt has created a situation where many large corporations spend more on debt service than on research and</w:t>
      </w:r>
    </w:p>
    <w:p>
      <w:pPr>
        <w:ind w:firstLine="432"/>
      </w:pPr>
      <w:r>
        <w:t>development, capital investment, or employee compensation. This debt burden constrains business decision-making and redirects corporate resources toward financial institutions [18]. Small businesses face particular challenges in the debt-based system, as they typically lack the resources and expertise to navigate complex financial arrangements. Predatory lending practices often target small businesses with high-interest loans and unfavorable terms that can lead to business failure and personal bankruptcy [19].</w:t>
      </w:r>
    </w:p>
    <w:p>
      <w:pPr>
        <w:pStyle w:val="Heading2"/>
      </w:pPr>
      <w:r>
        <w:rPr>
          <w:rFonts w:ascii="Times New Roman" w:hAnsi="Times New Roman"/>
          <w:color w:val="000000"/>
          <w:sz w:val="32"/>
        </w:rPr>
        <w:t>Personal Debt and Individual Enslavement</w:t>
      </w:r>
    </w:p>
    <w:p>
      <w:pPr>
        <w:ind w:firstLine="432"/>
      </w:pPr>
      <w:r>
        <w:t>Individual debt slavery operates through multiple mechanisms including mortgages, student loans, credit cards, and other forms of consumer debt that create long-term dependencies and constrain personal freedom. The promotion of debt as a normal and necessary part of modern life obscures its role as a control mechanism [20]. Mortgage debt represents the largest form of personal debt for most individuals, creating 30-year commitments that tie people to specific locations and employment situations. The structure of mortgage payments ensures that most of the early payments go toward interest rather than principal, maximizing the wealth transfer to lenders [21]. Student loan debt has grown exponentially in recent decades, creating a generation of young adults who begin their careers with substantial debt burdens that constrain their career choices and life decisions. The non-dischargeable nature of student loans in bankruptcy ensures that these debts follow borrowers throughout their lives [22]. Credit card debt operates through deliberately complex terms and conditions that obscure the true cost of borrowing while encouraging continuous spending. The minimum payment structure ensures that borrowers who make only minimum payments will remain in debt for decades while paying many times the original amount borrowed [23].</w:t>
      </w:r>
    </w:p>
    <w:p>
      <w:pPr>
        <w:pStyle w:val="Heading2"/>
      </w:pPr>
      <w:r>
        <w:rPr>
          <w:rFonts w:ascii="Times New Roman" w:hAnsi="Times New Roman"/>
          <w:color w:val="000000"/>
          <w:sz w:val="32"/>
        </w:rPr>
        <w:t>The Debt Collection Industry and Enforcement</w:t>
      </w:r>
    </w:p>
    <w:p>
      <w:pPr>
        <w:ind w:firstLine="432"/>
      </w:pPr>
      <w:r>
        <w:t>The debt collection industry serves as the enforcement arm of the debt slavery system, using legal and psychological pressure to extract payments from debtors who may lack the ability to pay. This industry has grown into a multi-billion dollar sector that profits from human financial distress [24]. Debt collection practices often involve harassment, intimidation, and legal threats designed to coerce payment regardless of the debtor’s financial circumstances. These practices disproportionately affect low- income individuals and families who lack the resources to defend themselves against aggressive collection efforts [25]. The legal system supports debt collection through mechanisms such as wage garnishment, asset seizure, and imprisonment for debt-related offenses. These enforcement mechanisms ensure that debtors cannot escape their obligations even when payment would cause severe hardship [26]. The securitization of debt has created additional layers of complexity that make it difficult for debtors to challenge the validity of their obligations or negotiate reasonable payment terms. When debts are sold and resold multiple times, the original creditor relationship is obscured and debtors lose recourse options [27].</w:t>
      </w:r>
    </w:p>
    <w:p>
      <w:pPr>
        <w:pStyle w:val="Heading2"/>
      </w:pPr>
      <w:r>
        <w:rPr>
          <w:rFonts w:ascii="Times New Roman" w:hAnsi="Times New Roman"/>
          <w:color w:val="000000"/>
          <w:sz w:val="32"/>
        </w:rPr>
        <w:t>Bankruptcy and the Illusion of Escape</w:t>
      </w:r>
    </w:p>
    <w:p>
      <w:pPr>
        <w:ind w:firstLine="432"/>
      </w:pPr>
      <w:r>
        <w:t>Bankruptcy laws are often presented as providing relief for overwhelmed debtors, but the reality is that bankruptcy serves the interests of the debt slavery system by providing controlled release valves that prevent systemic collapse while preserving the fundamental structure of debt-based control [28]. The bankruptcy process is deliberately complex and expensive, requiring legal representation that many debtors cannot afford. This complexity ensures that bankruptcy remains inaccessible to many who might benefit from debt relief while generating profits for the legal and financial services industries [29]. Recent changes to bankruptcy laws have made it more difficult to discharge debts and have extended the time periods required for debt relief. These changes reflect the influence of creditor interests over the legislative process and demonstrate how the system adapts to maintain control [30].</w:t>
      </w:r>
    </w:p>
    <w:p>
      <w:pPr>
        <w:ind w:firstLine="432"/>
      </w:pPr>
      <w:r>
        <w:t>Even successful bankruptcy often fails to provide genuine relief, as many debts cannot be discharged and the credit damage from bankruptcy creates long-term consequences that affect employment, housing, and access to financial services [31].</w:t>
      </w:r>
    </w:p>
    <w:p>
      <w:pPr>
        <w:pStyle w:val="Heading2"/>
      </w:pPr>
      <w:r>
        <w:rPr>
          <w:rFonts w:ascii="Times New Roman" w:hAnsi="Times New Roman"/>
          <w:color w:val="000000"/>
          <w:sz w:val="32"/>
        </w:rPr>
        <w:t>The Psychology of Debt Slavery</w:t>
      </w:r>
    </w:p>
    <w:p>
      <w:pPr>
        <w:ind w:firstLine="432"/>
      </w:pPr>
      <w:r>
        <w:t>The debt slavery system relies heavily on psychological manipulation to maintain compliance and prevent resistance. Debt is promoted as normal and necessary while the mathematical impossibilities and systemic exploitation are hidden from public understanding [32]. Shame and stigma associated with debt problems prevent many people from seeking help or discussing their situations with others. This isolation makes it difficult for debtors to recognize that their problems are systemic rather than personal failures [33]. The complexity of financial products and terms is deliberately designed to obscure the true costs and risks of borrowing. This complexity prevents informed decision-making and enables predatory lending practices that would be rejected if their true nature were understood [34]. Marketing and advertising promote consumption and borrowing as paths to happiness and success while hiding the long-term consequences of debt accumulation. This messaging creates cultural expectations that normalize debt slavery and discourage alternatives [35].</w:t>
      </w:r>
    </w:p>
    <w:p>
      <w:pPr>
        <w:pStyle w:val="Heading2"/>
      </w:pPr>
      <w:r>
        <w:rPr>
          <w:rFonts w:ascii="Times New Roman" w:hAnsi="Times New Roman"/>
          <w:color w:val="000000"/>
          <w:sz w:val="32"/>
        </w:rPr>
        <w:t>Historical Examples of Debt Slavery</w:t>
      </w:r>
    </w:p>
    <w:p>
      <w:pPr>
        <w:ind w:firstLine="432"/>
      </w:pPr>
      <w:r>
        <w:t>Throughout history, debt has been used as a mechanism for control and exploitation, with patterns that repeat across different cultures and time periods. Understanding these historical examples reveals that modern debt slavery is not a new phenomenon but a continuation of ancient practices [36]. Ancient Mesopotamian societies developed sophisticated debt slavery systems that enabled creditors to claim the labor and property of debtors who could not repay their obligations. These systems required periodic debt jubilees to prevent complete social collapse [37].</w:t>
      </w:r>
    </w:p>
    <w:p>
      <w:pPr>
        <w:ind w:firstLine="432"/>
      </w:pPr>
      <w:r>
        <w:t>The Roman Empire’s expansion was facilitated by debt relationships that enabled the extraction of wealth from conquered territories through financial rather than purely military means. Roman debt practices contributed to social instability and eventual imperial collapse [38]. Colonial powers used debt relationships to maintain control over former colonies after formal independence, creating neo-colonial arrangements that preserved economic dependence while providing the appearance of political freedom [39].</w:t>
      </w:r>
    </w:p>
    <w:p>
      <w:pPr>
        <w:pStyle w:val="Heading2"/>
      </w:pPr>
      <w:r>
        <w:rPr>
          <w:rFonts w:ascii="Times New Roman" w:hAnsi="Times New Roman"/>
          <w:color w:val="000000"/>
          <w:sz w:val="32"/>
        </w:rPr>
        <w:t>Modern Debt Colonialism</w:t>
      </w:r>
    </w:p>
    <w:p>
      <w:pPr>
        <w:ind w:firstLine="432"/>
      </w:pPr>
      <w:r>
        <w:t>Contemporary debt relationships between developed and developing nations continue colonial patterns of exploitation through financial mechanisms. International debt creates dependencies that enable ongoing resource extraction and policy control [40]. The debt crisis of the 1980s demonstrated how international debt could be used to impose structural adjustment programs that opened developing economies to foreign exploitation while reducing government capacity to serve citizen needs [41]. China’s Belt and Road Initiative represents a modern form of debt colonialism, where infrastructure loans create dependencies that can be leveraged for political and economic concessions. When countries cannot repay these loans, they may be forced to surrender control over strategic assets [42]. Debt trap diplomacy enables creditor nations to gain influence over debtor countries’ foreign policy decisions and strategic resources. This influence operates through financial pressure rather than military force but achieves similar results [43].</w:t>
      </w:r>
    </w:p>
    <w:p>
      <w:pPr>
        <w:pStyle w:val="Heading2"/>
      </w:pPr>
      <w:r>
        <w:rPr>
          <w:rFonts w:ascii="Times New Roman" w:hAnsi="Times New Roman"/>
          <w:color w:val="000000"/>
          <w:sz w:val="32"/>
        </w:rPr>
        <w:t>The Environmental Cost of Debt Slavery</w:t>
      </w:r>
    </w:p>
    <w:p>
      <w:pPr>
        <w:ind w:firstLine="432"/>
      </w:pPr>
      <w:r>
        <w:t>The debt slavery system’s requirement for continuous economic growth to service ever-increasing debt loads creates environmental pressures that threaten ecological sustainability. The mathematical impossibility of infinite growth on a finite planet ensures that the debt system will eventually face environmental limits [44].</w:t>
      </w:r>
    </w:p>
    <w:p>
      <w:pPr>
        <w:ind w:firstLine="432"/>
      </w:pPr>
      <w:r>
        <w:t>Resource extraction industries are often driven by debt service requirements that prioritize short-term revenue generation over long- term environmental sustainability. Companies burdened with debt may engage in environmentally destructive practices to generate the cash flow needed for debt service [45]. The pressure for continuous growth created by debt-based monetary systems prevents the implementation of sustainable economic models that operate within ecological limits. Any reduction in economic growth threatens the ability to service existing debts and can trigger financial crises [46]. Environmental degradation creates additional costs and risks that are typically not reflected in debt calculations, creating a form of intergenerational debt slavery where future generations inherit both financial and environmental obligations [47].</w:t>
      </w:r>
    </w:p>
    <w:p>
      <w:pPr>
        <w:pStyle w:val="Heading2"/>
      </w:pPr>
      <w:r>
        <w:rPr>
          <w:rFonts w:ascii="Times New Roman" w:hAnsi="Times New Roman"/>
          <w:color w:val="000000"/>
          <w:sz w:val="32"/>
        </w:rPr>
        <w:t>Alternative Monetary Systems and Solutions</w:t>
      </w:r>
    </w:p>
    <w:p>
      <w:pPr>
        <w:ind w:firstLine="432"/>
      </w:pPr>
      <w:r>
        <w:t>Historical examples of successful monetary systems that operated without creating debt slavery demonstrate that alternatives to the current system are both possible and practical. These examples provide blueprints for escaping the debt slavery system [48]. The American colonial script system enabled economic prosperity without central bank debt by allowing colonial governments to issue money directly for public works and economic development. This system avoided the mathematical impossibilities of debt-based money creation [49]. Lincoln’s greenback system demonstrated that governments could issue money directly without borrowing from private banks. This system financed the Civil War without creating unpayable debt burdens and enabled rapid economic development [50]. Islamic banking principles prohibit interest-based lending and require risk-sharing arrangements that avoid the mathematical impossibilities of debt-based systems. These principles provide frameworks for ethical financial systems that serve productive purposes [51].</w:t>
      </w:r>
    </w:p>
    <w:p>
      <w:pPr>
        <w:pStyle w:val="Heading2"/>
      </w:pPr>
      <w:r>
        <w:rPr>
          <w:rFonts w:ascii="Times New Roman" w:hAnsi="Times New Roman"/>
          <w:color w:val="000000"/>
          <w:sz w:val="32"/>
        </w:rPr>
        <w:t>Constitutional Solutions and Legal Frameworks</w:t>
      </w:r>
    </w:p>
    <w:p>
      <w:pPr>
        <w:ind w:firstLine="432"/>
      </w:pPr>
      <w:r>
        <w:t>Constitutional provisions that restore monetary authority to democratically accountable institutions provide the legal framework necessary to escape debt slavery. These provisions must address both the creation of money and the regulation of debt relationships [52]. The U.S. Constitution’s delegation of monetary authority to Congress rather than private banks provides the legal basis for eliminating the Federal Reserve system and returning money creation to public control. This constitutional authority has been unconstitutionally delegated to private interests [53]. Legal frameworks that limit interest rates, regulate debt collection practices, and provide meaningful bankruptcy relief can reduce the harmful effects of debt slavery while preserving legitimate credit relationships. These frameworks must address the power imbalances inherent in creditor-debtor relationships [54]. International legal frameworks that address debt slavery and predatory lending can provide protection for developing nations and individuals who lack the power to resist exploitative debt relationships. These frameworks must recognize debt slavery as a human rights violation [55].</w:t>
      </w:r>
    </w:p>
    <w:p>
      <w:pPr>
        <w:pStyle w:val="Heading2"/>
      </w:pPr>
      <w:r>
        <w:rPr>
          <w:rFonts w:ascii="Times New Roman" w:hAnsi="Times New Roman"/>
          <w:color w:val="000000"/>
          <w:sz w:val="32"/>
        </w:rPr>
        <w:t>Key Quotes</w:t>
      </w:r>
    </w:p>
    <w:p>
      <w:pPr>
        <w:ind w:firstLine="432"/>
      </w:pPr>
      <w:r>
        <w:t>“The modern banking system manufactures money out of nothing. The process is perhaps the most astounding piece of sleight of hand that was ever invented.” - Major L.L.B. Angus “If the American people ever allow private banks to control the issue of their currency, first by inflation, then by deflation, the banks and corporations that will grow up around them will deprive the people of all property until their children wake up homeless on the continent their Fathers conquered.” - Thomas Jefferson “The few who understand the system will either be so interested in its profits or be so dependent upon its favours that there will be no opposition from that class, while on the other hand, the great body of</w:t>
      </w:r>
    </w:p>
    <w:p>
      <w:pPr>
        <w:ind w:firstLine="432"/>
      </w:pPr>
      <w:r>
        <w:t>people, mentally incapable of comprehending the tremendous advantage that capital derives from the system, will bear its burdens without complaint.” - Rothschild Brothers of London “Debt is the slavery of the free.” - Publilius Syrus “The borrower is servant to the lender.” - Proverbs 22:7</w:t>
      </w:r>
    </w:p>
    <w:p>
      <w:pPr>
        <w:pStyle w:val="Heading2"/>
      </w:pPr>
      <w:r>
        <w:rPr>
          <w:rFonts w:ascii="Times New Roman" w:hAnsi="Times New Roman"/>
          <w:color w:val="000000"/>
          <w:sz w:val="32"/>
        </w:rPr>
        <w:t>Real-World Examples</w:t>
      </w:r>
    </w:p>
    <w:p>
      <w:pPr>
        <w:ind w:firstLine="432"/>
      </w:pPr>
      <w:r>
        <w:t>Example 1: The Greek Debt Crisis (2010-2018) Greece’s debt crisis demonstrated how sovereign debt can be used to override democratic decision-making and impose policies that serve creditor interests. Despite multiple referendums and elections opposing austerity measures, the Greek government was forced to implement privatization programs, pension cuts, and other policies dictated by international creditors. The crisis showed how debt can be used to eliminate national sovereignty and democratic governance. Example 2: Student Loan Debt in the United States The growth of student loan debt from $260 billion in 2004 to over $1.7 trillion in 2024 demonstrates how debt slavery operates at the individual level. Students are encouraged to borrow money for education with promises of increased earning potential, but many graduates find themselves unable to repay their loans and trapped in cycles of debt that constrain their life choices for decades. Example 3: Argentina’s Debt Default Cycles Argentina’s repeated debt defaults and restructurings illustrate how the debt slavery system operates at the national level. Despite multiple defaults and debt restructurings, Argentina remains trapped in cycles of borrowing and crisis that prevent sustainable economic development and maintain the country’s dependence on international creditors.</w:t>
      </w:r>
    </w:p>
    <w:p>
      <w:pPr>
        <w:pStyle w:val="Heading2"/>
      </w:pPr>
      <w:r>
        <w:rPr>
          <w:rFonts w:ascii="Times New Roman" w:hAnsi="Times New Roman"/>
          <w:color w:val="000000"/>
          <w:sz w:val="32"/>
        </w:rPr>
        <w:t>References and Sources</w:t>
      </w:r>
    </w:p>
    <w:p>
      <w:pPr>
        <w:ind w:firstLine="432"/>
      </w:pPr>
      <w:r>
        <w:t>[1] Hudson, Michael. “…and forgive them their debts: Lending, Foreclosure and Redemption From Bronze Age Finance to the Jubilee Year.” ISLET, 2018. [2] Brown, Ellen Hodgson. “Web of Debt: The Shocking Truth About Our Money System and How We Can Break Free.” Third Millennium Press, 2007. [3] Graeber, David. “Debt: The First 5,000 Years.” Melville House, 2011. [4] Zarlenga, Stephen A. “The Lost Science of Money: The Mythology of Money, the Story of Power.” American Monetary Institute, 2002. [5] Soddy, Frederick. “Wealth, Virtual Wealth and Debt: The Solution of the Economic Paradox.” George Allen &amp; Unwin, 1926. [6] Keen, Steve. “Debunking Economics: The Naked Emperor Dethroned?” Zed Books, 2011. [7] Minsky, Hyman P. “Stabilizing an Unstable Economy.” Yale University Press, 1986. [8] Perkins, John. “Confessions of an Economic Hit Man.” Berrett-Koehler Publishers, 2004. [9] Griffin, G. Edward. “The Creature from Jekyll Island: A Second Look at the Federal Reserve.” American Media, 2010. [10] Stiglitz, Joseph E. “Globalization and Its Discontents.” W. W. Norton &amp; Company, 2002. [11] Varoufakis, Yanis. “Adults in the Room: My Battle with Europe’s Deep Establishment.” Farrar, Straus and Giroux, 2017. [12] Payer, Cheryl. “The Debt Trap: The International Monetary Fund and the Third World.” Monthly Review Press, 1974. [13] Structural Adjustment Participatory Review International Network. “The Policy Roots of Economic Crisis and Poverty.” SAPRIN, 2004. [14] Goldman, Michael. “Imperial Nature: The World Bank and Struggles for Social Justice in the Age of Globalization.” Yale University Press, 2005. [15] Baker, Andrew. “The Group of Seven: Finance Ministries, Central Banks and Global Financial Governance.” Routledge, 2006.</w:t>
      </w:r>
    </w:p>
    <w:p>
      <w:pPr>
        <w:ind w:firstLine="432"/>
      </w:pPr>
      <w:r>
        <w:t>[16] Krippner, Greta R. “Capitalizing on Crisis: The Political Origins of the Rise of Finance.” Harvard University Press, 2011. [17] Appelbaum, Eileen, and Rosemary Batt. “Private Equity at Work: When Wall Street Manages Main Street.” Russell Sage Foundation, 2014. [18] Lazonick, William. “Profits Without Prosperity.” Harvard Business Review, September 2014. [19] Small Business Administration. “Small Business Credit Survey.” Federal Reserve Banks, 2023. [20] Manning, Robert D. “Credit Card Nation: The Consequences of America’s Addiction to Credit.” Basic Books, 2000. [21] Federal Reserve Bank of St. Louis. “Household Debt Service Payments as a Percent of Disposable Personal Income.” FRED Economic Data, 2024. [22] Federal Reserve Bank of New York. “Quarterly Report on Household Debt and Credit.” Research and Statistics Group, 2024. [23] Consumer Financial Protection Bureau. “Credit Card Market Report.” Annual Report, 2023. [24] Federal Trade Commission. “Fair Debt Collection Practices Act Annual Report.” Consumer Protection Bureau, 2023. [25] Consumer Financial Protection Bureau. “Fair Debt Collection Practices Act Annual Report.” CFPB, 2023. [26] National Consumer Law Center. “No Fresh Start: How the Debt Collection Industry Harms Consumers.” Policy Report, 2023. [27] Hockett, Robert C., and Saule T. Omarova. “The Finance Franchise.” Cornell Law Review, 2017. [28] Warren, Elizabeth, and Amelia Warren Tyagi. “The Two-Income Trap: Why Middle-Class Parents are Going Broke.” Basic Books, 2003. [29] American Bankruptcy Institute. “Consumer Bankruptcy Reform: Protecting Families’ Financial Fresh Start.” Policy Report, 2023. [30] Government Accountability Office. “Personal Bankruptcy: Analysis of the Bankruptcy Abuse Prevention and Consumer Protection Act.”</w:t>
      </w:r>
    </w:p>
    <w:p>
      <w:pPr>
        <w:ind w:firstLine="432"/>
      </w:pPr>
      <w:r>
        <w:t>GAO-08-697, 2008. [31] Federal Reserve Bank of Philadelphia. “Measuring the Effect of the Bankruptcy Abuse Prevention and Consumer Protection Act.” Working Paper, 2023. [32] Schor, Juliet B. “The Overspent American: Why We Want What We Don’t Need.” Harper Perennial, 1999. [33] Sweet, Elizabeth. “The Sociology of Debt: States, Credit Markets, and Indebted Citizens.” Sociology Compass, 2018. [34] Bar-Gill, Oren. “Seduction by Contract: Law, Economics, and Psychology in Consumer Markets.” Oxford University Press, 2012. [35] Baudrillard, Jean. “The Consumer Society: Myths and Structures.” Sage Publications, 1998. [36] Hudson, Michael. “The Collapse of Antiquity: Greece and Rome as Civilization’s Oligarchic Turning Point.” ISLET, 2023. [37] Steinkeller, Piotr. “The Role of Institutional Factors in the Development of Early Mesopotamian Economy.” Journal of Economic History, 2004. [38] Foldvary, Fred. “The Roman Republic and the Theory of Public Goods.” Journal of Economic History, 1999. [39] Rodney, Walter. “How Europe Underdeveloped Africa.” Howard University Press, 1972. [40] Hickel, Jason. “The Divide: Global Inequality from Conquest to Free Markets.” W. W. Norton &amp; Company, 2017. [41] George, Susan. “A Fate Worse Than Debt: The World Financial Crisis and the Poor.” Grove Press, 1988. [42] Chellaney, Brahma. “China’s Debt-Trap Diplomacy.” Project Syndicate, 2017. [43] Parker, Sam, and Gabrielle Chefitz. “Debtbook Diplomacy: China’s Strategic Leveraging of its Newfound Economic Influence.” Belfer Center for Science and International Affairs, 2018.</w:t>
      </w:r>
    </w:p>
    <w:p>
      <w:pPr>
        <w:ind w:firstLine="432"/>
      </w:pPr>
      <w:r>
        <w:t>[44] Jackson, Tim. “Prosperity without Growth: Foundations for the Economy of Tomorrow.” Routledge, 2017. [45] Korten, David C. “When Corporations Rule the World.” Berrett- Koehler Publishers, 2015. [46] Victor, Peter A. “Managing without Growth: Slower by Design, not Disaster.” Edward Elgar Publishing, 2008. [47] Daly, Herman E. “Beyond Growth: The Economics of Sustainable Development.” Beacon Press, 1996. [48] Lietaer, Bernard A. “The Future of Money: Creating New Wealth, Work and a Wiser World.” Random House, 2001. [49] Benson, Lee. “The Concept of Jacksonian Democracy: New York as a Test Case.” Princeton University Press, 1961. [50] Unger, Irwin. “The Greenback Era: A Social and Political History of American Finance.” Princeton University Press, 1964. [51] Iqbal, Munawar, and Philip Molyneux. “Thirty Years of Islamic Banking: History, Performance and Prospects.” Palgrave Macmillan, 2005. [52] Vieira, Edwin Jr. “Pieces of Eight: The Monetary Powers and Disabilities of the United States Constitution.” ReviveAmerica.com, 2002. [53] Constitutional Convention Records. “Debates on Monetary Powers.” Madison’s Notes, 1787. [54] National Consumer Law Center. “Consumer Credit Regulation.” Legal Manual, 2023. [55] United Nations. “Guiding Principles on Foreign Debt and Human Rights.” Human Rights Council, 2019.</w:t>
      </w:r>
    </w:p>
    <w:p>
      <w:pPr>
        <w:pStyle w:val="Heading2"/>
      </w:pPr>
      <w:r>
        <w:rPr>
          <w:rFonts w:ascii="Times New Roman" w:hAnsi="Times New Roman"/>
          <w:color w:val="000000"/>
          <w:sz w:val="32"/>
        </w:rPr>
        <w:t>Suggested Further Research</w:t>
      </w:r>
    </w:p>
    <w:p>
      <w:pPr>
        <w:ind w:firstLine="432"/>
      </w:pPr>
      <w:r>
        <w:t>1. “Debt: The First 5,000 Years” by David Graeber - Comprehensive historical analysis of debt relationships and their social implications.</w:t>
      </w:r>
    </w:p>
    <w:p>
      <w:pPr>
        <w:ind w:firstLine="432"/>
      </w:pPr>
      <w:r>
        <w:t>2. “Web of Debt” by Ellen Hodgson Brown - Examination of how the monetary system creates debt slavery and alternative solutions. 3. “Confessions of an Economic Hit Man” by John Perkins - First-hand account of how debt is used to control developing nations. 4. “…and forgive them their debts” by Michael Hudson - Historical analysis of debt forgiveness and jubilee traditions. 5. Federal Reserve Economic Data (FRED) - Comprehensive database of debt statistics and economic indicators. 6. “The Creature from Jekyll Island” by G. Edward Griffin - Analysis of the Federal Reserve system and debt-based money creation. 7. Consumer Financial Protection Bureau Reports - Official data and analysis of consumer debt problems and predatory lending practices.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8: Judicial Corruption and the Collapse of Rule of Law</w:t>
      </w:r>
    </w:p>
    <w:p>
      <w:pPr>
        <w:pStyle w:val="Heading2"/>
      </w:pPr>
      <w:r>
        <w:rPr>
          <w:rFonts w:ascii="Times New Roman" w:hAnsi="Times New Roman"/>
          <w:color w:val="000000"/>
          <w:sz w:val="32"/>
        </w:rPr>
        <w:t>and the Collapse of Rule of Law Introduction</w:t>
      </w:r>
    </w:p>
    <w:p>
      <w:pPr>
        <w:ind w:firstLine="432"/>
      </w:pPr>
      <w:r>
        <w:t>The systematic corruption of judicial systems worldwide represents one of the most fundamental problems undermining democratic governance and constitutional protection of human rights. This chapter identifies the core problem of how courts have been captured by the same</w:t>
      </w:r>
    </w:p>
    <w:p>
      <w:pPr>
        <w:ind w:firstLine="432"/>
      </w:pPr>
      <w:r>
        <w:t>interests that control financial and political systems, transforming institutions designed to protect justice into mechanisms that serve elite interests while maintaining the appearance of legal legitimacy [1]. The problem extends far beyond individual cases of judicial misconduct to encompass systematic institutional capture that has fundamentally altered the nature of legal systems. Courts that were designed to serve as independent arbiters of justice have become components of the shadow matrix, serving private interests while using the authority and legitimacy of law to enforce compliance [2]. Understanding this problem is essential for recognizing why legal remedies have proven inadequate for addressing the systematic abuses documented in previous chapters. When the institutions responsible for enforcing law and protecting rights have themselves been captured, traditional legal approaches become ineffective and alternative frameworks become necessary [3].</w:t>
      </w:r>
    </w:p>
    <w:p>
      <w:pPr>
        <w:pStyle w:val="Heading2"/>
      </w:pPr>
      <w:r>
        <w:rPr>
          <w:rFonts w:ascii="Times New Roman" w:hAnsi="Times New Roman"/>
          <w:color w:val="000000"/>
          <w:sz w:val="32"/>
        </w:rPr>
        <w:t>The Theoretical Foundation of Judicial Independence</w:t>
      </w:r>
    </w:p>
    <w:p>
      <w:pPr>
        <w:ind w:firstLine="432"/>
      </w:pPr>
      <w:r>
        <w:t>The concept of judicial independence represents one of the fundamental principles of constitutional governance, designed to ensure that courts can serve as neutral arbiters of disputes and protectors of constitutional rights without interference from political or economic interests. This independence requires both institutional structures and cultural norms that insulate judges from external pressures [4]. Judicial independence encompasses several key components: security of tenure that prevents removal for political reasons, financial security that prevents economic pressure, and administrative independence that prevents interference with court operations. These protections are designed to enable judges to make decisions based on law and evidence rather than external influences [5]. The separation of powers doctrine requires that judicial authority remain distinct from legislative and executive power, preventing the concentration of authority that could enable tyrannical governance. This separation depends on courts maintaining their independence and refusing to serve as instruments of political or economic power [6]. Constitutional protections for judicial independence reflect historical understanding that courts serve as the final bulwark against tyranny</w:t>
      </w:r>
    </w:p>
    <w:p>
      <w:pPr>
        <w:ind w:firstLine="432"/>
      </w:pPr>
      <w:r>
        <w:t>and abuse of power. When these protections fail, the entire constitutional system becomes vulnerable to capture and manipulation [7].</w:t>
      </w:r>
    </w:p>
    <w:p>
      <w:pPr>
        <w:pStyle w:val="Heading2"/>
      </w:pPr>
      <w:r>
        <w:rPr>
          <w:rFonts w:ascii="Times New Roman" w:hAnsi="Times New Roman"/>
          <w:color w:val="000000"/>
          <w:sz w:val="32"/>
        </w:rPr>
        <w:t>Mechanisms of Judicial Capture</w:t>
      </w:r>
    </w:p>
    <w:p>
      <w:pPr>
        <w:ind w:firstLine="432"/>
      </w:pPr>
      <w:r>
        <w:t>The capture of judicial systems operates through multiple mechanisms that compromise judicial independence while maintaining the appearance of legitimate legal process. These mechanisms include financial influence, political pressure, administrative control, and cultural conditioning that shapes judicial behavior [8]. Financial influence operates through campaign contributions to elected judges, speaking fees and honoraria, investment opportunities, and post-judicial employment prospects. These financial relationships create conflicts of interest that influence judicial decision-making while remaining largely hidden from public view [9]. Political pressure operates through appointment processes that prioritize ideological alignment over judicial qualifications, legislative threats to court jurisdiction or funding, and executive pressure through administrative mechanisms. These pressures ensure that judges understand the consequences of decisions that challenge powerful interests [10]. Administrative control operates through court administration systems that can influence case assignment, resource allocation, and procedural decisions. When court administration is controlled by interests that benefit from particular outcomes, the appearance of random case assignment and neutral procedure can mask systematic bias [11].</w:t>
      </w:r>
    </w:p>
    <w:p>
      <w:pPr>
        <w:pStyle w:val="Heading2"/>
      </w:pPr>
      <w:r>
        <w:rPr>
          <w:rFonts w:ascii="Times New Roman" w:hAnsi="Times New Roman"/>
          <w:color w:val="000000"/>
          <w:sz w:val="32"/>
        </w:rPr>
        <w:t>The Role of Legal Education and Professional Culture</w:t>
      </w:r>
    </w:p>
    <w:p>
      <w:pPr>
        <w:ind w:firstLine="432"/>
      </w:pPr>
      <w:r>
        <w:t>Legal education and professional culture play crucial roles in conditioning lawyers and judges to serve the interests of the shadow matrix while believing they are serving justice. Law schools teach students to work within existing systems rather than questioning their fundamental legitimacy or effectiveness [12]. The case method of legal education focuses on precedent and procedure rather than justice and equity, training lawyers to accept existing power</w:t>
      </w:r>
    </w:p>
    <w:p>
      <w:pPr>
        <w:ind w:firstLine="432"/>
      </w:pPr>
      <w:r>
        <w:t>structures as legitimate and to work within them rather than challenging their fundamental assumptions. This educational approach produces legal professionals who serve the system rather than justice [13]. Professional culture within the legal profession emphasizes conformity, hierarchy, and service to wealthy clients who can afford legal services. This culture creates incentives for lawyers to serve elite interests while discouraging advocacy for ordinary citizens or challenges to systematic injustice [14]. The revolving door between legal practice, government service, and judicial appointment creates networks of relationships that transcend formal institutional boundaries. These relationships enable coordination among legal professionals who share common interests and worldviews [15].</w:t>
      </w:r>
    </w:p>
    <w:p>
      <w:pPr>
        <w:pStyle w:val="Heading2"/>
      </w:pPr>
      <w:r>
        <w:rPr>
          <w:rFonts w:ascii="Times New Roman" w:hAnsi="Times New Roman"/>
          <w:color w:val="000000"/>
          <w:sz w:val="32"/>
        </w:rPr>
        <w:t>Corporate Influence and Regulatory Capture</w:t>
      </w:r>
    </w:p>
    <w:p>
      <w:pPr>
        <w:ind w:firstLine="432"/>
      </w:pPr>
      <w:r>
        <w:t>Corporate influence over judicial systems operates through multiple channels including direct lobbying, funding of judicial education programs, and the provision of legal research and analysis that shapes judicial understanding of complex issues. This influence is particularly pronounced in areas of law that affect corporate interests [16]. The American Legislative Exchange Council (ALEC) and similar organizations provide model legislation and judicial education programs that promote corporate-friendly interpretations of law while maintaining the appearance of neutral legal scholarship. These programs influence judicial thinking on key issues affecting corporate interests [17]. Corporate funding of legal research and think tanks creates a body of scholarship that appears independent but actually serves corporate interests. This scholarship influences judicial decision-making by providing seemingly authoritative analysis that supports corporate positions [18]. The complexity of modern corporate law creates dependencies on expert testimony and analysis that can be manipulated to serve corporate interests. When judges lack the technical expertise to evaluate</w:t>
      </w:r>
    </w:p>
    <w:p>
      <w:pPr>
        <w:ind w:firstLine="432"/>
      </w:pPr>
      <w:r>
        <w:t>complex financial or scientific evidence, they become dependent on expert witnesses who may have conflicts of interest [19].</w:t>
      </w:r>
    </w:p>
    <w:p>
      <w:pPr>
        <w:pStyle w:val="Heading2"/>
      </w:pPr>
      <w:r>
        <w:rPr>
          <w:rFonts w:ascii="Times New Roman" w:hAnsi="Times New Roman"/>
          <w:color w:val="000000"/>
          <w:sz w:val="32"/>
        </w:rPr>
        <w:t>International Coordination and Harmonization</w:t>
      </w:r>
    </w:p>
    <w:p>
      <w:pPr>
        <w:ind w:firstLine="432"/>
      </w:pPr>
      <w:r>
        <w:t>The harmonization of legal systems across national boundaries serves the interests of multinational corporations and international financial institutions by creating predictable legal environments that facilitate global business operations. However, this harmonization often occurs at the expense of national sovereignty and democratic accountability [20]. International trade agreements include investor-state dispute settlement (ISDS) mechanisms that enable corporations to challenge national laws and regulations in private arbitration panels. These panels operate outside normal judicial systems and can override democratic decision-making processes [21]. The development of international commercial law through organizations such as UNCITRAL creates legal frameworks that prioritize commercial interests over national sovereignty and democratic governance. These frameworks are developed through processes that lack democratic input or accountability [22]. International judicial cooperation agreements enable the coordination of legal decisions across national boundaries, potentially allowing powerful interests to forum shop for favorable jurisdictions while avoiding accountability in jurisdictions with stronger protections [23].</w:t>
      </w:r>
    </w:p>
    <w:p>
      <w:pPr>
        <w:pStyle w:val="Heading2"/>
      </w:pPr>
      <w:r>
        <w:rPr>
          <w:rFonts w:ascii="Times New Roman" w:hAnsi="Times New Roman"/>
          <w:color w:val="000000"/>
          <w:sz w:val="32"/>
        </w:rPr>
        <w:t>The Failure of Constitutional Protections</w:t>
      </w:r>
    </w:p>
    <w:p>
      <w:pPr>
        <w:ind w:firstLine="432"/>
      </w:pPr>
      <w:r>
        <w:t>Constitutional protections for judicial independence have proven inadequate to prevent systematic judicial capture, revealing fundamental flaws in constitutional design and implementation. These failures demonstrate the need for new approaches to protecting judicial independence and ensuring access to justice [24]. The appointment process for federal judges in the United States has become increasingly politicized, with appointments based more on ideological alignment than judicial qualifications. This politicization</w:t>
      </w:r>
    </w:p>
    <w:p>
      <w:pPr>
        <w:ind w:firstLine="432"/>
      </w:pPr>
      <w:r>
        <w:t>undermines the independence that constitutional protections were designed to ensure [25]. Lifetime tenure for federal judges, designed to ensure independence, has instead created opportunities for long-term influence through the strategic timing of appointments and retirements. This system enables political interests to shape judicial outcomes for decades through careful planning [26]. The complexity of modern legal systems has created opportunities for manipulation that the founders of constitutional systems could not have anticipated. When legal complexity makes it impossible for ordinary citizens to understand their rights and obligations, the law becomes a tool of oppression rather than protection [27].</w:t>
      </w:r>
    </w:p>
    <w:p>
      <w:pPr>
        <w:pStyle w:val="Heading2"/>
      </w:pPr>
      <w:r>
        <w:rPr>
          <w:rFonts w:ascii="Times New Roman" w:hAnsi="Times New Roman"/>
          <w:color w:val="000000"/>
          <w:sz w:val="32"/>
        </w:rPr>
        <w:t>Case Study: The 2008 Financial Crisis and Judicial Response</w:t>
      </w:r>
    </w:p>
    <w:p>
      <w:pPr>
        <w:ind w:firstLine="432"/>
      </w:pPr>
      <w:r>
        <w:t>The judicial response to the 2008 financial crisis provides a clear example of how captured courts serve elite interests while failing to provide justice for ordinary citizens. Despite massive fraud and criminal behavior by financial institutions, virtually no senior executives faced criminal prosecution [28]. The Department of Justice’s decision to pursue civil settlements rather than criminal prosecutions was enabled by a judicial system that had been conditioned to treat corporate crime as a regulatory matter rather than a criminal issue. This approach allowed criminal behavior to be resolved through financial payments that represented a cost of doing business [29]. The foreclosure crisis that followed the financial crisis revealed systematic fraud in mortgage documentation and foreclosure procedures, yet courts generally failed to hold financial institutions accountable for these violations. Instead, courts facilitated mass foreclosures that transferred wealth from homeowners to financial institutions [30]. The use of robo-signing and fraudulent documentation in foreclosure proceedings represented a systematic violation of due process rights, yet courts generally accepted these practices rather than challenging their legality. This acceptance demonstrated the extent to which courts had been captured by financial interests [31].</w:t>
      </w:r>
    </w:p>
    <w:p>
      <w:pPr>
        <w:pStyle w:val="Heading2"/>
      </w:pPr>
      <w:r>
        <w:rPr>
          <w:rFonts w:ascii="Times New Roman" w:hAnsi="Times New Roman"/>
          <w:color w:val="000000"/>
          <w:sz w:val="32"/>
        </w:rPr>
        <w:t>The Privatization of Justice</w:t>
      </w:r>
    </w:p>
    <w:p>
      <w:pPr>
        <w:ind w:firstLine="432"/>
      </w:pPr>
      <w:r>
        <w:t>The privatization of dispute resolution through mandatory arbitration clauses represents a systematic effort to remove disputes from public courts and place them in private forums that serve corporate interests. This privatization undermines access to justice while maintaining the appearance of legal process [32]. Mandatory arbitration clauses in consumer contracts, employment agreements, and other standard contracts force individuals to resolve disputes in private forums that are selected and paid for by corporations. These forums have strong incentives to favor corporate interests over individual rights [33]. The secrecy of arbitration proceedings prevents public oversight and accountability while enabling systematic bias in favor of corporate interests. When arbitration decisions are not made public, patterns of bias cannot be identified or challenged [34]. Class action waivers in arbitration clauses prevent individuals from joining together to challenge systematic corporate misconduct, effectively immunizing corporations from accountability for widespread harm that affects many people in small amounts [35].</w:t>
      </w:r>
    </w:p>
    <w:p>
      <w:pPr>
        <w:pStyle w:val="Heading2"/>
      </w:pPr>
      <w:r>
        <w:rPr>
          <w:rFonts w:ascii="Times New Roman" w:hAnsi="Times New Roman"/>
          <w:color w:val="000000"/>
          <w:sz w:val="32"/>
        </w:rPr>
        <w:t>The Criminalization of Poverty and Dissent</w:t>
      </w:r>
    </w:p>
    <w:p>
      <w:pPr>
        <w:ind w:firstLine="432"/>
      </w:pPr>
      <w:r>
        <w:t>The judicial system has increasingly been used as a mechanism for controlling poor and marginalized populations through the criminalization of poverty-related behaviors and the suppression of political dissent. This represents a fundamental perversion of the justice system’s purpose [36]. The use of fines and fees as revenue generation mechanisms creates incentives for courts to impose financial penalties that serve fiscal rather than justice purposes. When courts become dependent on fine revenue, they have incentives to criminalize behavior and impose penalties regardless of ability to pay [37]. Debtors’ prisons have effectively been recreated through the imprisonment of individuals who cannot pay court-imposed fines and fees. This practice violates constitutional prohibitions against</w:t>
      </w:r>
    </w:p>
    <w:p>
      <w:pPr>
        <w:ind w:firstLine="432"/>
      </w:pPr>
      <w:r>
        <w:t>imprisonment for debt while creating modern forms of debt slavery [38]. The surveillance and prosecution of political activists demonstrates how the judicial system can be weaponized against dissent. When courts fail to protect First Amendment rights and instead facilitate the prosecution of political speech, they become instruments of oppression [39].</w:t>
      </w:r>
    </w:p>
    <w:p>
      <w:pPr>
        <w:pStyle w:val="Heading2"/>
      </w:pPr>
      <w:r>
        <w:rPr>
          <w:rFonts w:ascii="Times New Roman" w:hAnsi="Times New Roman"/>
          <w:color w:val="000000"/>
          <w:sz w:val="32"/>
        </w:rPr>
        <w:t>International Examples of Judicial Capture</w:t>
      </w:r>
    </w:p>
    <w:p>
      <w:pPr>
        <w:ind w:firstLine="432"/>
      </w:pPr>
      <w:r>
        <w:t>Judicial capture is not limited to any single country but represents a global phenomenon that affects legal systems worldwide. Examining international examples reveals common patterns and mechanisms that transcend national boundaries [40]. The European Court of Justice’s decisions on economic issues consistently favor corporate interests and market integration over national sovereignty and democratic decision-making. This pattern reveals how international courts can serve elite interests while claiming to protect legal principles [41]. The International Criminal Court’s selective prosecution of African leaders while ignoring war crimes by Western powers demonstrates how international judicial institutions can serve geopolitical interests rather than justice. This selectivity undermines the legitimacy of international law [42]. The use of anti-terrorism laws to suppress political dissent in multiple countries demonstrates how judicial systems can be manipulated to serve political purposes while maintaining the appearance of legal legitimacy. These laws often receive judicial approval despite their obvious constitutional violations [43].</w:t>
      </w:r>
    </w:p>
    <w:p>
      <w:pPr>
        <w:pStyle w:val="Heading2"/>
      </w:pPr>
      <w:r>
        <w:rPr>
          <w:rFonts w:ascii="Times New Roman" w:hAnsi="Times New Roman"/>
          <w:color w:val="000000"/>
          <w:sz w:val="32"/>
        </w:rPr>
        <w:t>The Technology of Legal Control</w:t>
      </w:r>
    </w:p>
    <w:p>
      <w:pPr>
        <w:ind w:firstLine="432"/>
      </w:pPr>
      <w:r>
        <w:t>Modern technology has created new mechanisms for judicial control and manipulation that operate through data analysis, algorithmic decision- making, and digital surveillance. These technologies can influence judicial outcomes while remaining largely invisible to participants in the legal system [44].</w:t>
      </w:r>
    </w:p>
    <w:p>
      <w:pPr>
        <w:ind w:firstLine="432"/>
      </w:pPr>
      <w:r>
        <w:t>Predictive analytics and artificial intelligence systems are increasingly used in judicial decision-making for bail determinations, sentencing decisions, and case management. These systems can embed bias and serve particular interests while appearing to be neutral and objective [45]. Electronic court records and case management systems create opportunities for manipulation and surveillance that did not exist in paper-based systems. When these systems are controlled by private contractors, they can serve corporate interests rather than justice [46]. Digital surveillance capabilities enable the monitoring of judicial communications and decision-making processes in ways that can influence judicial behavior. When judges know their communications are being monitored, they may alter their behavior to avoid consequences [47].</w:t>
      </w:r>
    </w:p>
    <w:p>
      <w:pPr>
        <w:pStyle w:val="Heading2"/>
      </w:pPr>
      <w:r>
        <w:rPr>
          <w:rFonts w:ascii="Times New Roman" w:hAnsi="Times New Roman"/>
          <w:color w:val="000000"/>
          <w:sz w:val="32"/>
        </w:rPr>
        <w:t>Constitutional Solutions and Structural Reforms</w:t>
      </w:r>
    </w:p>
    <w:p>
      <w:pPr>
        <w:ind w:firstLine="432"/>
      </w:pPr>
      <w:r>
        <w:t>Addressing judicial capture requires fundamental structural reforms that go beyond traditional approaches to judicial independence. These reforms must address the systematic nature of the problem while creating new mechanisms for accountability and transparency [48]. Constitutional provisions that ensure genuine judicial independence must address not only formal protections but also the practical mechanisms through which influence operates. This includes transparency requirements, conflict of interest rules, and accountability mechanisms [49]. The creation of citizen oversight mechanisms for judicial conduct can provide accountability that does not depend on the same institutions that have been captured. These mechanisms must have real power to investigate and address judicial misconduct [50]. Alternative dispute resolution mechanisms that operate outside captured court systems can provide access to justice while avoiding the biases and conflicts of interest that affect traditional courts. These alternatives must be designed to serve justice rather than elite interests [51].</w:t>
      </w:r>
    </w:p>
    <w:p>
      <w:pPr>
        <w:pStyle w:val="Heading2"/>
      </w:pPr>
      <w:r>
        <w:rPr>
          <w:rFonts w:ascii="Times New Roman" w:hAnsi="Times New Roman"/>
          <w:color w:val="000000"/>
          <w:sz w:val="32"/>
        </w:rPr>
        <w:t>The Role of Constitutional Tribunals</w:t>
      </w:r>
    </w:p>
    <w:p>
      <w:pPr>
        <w:ind w:firstLine="432"/>
      </w:pPr>
      <w:r>
        <w:t>Constitutional tribunals that operate independently of traditional court systems can provide mechanisms for enforcing constitutional rights when regular courts have been captured. These tribunals must be designed with strong independence protections and citizen accountability [52]. The South African Constitutional Court provides an example of how constitutional tribunals can be designed to protect rights and ensure accountability. However, even these institutions face pressures and must be constantly defended against capture [53]. Citizen tribunals that operate based on constitutional authority can provide alternative mechanisms for addressing systematic violations of rights when traditional courts fail to provide remedies. These tribunals must be grounded in constitutional law and democratic accountability [54]. The International Plebeian Cultural Tribunal represents an innovative approach to constitutional enforcement that operates outside captured national court systems while maintaining legitimacy through constitutional authority and citizen participation [55].</w:t>
      </w:r>
    </w:p>
    <w:p>
      <w:pPr>
        <w:pStyle w:val="Heading2"/>
      </w:pPr>
      <w:r>
        <w:rPr>
          <w:rFonts w:ascii="Times New Roman" w:hAnsi="Times New Roman"/>
          <w:color w:val="000000"/>
          <w:sz w:val="32"/>
        </w:rPr>
        <w:t>Key Quotes</w:t>
      </w:r>
    </w:p>
    <w:p>
      <w:pPr>
        <w:ind w:firstLine="432"/>
      </w:pPr>
      <w:r>
        <w:t>“The judiciary is the safeguard of our liberty and of our property under the Constitution.” - Charles Evans Hughes “Justice delayed is justice denied.” - William E. Gladstone “The courts are the final arbiters of the meaning of our Constitution and laws, and they must be independent of political pressure.” - Sandra Day O’Connor “When the courts fail to protect constitutional rights, the people must find alternative mechanisms for justice.” - Thurgood Marshall “A judiciary that serves power rather than justice is no judiciary at all.” - William O. Douglas</w:t>
      </w:r>
    </w:p>
    <w:p>
      <w:pPr>
        <w:pStyle w:val="Heading2"/>
      </w:pPr>
      <w:r>
        <w:rPr>
          <w:rFonts w:ascii="Times New Roman" w:hAnsi="Times New Roman"/>
          <w:color w:val="000000"/>
          <w:sz w:val="32"/>
        </w:rPr>
        <w:t>Real-World Examples</w:t>
      </w:r>
    </w:p>
    <w:p>
      <w:pPr>
        <w:ind w:firstLine="432"/>
      </w:pPr>
      <w:r>
        <w:t>Example 1: Citizens United v. FEC (2010) The Supreme Court’s decision in Citizens United v. FEC demonstrated how captured courts can fundamentally alter democratic governance by removing restrictions on corporate political spending. The decision ignored the corrupting influence of money in politics while claiming to protect free speech, showing how constitutional principles can be manipulated to serve elite interests. Example 2: The Foreclosure Crisis (2008-2012) During the foreclosure crisis following the 2008 financial meltdown, courts across the United States facilitated mass foreclosures despite widespread evidence of fraudulent documentation and procedural violations. Courts generally accepted robo-signed documents and failed to hold financial institutions accountable for systematic violations of due process rights. Example 3: Investor-State Dispute Settlement (ISDS) Cases ISDS arbitration panels have consistently ruled in favor of corporate interests over national sovereignty and democratic decision-making. Cases such as Philip Morris v. Australia and Vattenfall v. Germany demonstrate how private arbitration panels can override democratic decisions and constitutional protections in favor of corporate profits.</w:t>
      </w:r>
    </w:p>
    <w:p>
      <w:pPr>
        <w:pStyle w:val="Heading2"/>
      </w:pPr>
      <w:r>
        <w:rPr>
          <w:rFonts w:ascii="Times New Roman" w:hAnsi="Times New Roman"/>
          <w:color w:val="000000"/>
          <w:sz w:val="32"/>
        </w:rPr>
        <w:t>References and Sources</w:t>
      </w:r>
    </w:p>
    <w:p>
      <w:pPr>
        <w:ind w:firstLine="432"/>
      </w:pPr>
      <w:r>
        <w:t>[1] Burbank, Stephen B., and Barry Friedman. “Judicial Independence: Synthesis and Scholarship.” University of Chicago Press, 2002. [2] Gargarella, Roberto. “Courts and Social Transformation in New Democracies.” Ashgate Publishing, 2006. [3] Rosenberg, Gerald N. “The Hollow Hope: Can Courts Bring About Social Change?” University of Chicago Press, 2008.</w:t>
      </w:r>
    </w:p>
    <w:p>
      <w:pPr>
        <w:ind w:firstLine="432"/>
      </w:pPr>
      <w:r>
        <w:t>[4] Russell, Peter H. “Toward a General Theory of Judicial Independence.” University of Toronto Press, 2001. [5] Shetreet, Shimon, and Jules Deschênes. “Judicial Independence: The Contemporary Debate.” Martinus Nijhoff Publishers, 1985. [6] Vile, M.J.C. “Constitutionalism and the Separation of Powers.” Oxford University Press, 1967. [7] Hamilton, Alexander. “The Federalist No. 78: The Judiciary Department.” Independent Journal, 1788. [8] Geyh, Charles Gardner. “When Courts and Congress Collide: The Struggle for Control of America’s Judicial System.” University of Michigan Press, 2006. [9] Sample, James A., et al. “The New Politics of Judicial Elections 2000- 2009.” Justice at Stake Campaign, 2010. [10] Epstein, Lee, et al. “The Behavior of Federal Judges: A Theoretical and Empirical Study of Rational Choice.” Harvard University Press, 2013. [11] Wheeler, Russell R., and Howard R. Whitcomb. “Judicial Administration: Text and Readings.” Prentice Hall, 1977. [12] Kronman, Anthony T. “The Lost Lawyer: Failing Ideals of the Legal Profession.” Harvard University Press, 1993. [13] Stevens, Robert. “Law School: Legal Education in America from the 1850s to the 1980s.” University of North Carolina Press, 1983. [14] Galanter, Marc. “Why the ‘Haves’ Come Out Ahead: Speculations on the Limits of Legal Change.” Law &amp; Society Review, 1974. [15] Heinz, John P., et al. “Urban Lawyers: The New Social Structure of the Bar.” University of Chicago Press, 2005. [16] Hacker, Jacob S., and Paul Pierson. “Winner-Take-All Politics: How Washington Made the Rich Richer.” Simon &amp; Schuster, 2010. [17] American Legislative Exchange Council. “Model Legislation and Policy Recommendations.” ALEC Publications, 2023. [18] Mayer, Jane. “Dark Money: The Hidden History of the Billionaires Behind the Rise of the Radical Right.” Doubleday, 2016.</w:t>
      </w:r>
    </w:p>
    <w:p>
      <w:pPr>
        <w:ind w:firstLine="432"/>
      </w:pPr>
      <w:r>
        <w:t>[19] Huber, Peter W. “Galileo’s Revenge: Junk Science in the Courtroom.” Basic Books, 1991. [20] Schneiderman, David. “Constitutionalizing Economic Globalization: Investment Rules and Democracy’s Promise.” Cambridge University Press, 2008. [21] Van Harten, Gus. “Investment Treaty Arbitration and Public Law.” Oxford University Press, 2007. [22] United Nations Commission on International Trade Law. “UNCITRAL Model Law on International Commercial Arbitration.” UN Publications, 2006. [23] Slaughter, Anne-Marie. “A New World Order.” Princeton University Press, 2004. [24] Ferejohn, John. “Independent Judges, Dependent Judiciary: Explaining Judicial Independence.” Southern California Law Review, 1999. [25] Goldman, Sheldon. “Picking Federal Judges: Lower Court Selection from Roosevelt through Reagan.” Yale University Press, 1997. [26] Burbank, Stephen B. “The Architecture of Judicial Independence.” Southern California Law Review, 1999. [27] Kagan, Robert A. “Adversarial Legalism: The American Way of Law.” Harvard University Press, 2001. [28] Eisinger, Jesse. “The Chickenshit Club: Why the Justice Department Fails to Prosecute Executives.” Simon &amp; Schuster, 2017. [29] Garrett, Brandon L. “Too Big to Jail: How Prosecutors Compromise with Corporations.” Harvard University Press, 2014. [30] Levitin, Adam J., and Tara Twomey. “Mortgage Servicing.” Yale Journal on Regulation, 2011. [31] White, Alan M. “Losing the Paper: Mortgage Assignments, Note Transfers and Consumer Protection.” Loyola Consumer Law Review, 2012. [32] Horton, David. “Federal Arbitration Act Preemption, Purposivism, and State Public Policy.” Georgetown Law Journal, 2013.</w:t>
      </w:r>
    </w:p>
    <w:p>
      <w:pPr>
        <w:ind w:firstLine="432"/>
      </w:pPr>
      <w:r>
        <w:t>[33] Sternlight, Jean R. “Mandatory Binding Arbitration and the Demise of the Seventh Amendment Right to a Jury Trial.” Ohio State Journal on Dispute Resolution, 2001. [34] Resnik, Judith. “Diffusing Disputes: The Public in the Private of Arbitration.” Florida State University Law Review, 2003. [35] Gilles, Myriam. “Opting Out of Liability: The Forthcoming, Near- Total Demise of the Modern Class Action.” Michigan Law Review, 2006. [36] Alexander, Michelle. “The New Jim Crow: Mass Incarceration in the Age of Colorblindness.” The New Press, 2010. [37] Bannon, Alicia, et al. “Criminal Justice Debt: A Barrier to Reentry.” Brennan Center for Justice, 2010. [38] American Civil Liberties Union. “In for a Penny: The Rise of America’s New Debtors’ Prisons.” ACLU Report, 2010. [39] Cole, David. “Enemy Aliens: Double Standards and Constitutional Freedoms in the War on Terrorism.” The New Press, 2003. [40] Transparency International. “Global Corruption Report: Judicial Corruption.” Cambridge University Press, 2007. [41] Scharpf, Fritz W. “The European Social Model: Coping with the Challenges of Diversity.” Journal of Common Market Studies, 2002. [42] Schabas, William A. “Unimaginable Atrocities: Justice, Politics, and Rights at the War Crimes Tribunals.” Oxford University Press, 2012. [43] Cole, David, and James X. Dempsey. “Terrorism and the Constitution: Sacrificing Civil Liberties in the Name of National Security.” The New Press, 2006. [44] Pasquale, Frank. “The Black Box Society: The Secret Algorithms That Control Money and Information.” Harvard University Press, 2015. [45] Angwin, Julia, et al. “Machine Bias: There’s Software Used Across the Country to Predict Future Criminals.” ProPublica, 2016. [46] Danziger, Shai, et al. “Extraneous Factors in Judicial Decisions.” Proceedings of the National Academy of Sciences, 2011.</w:t>
      </w:r>
    </w:p>
    <w:p>
      <w:pPr>
        <w:ind w:firstLine="432"/>
      </w:pPr>
      <w:r>
        <w:t>[47] Greenwald, Glenn. “No Place to Hide: Edward Snowden, the NSA, and the U.S. Surveillance State.” Metropolitan Books, 2014. [48] Burbank, Stephen B., and Barry Friedman. “Reconsidering Judicial Independence.” University of Pennsylvania Press, 2002. [49] Geyh, Charles Gardner. “Judicial Independence as an Organizing Principle.” Annual Review of Law and Social Science, 2012. [50] Volcansek, Mary L. “Judicial Misconduct: An International Comparison.” University Press of Florida, 1996. [51] Sarat, Austin. “The Profession of Law.” Northwestern University Press, 2004. [52] Ginsburg, Tom. “Judicial Review in New Democracies: Constitutional Courts in Asian Cases.” Cambridge University Press, 2003. [53] Klug, Heinz. “Constituting Democracy: Law, Globalism and South Africa’s Political Reconstruction.” Cambridge University Press, 2000. [54] Constitutional Court of South Africa. “Annual Report 2023.” Johannesburg: Constitutional Court, 2024. [55] Plebeian Tribunal of South Africa. “Constitutional Foundations and International Treaty Status.” Research Paper, 2024.</w:t>
      </w:r>
    </w:p>
    <w:p>
      <w:pPr>
        <w:pStyle w:val="Heading2"/>
      </w:pPr>
      <w:r>
        <w:rPr>
          <w:rFonts w:ascii="Times New Roman" w:hAnsi="Times New Roman"/>
          <w:color w:val="000000"/>
          <w:sz w:val="32"/>
        </w:rPr>
        <w:t>Suggested Further Research</w:t>
      </w:r>
    </w:p>
    <w:p>
      <w:pPr>
        <w:ind w:firstLine="432"/>
      </w:pPr>
      <w:r>
        <w:t>1. “The Hollow Hope” by Gerald Rosenberg - Analysis of the limitations of courts in bringing about social change and protecting rights. 2. “Too Big to Jail” by Brandon Garrett - Examination of how prosecutors compromise with corporations and fail to hold executives accountable. 3. “The New Jim Crow” by Michelle Alexander - Analysis of how the criminal justice system perpetuates racial inequality and social control. 4. Brennan Center for Justice Reports - Ongoing research on judicial independence, court reform, and access to justice</w:t>
      </w:r>
    </w:p>
    <w:p>
      <w:pPr>
        <w:ind w:firstLine="432"/>
      </w:pPr>
      <w:r>
        <w:t>issues. 5. “Dark Money” by Jane Mayer - Investigation into how wealthy interests influence judicial appointments and legal outcomes. 6. “Investment Treaty Arbitration and Public Law” by Gus Van Harten - Analysis of how investor-state dispute settlement undermines democratic governance. 7. Transparency International Judicial Corruption Reports - International comparative analysis of judicial corruption and reform efforts.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9: Media Manipulation and the Propaganda Matrix</w:t>
      </w:r>
    </w:p>
    <w:p>
      <w:pPr>
        <w:pStyle w:val="Heading2"/>
      </w:pPr>
      <w:r>
        <w:rPr>
          <w:rFonts w:ascii="Times New Roman" w:hAnsi="Times New Roman"/>
          <w:color w:val="000000"/>
          <w:sz w:val="32"/>
        </w:rPr>
        <w:t>and the Propaganda Matrix Introduction</w:t>
      </w:r>
    </w:p>
    <w:p>
      <w:pPr>
        <w:ind w:firstLine="432"/>
      </w:pPr>
      <w:r>
        <w:t>The systematic manipulation of information through captured media systems represents one of the most pervasive problems undermining democratic discourse and informed decision-making. This chapter identifies the core problem of how media institutions have been</w:t>
      </w:r>
    </w:p>
    <w:p>
      <w:pPr>
        <w:ind w:firstLine="432"/>
      </w:pPr>
      <w:r>
        <w:t>transformed from independent sources of information into sophisticated propaganda systems that serve elite interests while maintaining the appearance of journalistic integrity [1]. The problem extends beyond simple bias or editorial slant to encompass systematic institutional capture that has fundamentally altered the nature of information distribution in modern societies. Media organizations that were designed to serve as watchdogs for democracy have become components of the shadow matrix, manufacturing consent for policies that serve elite interests while suppressing information that might challenge those interests [2]. Understanding this problem is essential for recognizing why public awareness of the issues documented in previous chapters remains limited despite extensive evidence of systematic abuse. When the institutions responsible for informing the public have themselves been captured, traditional approaches to democratic accountability become ineffective [3].</w:t>
      </w:r>
    </w:p>
    <w:p>
      <w:pPr>
        <w:pStyle w:val="Heading2"/>
      </w:pPr>
      <w:r>
        <w:rPr>
          <w:rFonts w:ascii="Times New Roman" w:hAnsi="Times New Roman"/>
          <w:color w:val="000000"/>
          <w:sz w:val="32"/>
        </w:rPr>
        <w:t>The Theoretical Foundation of Press Freedom</w:t>
      </w:r>
    </w:p>
    <w:p>
      <w:pPr>
        <w:ind w:firstLine="432"/>
      </w:pPr>
      <w:r>
        <w:t>Press freedom represents one of the fundamental pillars of democratic governance, designed to ensure that citizens have access to the information necessary for informed decision-making and democratic participation. This freedom requires both legal protections and institutional independence that enable journalists to investigate and report without interference from government or corporate interests [4]. The concept of the Fourth Estate reflects the understanding that independent media serves as a crucial check on government power, providing oversight and accountability that supplements formal constitutional mechanisms. This role requires media institutions to maintain independence from the very powers they are supposed to monitor [5]. The marketplace of ideas theory assumes that truth will emerge through competition among different viewpoints and sources of information. However, this theory depends on genuine diversity of ownership and perspective, conditions that no longer exist in concentrated media markets [6].</w:t>
      </w:r>
    </w:p>
    <w:p>
      <w:pPr>
        <w:ind w:firstLine="432"/>
      </w:pPr>
      <w:r>
        <w:t>Constitutional protections for press freedom, including the First Amendment in the United States, were designed to prevent government censorship and interference with independent journalism. However, these protections have proven inadequate to address corporate capture and economic manipulation of media institutions [7].</w:t>
      </w:r>
    </w:p>
    <w:p>
      <w:pPr>
        <w:pStyle w:val="Heading2"/>
      </w:pPr>
      <w:r>
        <w:rPr>
          <w:rFonts w:ascii="Times New Roman" w:hAnsi="Times New Roman"/>
          <w:color w:val="000000"/>
          <w:sz w:val="32"/>
        </w:rPr>
        <w:t>The Concentration of Media Ownership</w:t>
      </w:r>
    </w:p>
    <w:p>
      <w:pPr>
        <w:ind w:firstLine="432"/>
      </w:pPr>
      <w:r>
        <w:t>The concentration of media ownership in the hands of a small number of multinational corporations represents the fundamental mechanism through which media independence has been compromised. This concentration enables coordinated messaging across multiple platforms while eliminating genuine diversity of perspective [8]. Six major corporations control approximately 90% of American media, including television networks, newspapers, magazines, movie studios, and radio stations. This concentration represents a dramatic change from the diverse media landscape that existed in previous decades [9]. The integration of media companies with other business interests creates conflicts of interest that influence editorial decisions and news coverage. When media companies are owned by conglomerates with interests in defense, finance, and other industries, coverage of those industries becomes compromised [10]. International media consolidation enables the coordination of messaging across national boundaries, creating global propaganda systems that can shape public opinion worldwide. This coordination serves the interests of multinational corporations and international financial institutions [11].</w:t>
      </w:r>
    </w:p>
    <w:p>
      <w:pPr>
        <w:pStyle w:val="Heading2"/>
      </w:pPr>
      <w:r>
        <w:rPr>
          <w:rFonts w:ascii="Times New Roman" w:hAnsi="Times New Roman"/>
          <w:color w:val="000000"/>
          <w:sz w:val="32"/>
        </w:rPr>
        <w:t>The Economics of Media Capture</w:t>
      </w:r>
    </w:p>
    <w:p>
      <w:pPr>
        <w:ind w:firstLine="432"/>
      </w:pPr>
      <w:r>
        <w:t>The economic model of modern media creates dependencies that enable corporate and government influence over editorial content. Advertising revenue, government contracts, and access to sources create financial pressures that compromise journalistic independence [12]. Advertising revenue represents the primary source of income for most media organizations, creating incentives to avoid coverage that might offend major advertisers. This economic dependency enables</w:t>
      </w:r>
    </w:p>
    <w:p>
      <w:pPr>
        <w:ind w:firstLine="432"/>
      </w:pPr>
      <w:r>
        <w:t>corporations to influence media coverage through advertising decisions [13]. Government contracts and subsidies create additional dependencies that can influence media coverage of government policies and activities. When media organizations depend on government revenue, they have incentives to avoid critical coverage that might jeopardize their financial relationships [14]. The decline of subscription revenue and the rise of digital advertising have made media organizations increasingly dependent on a small number of technology platforms for distribution and revenue. This dependency enables platform owners to influence media content through algorithmic manipulation and revenue sharing decisions [15].</w:t>
      </w:r>
    </w:p>
    <w:p>
      <w:pPr>
        <w:pStyle w:val="Heading2"/>
      </w:pPr>
      <w:r>
        <w:rPr>
          <w:rFonts w:ascii="Times New Roman" w:hAnsi="Times New Roman"/>
          <w:color w:val="000000"/>
          <w:sz w:val="32"/>
        </w:rPr>
        <w:t>The Role of Intelligence Agencies</w:t>
      </w:r>
    </w:p>
    <w:p>
      <w:pPr>
        <w:ind w:firstLine="432"/>
      </w:pPr>
      <w:r>
        <w:t>Intelligence agencies have systematically infiltrated media organizations to influence public opinion and shape political discourse. This infiltration operates through both formal programs and informal relationships that enable intelligence agencies to plant stories and suppress information [16]. Operation Mockingbird, revealed through congressional investigations in the 1970s, demonstrated the extent to which the CIA had infiltrated American media organizations. Despite official termination of the program, similar relationships continue through less formal mechanisms [17]. The revolving door between intelligence agencies and media organizations creates networks of relationships that enable ongoing coordination between intelligence and media interests. Former intelligence officials often take positions in media organizations while maintaining their security clearances and relationships [18]. Foreign intelligence agencies also operate influence campaigns through media manipulation, creating additional layers of propaganda that serve various national and corporate interests. These campaigns often operate through seemingly independent media organizations and social media platforms [19].</w:t>
      </w:r>
    </w:p>
    <w:p>
      <w:pPr>
        <w:pStyle w:val="Heading2"/>
      </w:pPr>
      <w:r>
        <w:rPr>
          <w:rFonts w:ascii="Times New Roman" w:hAnsi="Times New Roman"/>
          <w:color w:val="000000"/>
          <w:sz w:val="32"/>
        </w:rPr>
        <w:t>Propaganda Techniques and Psychological Manipulation</w:t>
      </w:r>
    </w:p>
    <w:p>
      <w:pPr>
        <w:ind w:firstLine="432"/>
      </w:pPr>
      <w:r>
        <w:t>Modern propaganda operates through sophisticated psychological techniques that manipulate public opinion while avoiding obvious coercion or censorship. These techniques exploit cognitive biases and emotional responses to shape beliefs and behaviors [20]. The repetition of key messages across multiple platforms creates the illusion of consensus while actually reflecting coordinated messaging from centralized sources. This technique, known as the “echo chamber effect,” reinforces particular viewpoints while marginalizing alternatives [21]. Emotional manipulation techniques use fear, anger, and other strong emotions to bypass rational analysis and create desired responses. These techniques are particularly effective in crisis situations where people are more susceptible to emotional appeals [22]. The use of experts and authority figures to endorse particular viewpoints creates the appearance of scientific or professional consensus while actually reflecting the influence of funding sources and institutional pressures. This technique exploits the public’s tendency to defer to perceived expertise [23].</w:t>
      </w:r>
    </w:p>
    <w:p>
      <w:pPr>
        <w:pStyle w:val="Heading2"/>
      </w:pPr>
      <w:r>
        <w:rPr>
          <w:rFonts w:ascii="Times New Roman" w:hAnsi="Times New Roman"/>
          <w:color w:val="000000"/>
          <w:sz w:val="32"/>
        </w:rPr>
        <w:t>The Manufacturing of Consent</w:t>
      </w:r>
    </w:p>
    <w:p>
      <w:pPr>
        <w:ind w:firstLine="432"/>
      </w:pPr>
      <w:r>
        <w:t>The concept of manufacturing consent, developed by Edward Herman and Noam Chomsky, describes how media systems create the appearance of democratic discourse while actually serving elite interests. This process operates through systematic filters that determine which stories receive coverage and how they are framed [24]. The propaganda model identifies five filters that shape media coverage: ownership, advertising, sourcing, flak, and ideology. These filters work together to ensure that media coverage serves the interests of powerful institutions while maintaining the appearance of independent journalism [25]. Sourcing relationships create dependencies that enable government and corporate officials to influence media coverage through access and</w:t>
      </w:r>
    </w:p>
    <w:p>
      <w:pPr>
        <w:ind w:firstLine="432"/>
      </w:pPr>
      <w:r>
        <w:t>information provision. Journalists who challenge official narratives may find themselves excluded from important sources and information [26]. The use of “flak” - organized criticism and pressure campaigns - enables powerful interests to discourage unfavorable coverage while encouraging favorable coverage. This pressure operates through both formal complaints and informal pressure from advertisers and sources [27].</w:t>
      </w:r>
    </w:p>
    <w:p>
      <w:pPr>
        <w:pStyle w:val="Heading2"/>
      </w:pPr>
      <w:r>
        <w:rPr>
          <w:rFonts w:ascii="Times New Roman" w:hAnsi="Times New Roman"/>
          <w:color w:val="000000"/>
          <w:sz w:val="32"/>
        </w:rPr>
        <w:t>Digital Media and Algorithmic Control</w:t>
      </w:r>
    </w:p>
    <w:p>
      <w:pPr>
        <w:ind w:firstLine="432"/>
      </w:pPr>
      <w:r>
        <w:t>The rise of digital media and social media platforms has created new mechanisms for information control that operate through algorithmic manipulation and data analysis. These mechanisms enable more sophisticated and targeted propaganda than traditional media systems [28]. Social media algorithms determine which information users see based on engagement metrics and other factors that can be manipulated to promote particular viewpoints while suppressing others. This algorithmic control operates largely outside public awareness and accountability [29]. The collection of personal data enables targeted propaganda campaigns that can deliver different messages to different audiences based on their psychological profiles and political preferences. This micro-targeting enables more effective manipulation while making it difficult to detect coordinated campaigns [30]. The use of artificial intelligence and machine learning enables the automated generation of propaganda content that can be produced at scale and targeted to specific audiences. This automation makes it possible to conduct influence campaigns that would be impossible with traditional methods [31].</w:t>
      </w:r>
    </w:p>
    <w:p>
      <w:pPr>
        <w:pStyle w:val="Heading2"/>
      </w:pPr>
      <w:r>
        <w:rPr>
          <w:rFonts w:ascii="Times New Roman" w:hAnsi="Times New Roman"/>
          <w:color w:val="000000"/>
          <w:sz w:val="32"/>
        </w:rPr>
        <w:t>The Suppression of Alternative Media</w:t>
      </w:r>
    </w:p>
    <w:p>
      <w:pPr>
        <w:ind w:firstLine="432"/>
      </w:pPr>
      <w:r>
        <w:t>The suppression of alternative media sources represents a crucial component of media control, ensuring that dissenting viewpoints and inconvenient information cannot reach large audiences. This suppression operates through both direct censorship and indirect economic pressure [32].</w:t>
      </w:r>
    </w:p>
    <w:p>
      <w:pPr>
        <w:ind w:firstLine="432"/>
      </w:pPr>
      <w:r>
        <w:t>Platform censorship enables technology companies to suppress alternative media sources while claiming to combat “misinformation” or “hate speech.” These policies are often applied selectively to suppress viewpoints that challenge establishment narratives [33]. Economic pressure operates through advertising boycotts, payment processor restrictions, and other financial mechanisms that can destroy alternative media organizations without formal censorship. These mechanisms enable the suppression of dissent while maintaining the appearance of free speech [34]. The use of “fact-checking” organizations to label alternative viewpoints as “misinformation” provides a mechanism for suppressing dissent while claiming to protect truth. These organizations often have conflicts of interest and biases that favor establishment viewpoints [35].</w:t>
      </w:r>
    </w:p>
    <w:p>
      <w:pPr>
        <w:pStyle w:val="Heading2"/>
      </w:pPr>
      <w:r>
        <w:rPr>
          <w:rFonts w:ascii="Times New Roman" w:hAnsi="Times New Roman"/>
          <w:color w:val="000000"/>
          <w:sz w:val="32"/>
        </w:rPr>
        <w:t>International Propaganda and Information Warfare</w:t>
      </w:r>
    </w:p>
    <w:p>
      <w:pPr>
        <w:ind w:firstLine="432"/>
      </w:pPr>
      <w:r>
        <w:t>Information warfare between nations has created additional layers of propaganda that complicate the information environment and make it difficult for citizens to access reliable information. These campaigns often operate through seemingly independent media organizations and social media accounts [36]. State-sponsored media organizations such as RT, BBC World Service, and Voice of America represent obvious examples of international propaganda, but more sophisticated campaigns operate through seemingly independent organizations that receive covert funding from government sources [37]. The use of social media bots and fake accounts enables the artificial amplification of particular viewpoints while creating the appearance of grassroots support. These techniques can manipulate public opinion while avoiding detection through traditional media monitoring [38]. International coordination among allied nations enables the synchronization of propaganda campaigns across multiple countries and media systems. This coordination can create the appearance of international consensus while actually reflecting coordinated messaging from allied governments [39].</w:t>
      </w:r>
    </w:p>
    <w:p>
      <w:pPr>
        <w:pStyle w:val="Heading2"/>
      </w:pPr>
      <w:r>
        <w:rPr>
          <w:rFonts w:ascii="Times New Roman" w:hAnsi="Times New Roman"/>
          <w:color w:val="000000"/>
          <w:sz w:val="32"/>
        </w:rPr>
        <w:t>The COVID-19 Information Campaign</w:t>
      </w:r>
    </w:p>
    <w:p>
      <w:pPr>
        <w:ind w:firstLine="432"/>
      </w:pPr>
      <w:r>
        <w:t>The COVID-19 pandemic provided a clear example of how coordinated media campaigns can shape public opinion and policy while suppressing dissenting viewpoints. The uniformity of media coverage across different organizations and countries revealed the extent of coordination in modern media systems [40]. The suppression of information about alternative treatments, vaccine risks, and policy alternatives demonstrated how media systems can eliminate debate on important public policy issues. This suppression operated through both direct censorship and the marginalization of dissenting experts [41]. The use of “fact-checking” and “misinformation” labels to suppress scientific debate revealed how these mechanisms can be used to enforce particular viewpoints rather than protect truth. Many claims that were labeled as “misinformation” were later acknowledged as legitimate scientific questions [42]. The coordination between government agencies, technology platforms, and media organizations during the pandemic revealed the extent to which these institutions can work together to control information and suppress dissent [43].</w:t>
      </w:r>
    </w:p>
    <w:p>
      <w:pPr>
        <w:pStyle w:val="Heading2"/>
      </w:pPr>
      <w:r>
        <w:rPr>
          <w:rFonts w:ascii="Times New Roman" w:hAnsi="Times New Roman"/>
          <w:color w:val="000000"/>
          <w:sz w:val="32"/>
        </w:rPr>
        <w:t>The Climate Change Narrative</w:t>
      </w:r>
    </w:p>
    <w:p>
      <w:pPr>
        <w:ind w:firstLine="432"/>
      </w:pPr>
      <w:r>
        <w:t>The media treatment of climate change issues provides another example of how complex scientific and policy questions can be simplified into propaganda narratives that serve particular interests while suppressing legitimate debate [44]. The characterization of climate science as “settled” despite ongoing scientific debates demonstrates how media systems can create false consensus while marginalizing dissenting scientific viewpoints. This approach serves political and economic interests rather than scientific truth [45]. The suppression of information about the costs and limitations of proposed climate policies prevents informed public debate about policy alternatives. This suppression serves the interests of particular industries and political movements while limiting democratic decision- making [46].</w:t>
      </w:r>
    </w:p>
    <w:p>
      <w:pPr>
        <w:ind w:firstLine="432"/>
      </w:pPr>
      <w:r>
        <w:t>The use of emotional appeals and catastrophic predictions creates psychological pressure that bypasses rational analysis of complex policy questions. This approach serves propaganda purposes rather than informed democratic discourse [47].</w:t>
      </w:r>
    </w:p>
    <w:p>
      <w:pPr>
        <w:pStyle w:val="Heading2"/>
      </w:pPr>
      <w:r>
        <w:rPr>
          <w:rFonts w:ascii="Times New Roman" w:hAnsi="Times New Roman"/>
          <w:color w:val="000000"/>
          <w:sz w:val="32"/>
        </w:rPr>
        <w:t>The Role of Social Media Platforms</w:t>
      </w:r>
    </w:p>
    <w:p>
      <w:pPr>
        <w:ind w:firstLine="432"/>
      </w:pPr>
      <w:r>
        <w:t>Social media platforms have become crucial components of the modern propaganda system, enabling both the distribution of coordinated messaging and the suppression of alternative viewpoints. These platforms operate with minimal oversight while wielding enormous influence over public discourse [48]. The algorithms that determine which content users see can be manipulated to promote particular viewpoints while suppressing others. This algorithmic control operates largely outside public awareness and enables sophisticated propaganda campaigns [49]. The use of “community standards” and “terms of service” to suppress content provides platforms with broad discretion to censor viewpoints while claiming to protect users from harmful content. These policies are often applied selectively to favor establishment viewpoints [50]. The coordination between platforms, government agencies, and other institutions enables synchronized censorship campaigns that can eliminate particular viewpoints from public discourse. This coordination operates through both formal partnerships and informal relationships [51].</w:t>
      </w:r>
    </w:p>
    <w:p>
      <w:pPr>
        <w:pStyle w:val="Heading2"/>
      </w:pPr>
      <w:r>
        <w:rPr>
          <w:rFonts w:ascii="Times New Roman" w:hAnsi="Times New Roman"/>
          <w:color w:val="000000"/>
          <w:sz w:val="32"/>
        </w:rPr>
        <w:t>Constitutional and Legal Challenges</w:t>
      </w:r>
    </w:p>
    <w:p>
      <w:pPr>
        <w:ind w:firstLine="432"/>
      </w:pPr>
      <w:r>
        <w:t>The capture of media systems raises fundamental constitutional questions about press freedom, free speech, and the right to information. Traditional legal frameworks have proven inadequate to address the systematic manipulation of information in modern media systems [52]. First Amendment protections for press freedom were designed to prevent government censorship but have proven inadequate to address corporate capture and economic manipulation of media institutions. These protections do not address the concentration of ownership or the economic dependencies that compromise editorial independence [53].</w:t>
      </w:r>
    </w:p>
    <w:p>
      <w:pPr>
        <w:ind w:firstLine="432"/>
      </w:pPr>
      <w:r>
        <w:t>The legal framework for regulating media ownership and concentration has been systematically weakened through deregulation that serves corporate interests rather than democratic values. This deregulation has enabled the concentration that undermines media independence [54]. International legal frameworks for protecting press freedom and access to information have proven inadequate to address global propaganda systems and coordinated information manipulation. These frameworks must be strengthened to address modern threats to information integrity [55].</w:t>
      </w:r>
    </w:p>
    <w:p>
      <w:pPr>
        <w:pStyle w:val="Heading2"/>
      </w:pPr>
      <w:r>
        <w:rPr>
          <w:rFonts w:ascii="Times New Roman" w:hAnsi="Times New Roman"/>
          <w:color w:val="000000"/>
          <w:sz w:val="32"/>
        </w:rPr>
        <w:t>Key Quotes</w:t>
      </w:r>
    </w:p>
    <w:p>
      <w:pPr>
        <w:ind w:firstLine="432"/>
      </w:pPr>
      <w:r>
        <w:t>“The media’s the most powerful entity on earth. They have the power to make the innocent guilty and to make the guilty innocent, and that’s power. Because they control the minds of the masses.” - Malcolm X “Propaganda is to a democracy what the bludgeon is to a totalitarian state.” - Noam Chomsky “The conscious and intelligent manipulation of the organized habits and opinions of the masses is an important element in democratic society.” - Edward Bernays “In wartime, truth is so precious that she should always be attended by a bodyguard of lies.” - Winston Churchill “The press is the hired agent of a monied system, and set up for no other purpose than to tell lies where their interests are involved.” - Henry Adams</w:t>
      </w:r>
    </w:p>
    <w:p>
      <w:pPr>
        <w:pStyle w:val="Heading2"/>
      </w:pPr>
      <w:r>
        <w:rPr>
          <w:rFonts w:ascii="Times New Roman" w:hAnsi="Times New Roman"/>
          <w:color w:val="000000"/>
          <w:sz w:val="32"/>
        </w:rPr>
        <w:t>Real-World Examples</w:t>
      </w:r>
    </w:p>
    <w:p>
      <w:pPr>
        <w:ind w:firstLine="432"/>
      </w:pPr>
      <w:r>
        <w:t>Example 1: WMD Claims and the Iraq War (2003) The media’s uncritical acceptance and promotion of claims about weapons of mass destruction in Iraq demonstrated how captured media systems can manufacture consent for war. Despite the lack of credible evidence, major media organizations promoted government claims</w:t>
      </w:r>
    </w:p>
    <w:p>
      <w:pPr>
        <w:ind w:firstLine="432"/>
      </w:pPr>
      <w:r>
        <w:t>while marginalizing dissenting voices, showing how propaganda can override journalistic standards. Example 2: The Hunter Biden Laptop Story Suppression (2020) The coordinated suppression of the Hunter Biden laptop story by major media organizations and social media platforms during the 2020 election demonstrated how information can be suppressed to influence political outcomes. The story was labeled as “Russian disinformation” without investigation, showing how propaganda techniques can be used to suppress legitimate news. Example 3: COVID-19 Lab Leak Theory Censorship (2020-2021) The suppression of discussion about the possibility that COVID-19 originated from a laboratory leak demonstrated how scientific debate can be eliminated through coordinated media and platform censorship. The theory was labeled as “conspiracy theory” and “misinformation” until political circumstances changed, revealing the arbitrary nature of these determinations.</w:t>
      </w:r>
    </w:p>
    <w:p>
      <w:pPr>
        <w:pStyle w:val="Heading2"/>
      </w:pPr>
      <w:r>
        <w:rPr>
          <w:rFonts w:ascii="Times New Roman" w:hAnsi="Times New Roman"/>
          <w:color w:val="000000"/>
          <w:sz w:val="32"/>
        </w:rPr>
        <w:t>References and Sources</w:t>
      </w:r>
    </w:p>
    <w:p>
      <w:pPr>
        <w:ind w:firstLine="432"/>
      </w:pPr>
      <w:r>
        <w:t>[1] Herman, Edward S., and Noam Chomsky. “Manufacturing Consent: The Political Economy of the Mass Media.” Pantheon Books, 1988. [2] Bagdikian, Ben H. “The New Media Monopoly.” Beacon Press, 2004. [3] McChesney, Robert W. “The Problem of the Media: U.S. Communication Politics in the Twenty-First Century.” Monthly Review Press, 2004. [4] Siebert, Fred S., et al. “Four Theories of the Press.” University of Illinois Press, 1956. [5] Carlson, Matt. “Journalistic Authority: Legitimating News in the Digital Era.” Columbia University Press, 2017. [6] Mill, John Stuart. “On Liberty.” John W. Parker and Son, 1859.</w:t>
      </w:r>
    </w:p>
    <w:p>
      <w:pPr>
        <w:ind w:firstLine="432"/>
      </w:pPr>
      <w:r>
        <w:t>[7] Lewis, Anthony. “Make No Law: The Sullivan Case and the First Amendment.” Random House, 1991. [8] Compaine, Benjamin M., and Douglas Gomery. “Who Owns the Media?: Competition and Concentration in the Mass Media Industry.” Lawrence Erlbaum Associates, 2000. [9] Federal Communications Commission. “Media Ownership Study 2018.” FCC Report, 2020. [10] Baker, C. Edwin. “Media Concentration and Democracy: Why Ownership Matters.” Cambridge University Press, 2007. [11] Boyd-Barrett, Oliver. “Media Imperialism.” Sage Publications, 2015. [12] Hamilton, James T. “All the News That’s Fit to Sell: How the Market Transforms Information into News.” Princeton University Press, 2004. [13] Baker, C. Edwin. “Advertising and a Democratic Press.” Princeton University Press, 1994. [14] Bennett, W. Lance. “News: The Politics of Illusion.” University of Chicago Press, 2016. [15] Tiziano Bonini and Alessandro Gandini. “First Party Data: A New Media Business Model.” Digital Journalism, 2019. [16] Bernstein, Carl, and Bob Woodward. “The CIA and the Media.” Rolling Stone, 1977. [17] Church Committee. “Intelligence Activities and the Rights of Americans.” U.S. Senate Select Committee Report, 1976. [18] Scahill, Jeremy. “The Intercept: National Security Reporting.” The Intercept, 2014-2024. [19] Howard, Philip N., and Bence Kollanyi. “Bots, #StrongerIn, and #Brexit: Computational Propaganda during the UK-EU Referendum.” Research Paper, 2016. [20] Bernays, Edward. “Propaganda.” Horace Liveright, 1928. [21] Sunstein, Cass R. “Echo Chambers: Bush v. Gore, Impeachment, and Beyond.” Princeton University Press, 2001.</w:t>
      </w:r>
    </w:p>
    <w:p>
      <w:pPr>
        <w:ind w:firstLine="432"/>
      </w:pPr>
      <w:r>
        <w:t>[22] Glassner, Barry. “The Culture of Fear: Why Americans Are Afraid of the Wrong Things.” Basic Books, 2010. [23] Oreskes, Naomi, and Erik M. Conway. “Merchants of Doubt: How a Handful of Scientists Obscured the Truth.” Bloomsbury Press, 2010. [24] Herman, Edward S., and Noam Chomsky. “Manufacturing Consent: The Political Economy of the Mass Media.” Pantheon Books, 1988. [25] Chomsky, Noam. “Media Control: The Spectacular Achievements of Propaganda.” Seven Stories Press, 2002. [26] Bennett, W. Lance, et al. “When the Press Fails: Political Power and the News Media from Iraq to Katrina.” University of Chicago Press, 2007. [27] Entman, Robert M. “Projections of Power: Framing News, Public Opinion, and U.S. Foreign Policy.” University of Chicago Press, 2004. [28] Tufekci, Zeynep. “Twitter and Tear Gas: The Power and Fragility of Networked Protest.” Yale University Press, 2017. [29] Gillespie, Tarleton. “Custodians of the Internet: Platforms, Content Moderation, and the Hidden Decisions That Shape Social Media.” Yale University Press, 2018. [30] Zuboff, Shoshana. “The Age of Surveillance Capitalism: The Fight for a Human Future at the New Frontier of Power.” PublicAffairs, 2019. [31] Woolley, Samuel C., and Philip N. Howard. “Computational Propaganda: Political Parties, Politicians, and Political Manipulation on Social Media.” Oxford University Press, 2018. [32] Taibbi, Matt. “Hate Inc.: Why Today’s Media Makes Us Despise One Another.” OR Books, 2019. [33] Greenwald, Glenn. “The Censorship-Industrial Complex.” System Update, 2023. [34] Rectenwald, Michael. “Google Archipelago: The Digital Gulag and the Simulation of Freedom.” New English Review Press, 2019. [35] Shellenberger, Michael, and Matt Taibbi. “The Twitter Files.” Twitter/X Platform, 2022-2023.</w:t>
      </w:r>
    </w:p>
    <w:p>
      <w:pPr>
        <w:ind w:firstLine="432"/>
      </w:pPr>
      <w:r>
        <w:t>[36] Rid, Thomas. “Active Measures: The Secret History of Disinformation and Political Warfare.” Farrar, Straus and Giroux, 2020. [37] Pomerantsev, Peter. “Nothing Is True and Everything Is Possible: The Surreal Heart of the New Russia.” PublicAffairs, 2014. [38] Howard, Philip N., and Samuel Woolley. “Computational Propaganda: Political Parties, Politicians, and Political Manipulation on Social Media.” Oxford University Press, 2018. [39] Nimmo, Ben. “Anatomy of an Info-War: How Russia’s Propaganda Machine Works.” Atlantic Council, 2015. [40] Censored.news. “COVID-19 Media Coverage Analysis.” Independent Media Analysis, 2020-2023. [41] Kennedy Jr., Robert F. “The Real Anthony Fauci: Bill Gates, Big Pharma, and the Global War on Democracy and Public Health.” Skyhorse Publishing, 2021. [42] Berenson, Alex. “Unreported Truths about COVID-19 and Lockdowns.” Self-published series, 2020-2022. [43] Missouri v. Biden. “Federal Court Case on Government Censorship.” U.S. District Court, Western District of Missouri, 2023. [44] Lomborg, Bjørn. “False Alarm: How Climate Change Panic Costs Us Trillions, Hurts the Poor, and Fails to Fix the Planet.” Basic Books, 2020. [45] Koonin, Steven E. “Unsettled: What Climate Science Tells Us, What It Doesn’t, and Why It Matters.” BenBella Books, 2021. [46] Shellenberger, Michael. “Apocalypse Never: Why Environmental Alarmism Hurts Us All.” Harper, 2020. [47] Moore, Patrick. “Fake Invisible Catastrophes and Threats of Doom.” Ecosense Environmental, 2021. [48] Vaidhyanathan, Siva. “Antisocial Media: How Facebook Disconnects Us and Undermines Democracy.” Oxford University Press, 2018. [49] Noble, Safiya Umoja. “Algorithms of Oppression: How Search Engines Reinforce Racism.” NYU Press, 2018.</w:t>
      </w:r>
    </w:p>
    <w:p>
      <w:pPr>
        <w:ind w:firstLine="432"/>
      </w:pPr>
      <w:r>
        <w:t>[50] Klonick, Kate. “The New Governors: The People, Rules, and Processes Governing Online Speech.” Harvard Law Review, 2018. [51] Taibbi, Matt, and Michael Shellenberger. “The Twitter Files and the Censorship-Industrial Complex.” Congressional Testimony, 2023. [52] Bollinger, Lee C. “Uninhibited, Robust, and Wide-Open: A Free Press for a New Century.” Oxford University Press, 2010. [53] Stone, Geoffrey R. “Perilous Times: Free Speech in Wartime.” W. W. Norton &amp; Company, 2004. [54] Horwitz, Robert Britt. “The Irony of Regulatory Reform: The Deregulation of American Telecommunications.” Oxford University Press, 1989. [55] Article 19. “Global Expression Report 2023: The State of Freedom of Expression Around the World.” Article 19, 2023.</w:t>
      </w:r>
    </w:p>
    <w:p>
      <w:pPr>
        <w:pStyle w:val="Heading2"/>
      </w:pPr>
      <w:r>
        <w:rPr>
          <w:rFonts w:ascii="Times New Roman" w:hAnsi="Times New Roman"/>
          <w:color w:val="000000"/>
          <w:sz w:val="32"/>
        </w:rPr>
        <w:t>Suggested Further Research</w:t>
      </w:r>
    </w:p>
    <w:p>
      <w:pPr>
        <w:ind w:firstLine="432"/>
      </w:pPr>
      <w:r>
        <w:t>1. “Manufacturing Consent” by Edward Herman and Noam Chomsky - Foundational analysis of how media systems serve elite interests through systematic filters. 2. “The New Media Monopoly” by Ben Bagdikian - Examination of media concentration and its effects on democratic discourse. 3. “The Twitter Files” by Matt Taibbi and Michael Shellenberger - Investigation into government-social media coordination for censorship purposes. 4. “The Age of Surveillance Capitalism” by Shoshana Zuboff - Analysis of how technology platforms extract value from human behavior data. 5. Project Censored Annual Reports - Documentation of important stories that receive inadequate media coverage. 6. “Hate Inc.” by Matt Taibbi - Analysis of how modern media business models promote division and conflict.</w:t>
      </w:r>
    </w:p>
    <w:p>
      <w:pPr>
        <w:ind w:firstLine="432"/>
      </w:pPr>
      <w:r>
        <w:t>7. Media Ownership Research by Free Press and Common Cause - Ongoing analysis of media concentration and its effects on democracy.</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10: Educational Indoctrination and the Capture of Academic Institutions</w:t>
      </w:r>
    </w:p>
    <w:p>
      <w:pPr>
        <w:pStyle w:val="Heading2"/>
      </w:pPr>
      <w:r>
        <w:rPr>
          <w:rFonts w:ascii="Times New Roman" w:hAnsi="Times New Roman"/>
          <w:color w:val="000000"/>
          <w:sz w:val="32"/>
        </w:rPr>
        <w:t>Indoctrination and the Capture of</w:t>
      </w:r>
    </w:p>
    <w:p>
      <w:pPr>
        <w:pStyle w:val="Heading2"/>
      </w:pPr>
      <w:r>
        <w:rPr>
          <w:rFonts w:ascii="Times New Roman" w:hAnsi="Times New Roman"/>
          <w:color w:val="000000"/>
          <w:sz w:val="32"/>
        </w:rPr>
        <w:t>Academic Institutions Introduction</w:t>
      </w:r>
    </w:p>
    <w:p>
      <w:pPr>
        <w:ind w:firstLine="432"/>
      </w:pPr>
      <w:r>
        <w:t>The systematic capture of educational institutions represents one of the most insidious problems undermining democratic society, as it shapes the minds of future generations while claiming to provide objective education and research. This chapter identifies the core problem of how schools and universities have been transformed from institutions of learning and critical thinking into mechanisms of ideological indoctrination that serve elite interests while suppressing independent thought [1]. The problem extends beyond simple bias in curriculum or teaching to encompass systematic institutional capture that has fundamentally altered the purpose and function of education. Educational institutions that were designed to develop critical thinking and informed citizenship have become components of the shadow matrix, producing compliant workers and consumers rather than independent thinkers [2]. Understanding this problem is essential for recognizing why successive generations have become increasingly unable to recognize and resist the systematic abuses documented in previous chapters. When the</w:t>
      </w:r>
    </w:p>
    <w:p>
      <w:pPr>
        <w:ind w:firstLine="432"/>
      </w:pPr>
      <w:r>
        <w:t>institutions responsible for developing critical thinking have themselves been captured, traditional approaches to education and enlightenment become counterproductive [3].</w:t>
      </w:r>
    </w:p>
    <w:p>
      <w:pPr>
        <w:pStyle w:val="Heading2"/>
      </w:pPr>
      <w:r>
        <w:rPr>
          <w:rFonts w:ascii="Times New Roman" w:hAnsi="Times New Roman"/>
          <w:color w:val="000000"/>
          <w:sz w:val="32"/>
        </w:rPr>
        <w:t>The Historical Purpose of Education</w:t>
      </w:r>
    </w:p>
    <w:p>
      <w:pPr>
        <w:ind w:firstLine="432"/>
      </w:pPr>
      <w:r>
        <w:t>Education in democratic societies was originally conceived as a means of developing informed citizens capable of participating in democratic governance and resisting tyranny. This educational philosophy emphasized critical thinking, civic knowledge, and the ability to question authority and received wisdom [4]. The classical liberal education model sought to develop well-rounded individuals capable of independent thought and moral reasoning. This model emphasized the study of history, philosophy, literature, and the sciences as means of understanding human nature and social organization [5]. Public education systems were established with the explicit goal of creating an informed citizenry capable of self-governance. The founders of democratic societies understood that democracy required educated citizens who could evaluate political claims and hold leaders accountable [6]. The university system was designed to serve as a repository of knowledge and a center for independent research that could challenge conventional wisdom and advance human understanding. This mission required academic freedom and institutional independence from political and economic pressures [7].</w:t>
      </w:r>
    </w:p>
    <w:p>
      <w:pPr>
        <w:pStyle w:val="Heading2"/>
      </w:pPr>
      <w:r>
        <w:rPr>
          <w:rFonts w:ascii="Times New Roman" w:hAnsi="Times New Roman"/>
          <w:color w:val="000000"/>
          <w:sz w:val="32"/>
        </w:rPr>
        <w:t>The Prussian Model and Industrial Education</w:t>
      </w:r>
    </w:p>
    <w:p>
      <w:pPr>
        <w:ind w:firstLine="432"/>
      </w:pPr>
      <w:r>
        <w:t>The transformation of education from a tool of liberation to a mechanism of control began with the adoption of the Prussian model of education, which was designed to produce obedient workers and soldiers rather than independent thinkers. This model emphasized conformity, hierarchy, and unquestioning obedience to authority [8]. The Prussian system divided students into different tracks based on social class, ensuring that most students received only basic training for industrial work while a small elite received education for leadership</w:t>
      </w:r>
    </w:p>
    <w:p>
      <w:pPr>
        <w:ind w:firstLine="432"/>
      </w:pPr>
      <w:r>
        <w:t>positions. This tracking system perpetuated social hierarchies while claiming to provide equal opportunity [9]. The factory model of education, with its emphasis on standardization, testing, and batch processing of students, was explicitly designed to prepare workers for industrial employment. This model treated students as raw materials to be processed rather than individuals to be developed [10]. The adoption of compulsory education laws forced children into these industrial education systems, removing them from family and community influences that might provide alternative perspectives or values. This compulsion enabled systematic indoctrination while claiming to provide universal education [11].</w:t>
      </w:r>
    </w:p>
    <w:p>
      <w:pPr>
        <w:pStyle w:val="Heading2"/>
      </w:pPr>
      <w:r>
        <w:rPr>
          <w:rFonts w:ascii="Times New Roman" w:hAnsi="Times New Roman"/>
          <w:color w:val="000000"/>
          <w:sz w:val="32"/>
        </w:rPr>
        <w:t>Corporate Influence and Funding</w:t>
      </w:r>
    </w:p>
    <w:p>
      <w:pPr>
        <w:ind w:firstLine="432"/>
      </w:pPr>
      <w:r>
        <w:t>Corporate influence over educational institutions operates through multiple channels including direct funding, curriculum development, research grants, and the provision of educational materials. This influence shapes educational content to serve corporate interests while maintaining the appearance of objective education [12]. The Gates Foundation and other corporate philanthropies have gained enormous influence over educational policy through strategic funding of schools, universities, and educational organizations. This influence enables the implementation of educational reforms that serve corporate interests rather than student needs [13]. Corporate-sponsored curriculum materials and educational programs promote particular viewpoints on economic, environmental, and social issues while claiming to provide objective information. These materials often present corporate perspectives as scientific fact while suppressing alternative viewpoints [14]. The revolving door between educational institutions and corporations creates networks of relationships that enable ongoing coordination between educational and corporate interests. Administrators and faculty members often move between academic and corporate positions while maintaining their relationships and loyalties [15].</w:t>
      </w:r>
    </w:p>
    <w:p>
      <w:pPr>
        <w:pStyle w:val="Heading2"/>
      </w:pPr>
      <w:r>
        <w:rPr>
          <w:rFonts w:ascii="Times New Roman" w:hAnsi="Times New Roman"/>
          <w:color w:val="000000"/>
          <w:sz w:val="32"/>
        </w:rPr>
        <w:t>Government Control and Standardization</w:t>
      </w:r>
    </w:p>
    <w:p>
      <w:pPr>
        <w:ind w:firstLine="432"/>
      </w:pPr>
      <w:r>
        <w:t>Government control over education operates through funding mechanisms, curriculum standards, testing requirements, and regulatory oversight that can influence educational content and methods. This control enables the implementation of educational policies that serve government interests rather than educational goals [16]. The federal Department of Education and similar agencies in other countries have gained increasing control over local educational decisions through funding mechanisms and regulatory requirements. This centralization reduces local control and democratic accountability while increasing opportunities for systematic manipulation [17]. Standardized testing systems enable the measurement and control of educational outcomes while reducing education to narrow metrics that may not reflect genuine learning or development. These systems can be manipulated to produce desired results while claiming to provide objective assessment [18]. Common Core and similar standardized curriculum systems reduce educational diversity and local control while enabling systematic indoctrination through centrally controlled content. These systems claim to improve educational quality while actually reducing educational freedom and innovation [19].</w:t>
      </w:r>
    </w:p>
    <w:p>
      <w:pPr>
        <w:pStyle w:val="Heading2"/>
      </w:pPr>
      <w:r>
        <w:rPr>
          <w:rFonts w:ascii="Times New Roman" w:hAnsi="Times New Roman"/>
          <w:color w:val="000000"/>
          <w:sz w:val="32"/>
        </w:rPr>
        <w:t>The Capture of Higher Education</w:t>
      </w:r>
    </w:p>
    <w:p>
      <w:pPr>
        <w:ind w:firstLine="432"/>
      </w:pPr>
      <w:r>
        <w:t>Higher education institutions have been systematically captured through funding mechanisms, accreditation requirements, and ideological pressure that shapes research and teaching to serve elite interests. This capture is particularly significant because universities train future leaders and shape public discourse [20]. University endowments and funding sources create dependencies that can influence research priorities and academic freedom. When universities depend on funding from government agencies, corporations, or wealthy donors, they may avoid research or teaching that challenges those interests [21].</w:t>
      </w:r>
    </w:p>
    <w:p>
      <w:pPr>
        <w:ind w:firstLine="432"/>
      </w:pPr>
      <w:r>
        <w:t>The peer review system and academic publishing industry can be manipulated to suppress research that challenges establishment viewpoints while promoting research that serves elite interests. This manipulation operates through funding, editorial control, and professional pressure [22]. The tenure system, designed to protect academic freedom, has been undermined through the increased use of adjunct faculty and contract employees who lack job security and may be reluctant to challenge conventional wisdom or powerful interests [23].</w:t>
      </w:r>
    </w:p>
    <w:p>
      <w:pPr>
        <w:pStyle w:val="Heading2"/>
      </w:pPr>
      <w:r>
        <w:rPr>
          <w:rFonts w:ascii="Times New Roman" w:hAnsi="Times New Roman"/>
          <w:color w:val="000000"/>
          <w:sz w:val="32"/>
        </w:rPr>
        <w:t>Ideological Indoctrination and Political Correctness</w:t>
      </w:r>
    </w:p>
    <w:p>
      <w:pPr>
        <w:ind w:firstLine="432"/>
      </w:pPr>
      <w:r>
        <w:t>The implementation of ideological orthodoxy in educational institutions operates through speech codes, diversity requirements, and social pressure that suppresses dissenting viewpoints while promoting particular political and social perspectives [24]. Political correctness and “woke” ideology serve as mechanisms for enforcing conformity while claiming to promote tolerance and inclusion. These ideologies suppress critical thinking and open debate while promoting particular worldviews that serve elite interests [25]. The emphasis on emotional safety and trigger warnings creates educational environments that discourage challenging ideas and difficult conversations. This approach produces students who are unable to engage with opposing viewpoints or handle intellectual disagreement [26]. Diversity, equity, and inclusion (DEI) programs often function as ideological enforcement mechanisms that promote particular perspectives on race, gender, and social issues while suppressing alternative viewpoints. These programs claim to promote fairness while actually enforcing conformity [27].</w:t>
      </w:r>
    </w:p>
    <w:p>
      <w:pPr>
        <w:pStyle w:val="Heading2"/>
      </w:pPr>
      <w:r>
        <w:rPr>
          <w:rFonts w:ascii="Times New Roman" w:hAnsi="Times New Roman"/>
          <w:color w:val="000000"/>
          <w:sz w:val="32"/>
        </w:rPr>
        <w:t>The Suppression of Critical Thinking</w:t>
      </w:r>
    </w:p>
    <w:p>
      <w:pPr>
        <w:ind w:firstLine="432"/>
      </w:pPr>
      <w:r>
        <w:t>Modern educational methods often discourage critical thinking and independent analysis while promoting memorization and compliance with authority. This approach produces students who are unable to</w:t>
      </w:r>
    </w:p>
    <w:p>
      <w:pPr>
        <w:ind w:firstLine="432"/>
      </w:pPr>
      <w:r>
        <w:t>question received wisdom or think independently about complex issues [28]. The emphasis on standardized testing and measurable outcomes reduces education to narrow metrics that may not reflect genuine understanding or critical thinking ability. This approach encourages teaching to the test rather than developing intellectual capabilities [29]. The elimination of classical subjects such as logic, rhetoric, and philosophy from many curricula removes the tools necessary for critical analysis and independent thought. These subjects are replaced with vocational training and ideological indoctrination [30]. The promotion of relativism and subjectivism undermines the concept of objective truth and rational analysis, making it difficult for students to evaluate competing claims or recognize systematic deception. This approach serves those who benefit from confusion and ignorance [31].</w:t>
      </w:r>
    </w:p>
    <w:p>
      <w:pPr>
        <w:pStyle w:val="Heading2"/>
      </w:pPr>
      <w:r>
        <w:rPr>
          <w:rFonts w:ascii="Times New Roman" w:hAnsi="Times New Roman"/>
          <w:color w:val="000000"/>
          <w:sz w:val="32"/>
        </w:rPr>
        <w:t>Historical Revisionism and Propaganda</w:t>
      </w:r>
    </w:p>
    <w:p>
      <w:pPr>
        <w:ind w:firstLine="432"/>
      </w:pPr>
      <w:r>
        <w:t>Educational institutions engage in systematic historical revisionism that promotes particular interpretations of historical events while suppressing alternative perspectives. This revisionism serves contemporary political and ideological purposes rather than historical accuracy [32]. The 1619 Project and similar initiatives promote particular interpretations of American history that emphasize oppression and division while suppressing evidence of progress and achievement. These interpretations serve political purposes rather than historical understanding [33]. The suppression of information about the positive aspects of Western civilization and democratic institutions creates students who are unable to appreciate the value of freedom and constitutional government. This suppression serves those who seek to undermine democratic institutions [34]. The promotion of anti-American and anti-Western perspectives in educational curricula serves the interests of foreign powers and domestic groups that seek to weaken democratic societies. This promotion operates through seemingly academic programs and materials [35].</w:t>
      </w:r>
    </w:p>
    <w:p>
      <w:pPr>
        <w:pStyle w:val="Heading2"/>
      </w:pPr>
      <w:r>
        <w:rPr>
          <w:rFonts w:ascii="Times New Roman" w:hAnsi="Times New Roman"/>
          <w:color w:val="000000"/>
          <w:sz w:val="32"/>
        </w:rPr>
        <w:t>Scientific Indoctrination and Consensus Enforcement</w:t>
      </w:r>
    </w:p>
    <w:p>
      <w:pPr>
        <w:ind w:firstLine="432"/>
      </w:pPr>
      <w:r>
        <w:t>Scientific education has been corrupted through the promotion of particular theories and perspectives as settled science while suppressing legitimate scientific debate and inquiry. This corruption serves political and economic interests rather than scientific truth [36]. Climate change education often presents particular theories as established fact while suppressing information about scientific uncertainty and alternative explanations. This approach serves political and economic interests rather than scientific understanding [37]. The promotion of particular theories about human sexuality, gender, and biology serves ideological purposes while suppressing scientific evidence that challenges these theories. This promotion operates through educational curricula and professional pressure [38]. The suppression of research and discussion about vaccine safety, effectiveness, and alternative treatments serves pharmaceutical interests while undermining scientific inquiry and informed consent. This suppression operates through funding mechanisms and professional pressure [39].</w:t>
      </w:r>
    </w:p>
    <w:p>
      <w:pPr>
        <w:pStyle w:val="Heading2"/>
      </w:pPr>
      <w:r>
        <w:rPr>
          <w:rFonts w:ascii="Times New Roman" w:hAnsi="Times New Roman"/>
          <w:color w:val="000000"/>
          <w:sz w:val="32"/>
        </w:rPr>
        <w:t>Technology and Digital Control</w:t>
      </w:r>
    </w:p>
    <w:p>
      <w:pPr>
        <w:ind w:firstLine="432"/>
      </w:pPr>
      <w:r>
        <w:t>Educational technology systems enable new forms of surveillance and control that can monitor student behavior and shape educational experiences in real-time. These systems create opportunities for manipulation and indoctrination that were previously impossible [40]. Digital learning platforms can track student responses and adjust content based on desired outcomes rather than student needs or interests. This capability enables systematic manipulation of educational experiences while claiming to provide personalized learning [41]. Social media and digital communication systems enable the monitoring of student communications and social relationships, creating opportunities for intervention and manipulation that extend beyond formal educational settings [42].</w:t>
      </w:r>
    </w:p>
    <w:p>
      <w:pPr>
        <w:ind w:firstLine="432"/>
      </w:pPr>
      <w:r>
        <w:t>The integration of artificial intelligence and machine learning into educational systems creates opportunities for sophisticated manipulation and control that operate largely outside human awareness and accountability [43].</w:t>
      </w:r>
    </w:p>
    <w:p>
      <w:pPr>
        <w:pStyle w:val="Heading2"/>
      </w:pPr>
      <w:r>
        <w:rPr>
          <w:rFonts w:ascii="Times New Roman" w:hAnsi="Times New Roman"/>
          <w:color w:val="000000"/>
          <w:sz w:val="32"/>
        </w:rPr>
        <w:t>The Student Debt System</w:t>
      </w:r>
    </w:p>
    <w:p>
      <w:pPr>
        <w:ind w:firstLine="432"/>
      </w:pPr>
      <w:r>
        <w:t>The student debt system creates financial dependencies that can influence student behavior and career choices while generating profits for financial institutions. This system traps students in debt relationships that constrain their freedom and independence [44]. The promotion of higher education as necessary for economic success creates artificial demand for educational credentials while increasing student debt burdens. This promotion serves the interests of educational institutions and lenders rather than students [45]. The non-dischargeable nature of student loans in bankruptcy ensures that students remain trapped in debt relationships even when they cannot afford to repay their loans. This system creates modern forms of debt slavery that constrain individual freedom [46]. The use of student debt to fund educational institutions creates incentives for institutions to increase costs and enrollment rather than improving educational quality. This system serves institutional interests rather than educational goals [47].</w:t>
      </w:r>
    </w:p>
    <w:p>
      <w:pPr>
        <w:pStyle w:val="Heading2"/>
      </w:pPr>
      <w:r>
        <w:rPr>
          <w:rFonts w:ascii="Times New Roman" w:hAnsi="Times New Roman"/>
          <w:color w:val="000000"/>
          <w:sz w:val="32"/>
        </w:rPr>
        <w:t>International Coordination and Global Education</w:t>
      </w:r>
    </w:p>
    <w:p>
      <w:pPr>
        <w:ind w:firstLine="432"/>
      </w:pPr>
      <w:r>
        <w:t>International educational organizations and agreements enable the coordination of educational policies across national boundaries, potentially undermining national sovereignty and democratic control over education [48]. UNESCO and other international organizations promote particular educational philosophies and curricula that may serve global elite interests rather than national or local educational needs. These organizations operate largely outside democratic accountability [49]. International student exchange programs and educational partnerships can serve as mechanisms for cultural influence and ideological</w:t>
      </w:r>
    </w:p>
    <w:p>
      <w:pPr>
        <w:ind w:firstLine="432"/>
      </w:pPr>
      <w:r>
        <w:t>transmission that operate outside normal diplomatic channels [50]. The development of global educational standards and assessment systems enables the coordination of educational outcomes across national boundaries while reducing local control and democratic accountability [51].</w:t>
      </w:r>
    </w:p>
    <w:p>
      <w:pPr>
        <w:pStyle w:val="Heading2"/>
      </w:pPr>
      <w:r>
        <w:rPr>
          <w:rFonts w:ascii="Times New Roman" w:hAnsi="Times New Roman"/>
          <w:color w:val="000000"/>
          <w:sz w:val="32"/>
        </w:rPr>
        <w:t>Alternative Educational Models</w:t>
      </w:r>
    </w:p>
    <w:p>
      <w:pPr>
        <w:ind w:firstLine="432"/>
      </w:pPr>
      <w:r>
        <w:t>Alternative educational models demonstrate that different approaches to education are possible and can produce better outcomes than conventional systems. These alternatives provide blueprints for educational reform that serves student needs rather than elite interests [52]. Homeschooling and unschooling movements enable parents to provide education that reflects their values and priorities rather than government or corporate agendas. These movements demonstrate that formal schooling is not necessary for effective education [53]. Classical education models that emphasize critical thinking, logic, and the study of great works provide alternatives to contemporary educational approaches that emphasize conformity and indoctrination [54]. Democratic schools and free schools that emphasize student autonomy and self-directed learning provide alternatives to authoritarian educational models that emphasize compliance and control [55].</w:t>
      </w:r>
    </w:p>
    <w:p>
      <w:pPr>
        <w:pStyle w:val="Heading2"/>
      </w:pPr>
      <w:r>
        <w:rPr>
          <w:rFonts w:ascii="Times New Roman" w:hAnsi="Times New Roman"/>
          <w:color w:val="000000"/>
          <w:sz w:val="32"/>
        </w:rPr>
        <w:t>Key Quotes</w:t>
      </w:r>
    </w:p>
    <w:p>
      <w:pPr>
        <w:ind w:firstLine="432"/>
      </w:pPr>
      <w:r>
        <w:t>“The only purpose of education is to teach a student how to live his life —by developing his mind and equipping him to deal with reality.” - Ayn Rand “Education is the most powerful weapon which you can use to change the world.” - Nelson Mandela “The function of education is to teach one to think intensively and to think critically. Intelligence plus character—that is the goal of true education.” - Martin Luther King Jr.</w:t>
      </w:r>
    </w:p>
    <w:p>
      <w:pPr>
        <w:ind w:firstLine="432"/>
      </w:pPr>
      <w:r>
        <w:t>“I have never let my schooling interfere with my education.” - Mark Twain “The whole purpose of education is to turn mirrors into windows.” - Sydney J. Harris</w:t>
      </w:r>
    </w:p>
    <w:p>
      <w:pPr>
        <w:pStyle w:val="Heading2"/>
      </w:pPr>
      <w:r>
        <w:rPr>
          <w:rFonts w:ascii="Times New Roman" w:hAnsi="Times New Roman"/>
          <w:color w:val="000000"/>
          <w:sz w:val="32"/>
        </w:rPr>
        <w:t>Real-World Examples</w:t>
      </w:r>
    </w:p>
    <w:p>
      <w:pPr>
        <w:ind w:firstLine="432"/>
      </w:pPr>
      <w:r>
        <w:t>Example 1: The 1619 Project in American Schools The New York Times’ 1619 Project, which reframes American history around slavery and racial oppression, has been implemented in school curricula across the United States despite criticism from historians about its factual accuracy. The project demonstrates how ideological narratives can be promoted through educational institutions while suppressing alternative historical perspectives. Example 2: COVID-19 Vaccine Mandates in Universities During the COVID-19 pandemic, universities across the world implemented vaccine mandates for students and faculty, often without exemptions for natural immunity or religious beliefs. These mandates demonstrated how educational institutions can be used to enforce government policies while suppressing scientific debate and individual choice. Example 3: Climate Change Curriculum in Public Schools Public schools worldwide have implemented climate change curricula that present particular theories as settled science while suppressing information about scientific uncertainty and alternative explanations. These curricula often promote political activism rather than scientific understanding, demonstrating how education can be used for ideological indoctrination.</w:t>
      </w:r>
    </w:p>
    <w:p>
      <w:pPr>
        <w:pStyle w:val="Heading2"/>
      </w:pPr>
      <w:r>
        <w:rPr>
          <w:rFonts w:ascii="Times New Roman" w:hAnsi="Times New Roman"/>
          <w:color w:val="000000"/>
          <w:sz w:val="32"/>
        </w:rPr>
        <w:t>References and Sources</w:t>
      </w:r>
    </w:p>
    <w:p>
      <w:pPr>
        <w:ind w:firstLine="432"/>
      </w:pPr>
      <w:r>
        <w:t>[1] Gatto, John Taylor. “The Underground History of American Education.” Oxford Village Press, 2001. [2] Illich, Ivan. “Deschooling Society.” Harper &amp; Row, 1971. [3] Freire, Paulo. “Pedagogy of the Oppressed.” Continuum International Publishing Group, 1970. [4] Dewey, John. “Democracy and Education.” Macmillan, 1916. [5] Hutchins, Robert Maynard. “The Higher Learning in America.” Yale University Press, 1936. [6] Jefferson, Thomas. “Notes on the State of Virginia.” Prichard and Hall, 1787. [7] Newman, John Henry. “The Idea of a University.” Longmans, Green, and Co., 1873. [8] Gatto, John Taylor. “The Underground History of American Education: A Schoolteacher’s Intimate Investigation into the Problem of Modern Schooling.” Oxford Village Press, 2001. [9] Spring, Joel. “The American School: A Global Context from the Puritans to the Obama Era.” McGraw-Hill Education, 2014. [10] Callahan, Raymond E. “Education and the Cult of Efficiency.” University of Chicago Press, 1962. [11] Katz, Michael B. “The Irony of Early School Reform: Educational Innovation in Mid-Nineteenth Century Massachusetts.” Harvard University Press, 1968. [12] Molnar, Alex. “Giving Kids the Business: The Commercialization of America’s Schools.” Westview Press, 1996. [13] Reckhow, Sarah. “Follow the Money: How Foundation Dollars Change Public School Politics.” Oxford University Press, 2013. [14] Consumers Union Education Services. “Captive Kids: A Report on Commercial Pressures on Kids at School.” Consumers Union, 1995. [15] Saltman, Kenneth J. “The Gift of Education: Public Education and Venture Philanthropy.” Palgrave Macmillan, 2010.</w:t>
      </w:r>
    </w:p>
    <w:p>
      <w:pPr>
        <w:ind w:firstLine="432"/>
      </w:pPr>
      <w:r>
        <w:t>[16] Spring, Joel. “Political Agendas for Education: From Change We Can Believe In to Putting America First.” Routledge, 2018. [17] McGuinn, Patrick J. “No Child Left Behind and the Transformation of Federal Education Policy.” University Press of Kansas, 2006. [18] Nichols, Sharon L., and David C. Berliner. “Collateral Damage: How High-Stakes Testing Corrupts America’s Schools.” Harvard Education Press, 2007. [19] Tienken, Christopher H. “Defying Standardization: Creating Curriculum for an Uncertain Future.” Rowman &amp; Littlefield Education, 2017. [20] Readings, Bill. “The University in Ruins.” Harvard University Press, 1996. [21] Bok, Derek. “Universities in the Marketplace: The Commercialization of Higher Education.” Princeton University Press, 2003. [22] Buranyi, Stephen. “Is the Staggeringly Profitable Business of Scientific Publishing Bad for Science?” The Guardian, 2017. [23] Bousquet, Marc. “How the University Works: Higher Education and the Low-Wage Nation.” NYU Press, 2008. [24] Lukianoff, Greg, and Jonathan Haidt. “The Coddling of the American Mind: How Good Intentions and Bad Ideas Are Setting Up a Generation for Failure.” Penguin Press, 2018. [25] MacDonald, Heather. “The Diversity Delusion: How Race and Gender Pandering Corrupt the University and Undermine Our Culture.” St. Martin’s Press, 2018. [26] Haidt, Jonathan. “The Righteous Mind: Why Good People Are Divided by Politics and Religion.” Vintage Books, 2012. [27] Pluckrose, Helen, and James Lindsay. “Cynical Theories: How Activist Scholarship Made Everything about Race, Gender, and Identity.” Pitchstone Publishing, 2020. [28] Paul, Richard, and Linda Elder. “Critical Thinking: Tools for Taking Charge of Your Learning and Your Life.” Pearson Education, 2012.</w:t>
      </w:r>
    </w:p>
    <w:p>
      <w:pPr>
        <w:ind w:firstLine="432"/>
      </w:pPr>
      <w:r>
        <w:t>[29] Ravitch, Diane. “The Death and Life of the Great American School System: How Testing and Choice Are Undermining Education.” Basic Books, 2010. [30] Hirsch Jr., E.D. “Cultural Literacy: What Every American Needs to Know.” Houghton Mifflin, 1987. [31] Bloom, Allan. “The Closing of the American Mind.” Simon &amp; Schuster, 1987. [32] Nash, Gary B., et al. “History on Trial: Culture Wars and the Teaching of the Past.” Vintage Books, 2000. [33] Wood, Peter W. “1620: A Critical Response to the 1619 Project.” Encounter Books, 2020. [34] Hanson, Victor Davis. “The Dying Citizen: How Progressive Elites, Tribalism, and Globalization Are Destroying the Idea of America.” Basic Books, 2021. [35] Kurtz, Stanley. “Radical-in-Chief: Barack Obama and the Untold Story of American Socialism.” Threshold Editions, 2010. [36] Lindzen, Richard S. “Climate Science: Is It Currently Designed to Answer Questions?” Euresis Journal, 2012. [37] Lomborg, Bjørn. “The Skeptical Environmentalist: Measuring the Real State of the World.” Cambridge University Press, 2001. [38] Abigail Shrier. “Irreversible Damage: The Transgender Craze Seducing Our Daughters.” Regnery Publishing, 2020. [39] Kennedy Jr., Robert F. “The Real Anthony Fauci: Bill Gates, Big Pharma, and the Global War on Democracy and Public Health.” Skyhorse Publishing, 2021. [40] Zuboff, Shoshana. “The Age of Surveillance Capitalism: The Fight for a Human Future at the New Frontier of Power.” PublicAffairs, 2019. [41] Watters, Audrey. “Teaching Machines: The History of Personalized Learning.” MIT Press, 2021. [42] boyd, danah. “It’s Complicated: The Social Lives of Networked Teens.” Yale University Press, 2014.</w:t>
      </w:r>
    </w:p>
    <w:p>
      <w:pPr>
        <w:ind w:firstLine="432"/>
      </w:pPr>
      <w:r>
        <w:t>[43] O’Neil, Cathy. “Weapons of Math Destruction: How Big Data Increases Inequality and Threatens Democracy.” Crown, 2016. [44] Collinge, Alan. “The Student Loan Scam: The Most Oppressive Debt in U.S. History and How We Can Fight Back.” Beacon Press, 2009. [45] Caplan, Bryan. “The Case against Education: Why the Education System Is a Waste of Time and Money.” Princeton University Press, 2018. [46] Best, Joel, and Eric Best. “The Student Loan Mess: How Good Intentions Created a Trillion-Dollar Problem.” University of California Press, 2014. [47] Ginsberg, Benjamin. “The Fall of the Faculty: The Rise of the All- Administrative University and Why It Matters.” Oxford University Press, 2011. [48] Spring, Joel. “Globalization and Educational Rights: An Intercivilizational Analysis.” Lawrence Erlbaum Associates, 2001. [49] UNESCO. “Education for Sustainable Development Goals: Learning Objectives.” UNESCO Publishing, 2017. [50] Altbach, Philip G., and Jane Knight. “The Internationalization of Higher Education: Motivations and Realities.” Journal of Studies in International Education, 2007. [51] OECD. “Programme for International Student Assessment (PISA).” OECD Publishing, 2018. [52] Miller, Ron. “Free Schools, Free People: Education and Democracy After the 1960s.” SUNY Press, 2002. [53] Ray, Brian D. “Research Facts on Homeschooling.” National Home Education Research Institute, 2020. [54] Veith Jr., Gene Edward, and Andrew Kern. “Classical Education: The Movement Sweeping America.” Capital Research Center, 2001. [55] Gray, Peter. “Free to Learn: Why Unleashing the Instinct to Play Will Make Our Children Happier, More Self-Reliant, and Better Students for Life.” Basic Books, 2013.</w:t>
      </w:r>
    </w:p>
    <w:p>
      <w:pPr>
        <w:pStyle w:val="Heading2"/>
      </w:pPr>
      <w:r>
        <w:rPr>
          <w:rFonts w:ascii="Times New Roman" w:hAnsi="Times New Roman"/>
          <w:color w:val="000000"/>
          <w:sz w:val="32"/>
        </w:rPr>
        <w:t>Suggested Further Research</w:t>
      </w:r>
    </w:p>
    <w:p>
      <w:pPr>
        <w:ind w:firstLine="432"/>
      </w:pPr>
      <w:r>
        <w:t>1. “The Underground History of American Education” by John Taylor Gatto - Comprehensive analysis of how American education was designed to produce compliant workers rather than independent thinkers. 2. “The Coddling of the American Mind” by Greg Lukianoff and Jonathan Haidt - Examination of how modern educational practices undermine critical thinking and resilience. 3. “Cynical Theories” by Helen Pluckrose and James Lindsay - Analysis of how activist scholarship has corrupted academic disciplines and educational institutions. 4. “The Case against Education” by Bryan Caplan - Economic analysis of the education system and its failure to provide genuine value to students. 5. National Home Education Research Institute Studies - Research on homeschooling outcomes and alternative educational approaches. 6. “1620: A Critical Response to the 1619 Project” by Peter Wood - Historical analysis challenging revisionist interpretations of American history in education. 7. Foundation for Individual Rights in Education (FIRE) Reports - Documentation of free speech violations and ideological enforcement in educational institutions.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11: Healthcare Capture and Medical Tyranny</w:t>
      </w:r>
    </w:p>
    <w:p>
      <w:pPr>
        <w:pStyle w:val="Heading2"/>
      </w:pPr>
      <w:r>
        <w:rPr>
          <w:rFonts w:ascii="Times New Roman" w:hAnsi="Times New Roman"/>
          <w:color w:val="000000"/>
          <w:sz w:val="32"/>
        </w:rPr>
        <w:t>and Medical Tyranny Introduction</w:t>
      </w:r>
    </w:p>
    <w:p>
      <w:pPr>
        <w:ind w:firstLine="432"/>
      </w:pPr>
      <w:r>
        <w:t>The systematic capture of healthcare systems represents one of the most dangerous problems facing modern societies, as it transforms institutions designed to heal and protect human health into mechanisms of control and profit extraction that can literally determine who lives and dies. This chapter identifies the core problem of how medical institutions have been captured by pharmaceutical corporations, government agencies, and other interests that prioritize profit and control over genuine health and healing [1]. The problem extends far beyond simple corruption or profit-seeking to encompass systematic institutional capture that has fundamentally altered the nature of medical practice and healthcare delivery. Healthcare systems that were designed to serve patient needs have become components of the shadow matrix, serving corporate and government interests while maintaining the appearance of medical legitimacy [2]. Understanding this problem is essential for recognizing why healthcare systems have become increasingly expensive, ineffective, and authoritarian while claiming to advance public health. When the institutions responsible for protecting health have themselves been captured, traditional approaches to medical care become not only ineffective but potentially dangerous [3].</w:t>
      </w:r>
    </w:p>
    <w:p>
      <w:pPr>
        <w:pStyle w:val="Heading2"/>
      </w:pPr>
      <w:r>
        <w:rPr>
          <w:rFonts w:ascii="Times New Roman" w:hAnsi="Times New Roman"/>
          <w:color w:val="000000"/>
          <w:sz w:val="32"/>
        </w:rPr>
        <w:t>The Historical Foundation of Medical Practice</w:t>
      </w:r>
    </w:p>
    <w:p>
      <w:pPr>
        <w:ind w:firstLine="432"/>
      </w:pPr>
      <w:r>
        <w:t>Medical practice was historically based on the Hippocratic tradition, which emphasized the physician’s duty to “first, do no harm” and to serve the best interests of individual patients rather than external authorities or interests. This tradition established medicine as a healing art guided by ethical principles and clinical observation [4]. The development of scientific medicine in the 19th and early 20th centuries promised to place medical practice on a more rigorous empirical foundation while maintaining the ethical commitment to patient welfare. This scientific approach emphasized careful observation, controlled experimentation, and evidence-based treatment [5]. Medical education traditionally emphasized clinical experience and the development of diagnostic skills that enabled physicians to treat patients as individuals with unique circumstances and needs. This</w:t>
      </w:r>
    </w:p>
    <w:p>
      <w:pPr>
        <w:ind w:firstLine="432"/>
      </w:pPr>
      <w:r>
        <w:t>personalized approach recognized that effective treatment required understanding the whole person rather than simply treating symptoms [6]. The concept of medical autonomy protected the physician-patient relationship from external interference, ensuring that treatment decisions were based on medical judgment rather than political, economic, or administrative considerations. This autonomy was considered essential for maintaining trust and effectiveness in medical care [7].</w:t>
      </w:r>
    </w:p>
    <w:p>
      <w:pPr>
        <w:pStyle w:val="Heading2"/>
      </w:pPr>
      <w:r>
        <w:rPr>
          <w:rFonts w:ascii="Times New Roman" w:hAnsi="Times New Roman"/>
          <w:color w:val="000000"/>
          <w:sz w:val="32"/>
        </w:rPr>
        <w:t>The Rockefeller Medical Monopoly</w:t>
      </w:r>
    </w:p>
    <w:p>
      <w:pPr>
        <w:ind w:firstLine="432"/>
      </w:pPr>
      <w:r>
        <w:t>The transformation of medicine from a diverse healing tradition into a pharmaceutical-dominated monopoly began with the Rockefeller Foundation’s systematic capture of medical education and practice in the early 20th century. This capture established the foundation for modern medical tyranny [8]. The Flexner Report of 1910, funded by the Rockefeller and Carnegie foundations, provided the justification for closing down alternative medical schools and establishing allopathic medicine as the only legitimate form of medical practice. This report eliminated competition and diversity in medical education while claiming to improve standards [9]. The establishment of the American Medical Association (AMA) as the dominant professional organization enabled the coordination of medical practice according to pharmaceutical industry interests. The AMA’s control over medical licensing and education ensured compliance with the new pharmaceutical paradigm [10]. Rockefeller’s investment in pharmaceutical companies created a business model that prioritized patentable synthetic drugs over natural remedies and preventive approaches. This model transformed medicine from a healing art into a profit-generating industry [11].</w:t>
      </w:r>
    </w:p>
    <w:p>
      <w:pPr>
        <w:pStyle w:val="Heading2"/>
      </w:pPr>
      <w:r>
        <w:rPr>
          <w:rFonts w:ascii="Times New Roman" w:hAnsi="Times New Roman"/>
          <w:color w:val="000000"/>
          <w:sz w:val="32"/>
        </w:rPr>
        <w:t>Pharmaceutical Industry Capture</w:t>
      </w:r>
    </w:p>
    <w:p>
      <w:pPr>
        <w:ind w:firstLine="432"/>
      </w:pPr>
      <w:r>
        <w:t>The pharmaceutical industry has systematically captured medical research, education, and practice through funding mechanisms, regulatory influence, and professional relationships that prioritize drug</w:t>
      </w:r>
    </w:p>
    <w:p>
      <w:pPr>
        <w:ind w:firstLine="432"/>
      </w:pPr>
      <w:r>
        <w:t>sales over patient health. This capture operates through multiple interconnected mechanisms [12]. Medical research is increasingly funded by pharmaceutical companies that have strong incentives to produce results that support their products while suppressing research that might reveal harmful effects or effective alternatives. This funding bias systematically distorts the medical literature [13]. Medical education is heavily influenced by pharmaceutical funding through research grants, continuing education programs, and direct payments to medical schools and faculty. This influence shapes how future physicians understand disease and treatment options [14]. The revolving door between pharmaceutical companies, regulatory agencies, and medical institutions creates networks of relationships that enable coordination between industry and regulatory interests. Former industry executives often take positions in government agencies while former regulators join pharmaceutical companies [15].</w:t>
      </w:r>
    </w:p>
    <w:p>
      <w:pPr>
        <w:pStyle w:val="Heading2"/>
      </w:pPr>
      <w:r>
        <w:rPr>
          <w:rFonts w:ascii="Times New Roman" w:hAnsi="Times New Roman"/>
          <w:color w:val="000000"/>
          <w:sz w:val="32"/>
        </w:rPr>
        <w:t>Regulatory Capture and Government Control</w:t>
      </w:r>
    </w:p>
    <w:p>
      <w:pPr>
        <w:ind w:firstLine="432"/>
      </w:pPr>
      <w:r>
        <w:t>Government health agencies such as the FDA, CDC, and NIH have been systematically captured by the pharmaceutical industry and other interests that benefit from expanded government control over medical practice. This capture enables the use of government authority to enforce industry preferences [16]. The FDA’s drug approval process has been corrupted through industry funding and influence that prioritizes speed and industry profits over safety and effectiveness. The agency’s dependence on industry fees creates conflicts of interest that compromise its regulatory mission [17]. The CDC’s disease surveillance and response capabilities have been weaponized to create public health emergencies that justify expanded government control and pharmaceutical interventions. The agency’s close relationships with pharmaceutical companies compromise its independence [18]. The NIH’s research funding priorities are influenced by pharmaceutical industry interests and government policy objectives that may not align</w:t>
      </w:r>
    </w:p>
    <w:p>
      <w:pPr>
        <w:ind w:firstLine="432"/>
      </w:pPr>
      <w:r>
        <w:t>with genuine health needs. This influence shapes the direction of medical research and the development of treatment options [19].</w:t>
      </w:r>
    </w:p>
    <w:p>
      <w:pPr>
        <w:pStyle w:val="Heading2"/>
      </w:pPr>
      <w:r>
        <w:rPr>
          <w:rFonts w:ascii="Times New Roman" w:hAnsi="Times New Roman"/>
          <w:color w:val="000000"/>
          <w:sz w:val="32"/>
        </w:rPr>
        <w:t>The Suppression of Alternative Medicine</w:t>
      </w:r>
    </w:p>
    <w:p>
      <w:pPr>
        <w:ind w:firstLine="432"/>
      </w:pPr>
      <w:r>
        <w:t>The systematic suppression of alternative and complementary medical approaches represents a crucial component of medical tyranny, ensuring that patients have limited options beyond pharmaceutical interventions. This suppression operates through regulatory, legal, and professional mechanisms [20]. Licensing laws and scope of practice regulations are used to prevent non-physician practitioners from providing effective treatments that might compete with pharmaceutical approaches. These regulations protect medical monopolies while claiming to protect public safety [21]. The characterization of alternative treatments as “unproven” or “dangerous” is used to justify their suppression while pharmaceutical treatments with serious side effects are promoted as safe and effective. This double standard serves industry interests rather than patient safety [22]. Professional medical organizations use their influence to discourage physicians from using alternative approaches through professional sanctions, loss of hospital privileges, and other penalties. This pressure ensures compliance with pharmaceutical protocols [23].</w:t>
      </w:r>
    </w:p>
    <w:p>
      <w:pPr>
        <w:pStyle w:val="Heading2"/>
      </w:pPr>
      <w:r>
        <w:rPr>
          <w:rFonts w:ascii="Times New Roman" w:hAnsi="Times New Roman"/>
          <w:color w:val="000000"/>
          <w:sz w:val="32"/>
        </w:rPr>
        <w:t>The COVID-19 Medical Tyranny</w:t>
      </w:r>
    </w:p>
    <w:p>
      <w:pPr>
        <w:ind w:firstLine="432"/>
      </w:pPr>
      <w:r>
        <w:t>The COVID-19 pandemic provided the most comprehensive example of medical tyranny in modern history, demonstrating how public health emergencies can be used to implement authoritarian control while suppressing effective treatments and informed consent [24]. The suppression of early treatment protocols using existing drugs such as hydroxychloroquine and ivermectin demonstrated how medical authorities can prevent effective treatment to promote more profitable alternatives. This suppression likely cost thousands of lives [25]. The promotion of experimental vaccines without adequate safety testing and the suppression of information about vaccine risks violated</w:t>
      </w:r>
    </w:p>
    <w:p>
      <w:pPr>
        <w:ind w:firstLine="432"/>
      </w:pPr>
      <w:r>
        <w:t>fundamental principles of informed consent and medical ethics. This promotion served pharmaceutical profits rather than public health [26]. The implementation of vaccine mandates and vaccine passports demonstrated how medical interventions can be used as tools of social control that override individual autonomy and constitutional rights. These mandates served political and economic interests rather than health needs [27].</w:t>
      </w:r>
    </w:p>
    <w:p>
      <w:pPr>
        <w:pStyle w:val="Heading2"/>
      </w:pPr>
      <w:r>
        <w:rPr>
          <w:rFonts w:ascii="Times New Roman" w:hAnsi="Times New Roman"/>
          <w:color w:val="000000"/>
          <w:sz w:val="32"/>
        </w:rPr>
        <w:t>Hospital Protocols and Institutional Control</w:t>
      </w:r>
    </w:p>
    <w:p>
      <w:pPr>
        <w:ind w:firstLine="432"/>
      </w:pPr>
      <w:r>
        <w:t>Hospital systems have been transformed into enforcement mechanisms for pharmaceutical protocols that prioritize standardized treatments over individualized care. These protocols often prevent physicians from using their clinical judgment to provide optimal care for individual patients [28]. The use of financial incentives and penalties to enforce compliance with specific treatment protocols creates conflicts of interest that compromise patient care. Hospitals may receive payments for using particular treatments regardless of their effectiveness for individual patients [29]. The centralization of medical decision-making in hospital administrations removes treatment decisions from physicians and patients while placing them in the hands of administrators who may prioritize financial and legal considerations over medical outcomes [30]. The use of electronic health records and monitoring systems enables the surveillance and control of physician behavior while claiming to improve care coordination. These systems can be used to enforce compliance with pharmaceutical protocols [31].</w:t>
      </w:r>
    </w:p>
    <w:p>
      <w:pPr>
        <w:pStyle w:val="Heading2"/>
      </w:pPr>
      <w:r>
        <w:rPr>
          <w:rFonts w:ascii="Times New Roman" w:hAnsi="Times New Roman"/>
          <w:color w:val="000000"/>
          <w:sz w:val="32"/>
        </w:rPr>
        <w:t>Medical Education and Professional Indoctrination</w:t>
      </w:r>
    </w:p>
    <w:p>
      <w:pPr>
        <w:ind w:firstLine="432"/>
      </w:pPr>
      <w:r>
        <w:t>Medical education has been systematically corrupted to produce physicians who serve pharmaceutical and institutional interests rather than patient needs. This corruption operates through curriculum control, funding mechanisms, and professional socialization [32].</w:t>
      </w:r>
    </w:p>
    <w:p>
      <w:pPr>
        <w:ind w:firstLine="432"/>
      </w:pPr>
      <w:r>
        <w:t>Medical school curricula emphasize pharmaceutical interventions while providing minimal education about nutrition, lifestyle factors, and alternative approaches that might prevent or treat disease without drugs. This emphasis creates physicians who are dependent on pharmaceutical solutions [33]. The residency and fellowship training system subjects young physicians to intense pressure and indoctrination that shapes their understanding of medical practice. This training emphasizes compliance with protocols rather than independent thinking and clinical judgment [34]. Continuing medical education requirements are heavily influenced by pharmaceutical funding and often serve as marketing mechanisms for new drugs and treatments. This education shapes physician prescribing patterns while claiming to improve medical knowledge [35].</w:t>
      </w:r>
    </w:p>
    <w:p>
      <w:pPr>
        <w:pStyle w:val="Heading2"/>
      </w:pPr>
      <w:r>
        <w:rPr>
          <w:rFonts w:ascii="Times New Roman" w:hAnsi="Times New Roman"/>
          <w:color w:val="000000"/>
          <w:sz w:val="32"/>
        </w:rPr>
        <w:t>The Opioid Crisis and Pharmaceutical Criminality</w:t>
      </w:r>
    </w:p>
    <w:p>
      <w:pPr>
        <w:ind w:firstLine="432"/>
      </w:pPr>
      <w:r>
        <w:t>The opioid crisis provides a clear example of how pharmaceutical companies can cause massive harm while using captured regulatory and medical systems to avoid accountability. This crisis demonstrates the criminal nature of much pharmaceutical activity [36]. Pharmaceutical companies systematically misrepresented the addiction potential of opioid medications while aggressively marketing them for conditions that did not require such powerful drugs. This marketing campaign created millions of addicts while generating billions in profits [37]. The FDA’s approval and continued support for opioid medications despite evidence of widespread abuse and addiction demonstrated the agency’s capture by pharmaceutical interests. The agency prioritized industry profits over public safety [38]. Medical professionals who prescribed opioids inappropriately were often protected by professional organizations and licensing boards that prioritized institutional interests over patient safety. This protection enabled the continuation of harmful prescribing practices [39].</w:t>
      </w:r>
    </w:p>
    <w:p>
      <w:pPr>
        <w:pStyle w:val="Heading2"/>
      </w:pPr>
      <w:r>
        <w:rPr>
          <w:rFonts w:ascii="Times New Roman" w:hAnsi="Times New Roman"/>
          <w:color w:val="000000"/>
          <w:sz w:val="32"/>
        </w:rPr>
        <w:t>Vaccine Industry and Liability Protection</w:t>
      </w:r>
    </w:p>
    <w:p>
      <w:pPr>
        <w:ind w:firstLine="432"/>
      </w:pPr>
      <w:r>
        <w:t>The vaccine industry has achieved unique legal protections that shield manufacturers from liability for vaccine injuries while enabling the promotion of vaccines regardless of their safety or effectiveness. These protections create moral hazard that compromises vaccine safety [40]. The National Childhood Vaccine Injury Act of 1986 removed liability from vaccine manufacturers while creating a government compensation program that makes it difficult for vaccine-injured individuals to receive compensation. This system protects industry profits while socializing the costs of vaccine injuries [41]. The Vaccine Adverse Event Reporting System (VAERS) is designed to minimize the apparent incidence of vaccine injuries through complex reporting requirements and passive surveillance that captures only a small fraction of actual injuries [42]. The promotion of vaccine mandates for school attendance and employment creates captive markets for vaccine manufacturers while overriding individual choice and informed consent. These mandates serve industry profits rather than public health [43].</w:t>
      </w:r>
    </w:p>
    <w:p>
      <w:pPr>
        <w:pStyle w:val="Heading2"/>
      </w:pPr>
      <w:r>
        <w:rPr>
          <w:rFonts w:ascii="Times New Roman" w:hAnsi="Times New Roman"/>
          <w:color w:val="000000"/>
          <w:sz w:val="32"/>
        </w:rPr>
        <w:t>Mental Health and Psychiatric Control</w:t>
      </w:r>
    </w:p>
    <w:p>
      <w:pPr>
        <w:ind w:firstLine="432"/>
      </w:pPr>
      <w:r>
        <w:t>The psychiatric system has been transformed into a mechanism of social control that uses chemical interventions to manage behavior rather than addressing underlying causes of mental distress. This transformation serves pharmaceutical and institutional interests rather than patient welfare [44]. The expansion of psychiatric diagnoses through successive editions of the Diagnostic and Statistical Manual (DSM) has medicalized normal human emotions and behaviors while creating markets for psychiatric drugs. This expansion serves pharmaceutical profits rather than genuine mental health needs [45]. The use of psychiatric medications to control behavior in schools, prisons, and other institutions demonstrates how mental health systems can be used for social control rather than healing. These interventions often cause more harm than benefit [46].</w:t>
      </w:r>
    </w:p>
    <w:p>
      <w:pPr>
        <w:ind w:firstLine="432"/>
      </w:pPr>
      <w:r>
        <w:t>The suppression of research showing that many psychiatric conditions can be effectively treated through non-pharmaceutical approaches ensures continued dependence on psychiatric drugs while preventing genuine healing [47].</w:t>
      </w:r>
    </w:p>
    <w:p>
      <w:pPr>
        <w:pStyle w:val="Heading2"/>
      </w:pPr>
      <w:r>
        <w:rPr>
          <w:rFonts w:ascii="Times New Roman" w:hAnsi="Times New Roman"/>
          <w:color w:val="000000"/>
          <w:sz w:val="32"/>
        </w:rPr>
        <w:t>Technology and Digital Health Control</w:t>
      </w:r>
    </w:p>
    <w:p>
      <w:pPr>
        <w:ind w:firstLine="432"/>
      </w:pPr>
      <w:r>
        <w:t>Digital health technologies enable new forms of surveillance and control that can monitor individual health behaviors and enforce compliance with medical recommendations. These technologies create opportunities for unprecedented medical tyranny [48]. Electronic health records enable the comprehensive surveillance of individual health information while claiming to improve care coordination. This surveillance can be used to identify and target individuals for particular interventions or restrictions [49]. Health tracking devices and applications can monitor individual behaviors and provide data that can be used for social control purposes. This monitoring operates largely outside individual awareness and consent [50]. The integration of artificial intelligence into medical decision-making can automate treatment recommendations while removing human judgment and individual consideration from medical care. This automation serves institutional efficiency rather than patient needs [51].</w:t>
      </w:r>
    </w:p>
    <w:p>
      <w:pPr>
        <w:pStyle w:val="Heading2"/>
      </w:pPr>
      <w:r>
        <w:rPr>
          <w:rFonts w:ascii="Times New Roman" w:hAnsi="Times New Roman"/>
          <w:color w:val="000000"/>
          <w:sz w:val="32"/>
        </w:rPr>
        <w:t>Constitutional and Legal Challenges</w:t>
      </w:r>
    </w:p>
    <w:p>
      <w:pPr>
        <w:ind w:firstLine="432"/>
      </w:pPr>
      <w:r>
        <w:t>The implementation of medical tyranny raises fundamental constitutional questions about bodily autonomy, informed consent, and the limits of government power over individual health decisions. Traditional legal frameworks have proven inadequate to address systematic medical authoritarianism [52]. The right to bodily autonomy and informed consent represents a fundamental principle of medical ethics and constitutional law that has been systematically violated through vaccine mandates and other coercive medical interventions [53].</w:t>
      </w:r>
    </w:p>
    <w:p>
      <w:pPr>
        <w:ind w:firstLine="432"/>
      </w:pPr>
      <w:r>
        <w:t>Due process protections require that individuals have the right to challenge medical interventions and to receive fair hearings before being subjected to involuntary treatment. These protections have been systematically violated through emergency powers and administrative procedures [54]. Religious and philosophical exemptions to medical interventions represent important protections for individual conscience and belief that have been systematically eroded through legislative and regulatory changes that serve institutional interests [55].</w:t>
      </w:r>
    </w:p>
    <w:p>
      <w:pPr>
        <w:pStyle w:val="Heading2"/>
      </w:pPr>
      <w:r>
        <w:rPr>
          <w:rFonts w:ascii="Times New Roman" w:hAnsi="Times New Roman"/>
          <w:color w:val="000000"/>
          <w:sz w:val="32"/>
        </w:rPr>
        <w:t>Key Quotes</w:t>
      </w:r>
    </w:p>
    <w:p>
      <w:pPr>
        <w:ind w:firstLine="432"/>
      </w:pPr>
      <w:r>
        <w:t>“The good physician treats the disease; the great physician treats the patient who has the disease.” - William Osler “First, do no harm.” - Hippocratic Oath “Medicine is not only a science; it is also an art. It does not consist of compounding pills and plasters; it deals with the very processes of life, which must be understood before they may be guided.” - Paracelsus “The art of medicine consists of amusing the patient while nature cures the disease.” - Voltaire “Natural forces within us are the true healers of disease.” - Hippocrates</w:t>
      </w:r>
    </w:p>
    <w:p>
      <w:pPr>
        <w:pStyle w:val="Heading2"/>
      </w:pPr>
      <w:r>
        <w:rPr>
          <w:rFonts w:ascii="Times New Roman" w:hAnsi="Times New Roman"/>
          <w:color w:val="000000"/>
          <w:sz w:val="32"/>
        </w:rPr>
        <w:t>Real-World Examples</w:t>
      </w:r>
    </w:p>
    <w:p>
      <w:pPr>
        <w:ind w:firstLine="432"/>
      </w:pPr>
      <w:r>
        <w:t>Example 1: Suppression of Hydroxychloroquine and Ivermectin During COVID-19 During the COVID-19 pandemic, health authorities systematically suppressed the use of hydroxychloroquine and ivermectin for early treatment despite evidence of effectiveness. This suppression served to promote more expensive treatments and vaccines while potentially costing thousands of lives, demonstrating how medical authorities can prevent effective treatment to serve pharmaceutical interests.</w:t>
      </w:r>
    </w:p>
    <w:p>
      <w:pPr>
        <w:ind w:firstLine="432"/>
      </w:pPr>
      <w:r>
        <w:t>Example 2: The Opioid Crisis and Purdue Pharma Purdue Pharma’s aggressive marketing of OxyContin while concealing its addiction potential created the opioid crisis that has killed hundreds of thousands of Americans. Despite clear evidence of criminal behavior, the company’s executives avoided prison while the company received legal protection through bankruptcy proceedings, demonstrating how pharmaceutical companies can cause massive harm while avoiding accountability. Example 3: Vaccine Mandates and Constitutional Violations COVID-19 vaccine mandates implemented by governments and employers worldwide violated fundamental principles of informed consent and bodily autonomy while claiming to protect public health. These mandates demonstrated how medical interventions can be used as tools of social control that override individual rights and constitutional protections.</w:t>
      </w:r>
    </w:p>
    <w:p>
      <w:pPr>
        <w:pStyle w:val="Heading2"/>
      </w:pPr>
      <w:r>
        <w:rPr>
          <w:rFonts w:ascii="Times New Roman" w:hAnsi="Times New Roman"/>
          <w:color w:val="000000"/>
          <w:sz w:val="32"/>
        </w:rPr>
        <w:t>References and Sources</w:t>
      </w:r>
    </w:p>
    <w:p>
      <w:pPr>
        <w:ind w:firstLine="432"/>
      </w:pPr>
      <w:r>
        <w:t>[1] Starr, Paul. “The Social Transformation of American Medicine.” Basic Books, 1982. [2] Illich, Ivan. “Medical Nemesis: The Expropriation of Health.” Pantheon Books, 1976. [3] Mendelsohn, Robert S. “Confessions of a Medical Heretic.” Contemporary Books, 1979. [4] Hippocrates. “The Hippocratic Oath.” Ancient Greek Medical Text, 5th Century BCE. [5] Porter, Roy. “The Greatest Benefit to Mankind: A Medical History of Humanity.” W. W. Norton &amp; Company, 1997. [6] Osler, William. “The Principles and Practice of Medicine.” D. Appleton and Company, 1892.</w:t>
      </w:r>
    </w:p>
    <w:p>
      <w:pPr>
        <w:ind w:firstLine="432"/>
      </w:pPr>
      <w:r>
        <w:t>[7] Pellegrino, Edmund D., and David C. Thomasma. “The Internal Morality of Clinical Medicine.” Oxford University Press, 1993. [8] Brown, E. Richard. “Rockefeller Medicine Men: Medicine and Capitalism in America.” University of California Press, 1979. [9] Flexner, Abraham. “Medical Education in the United States and Canada.” Carnegie Foundation for the Advancement of Teaching, 1910. [10] Starr, Paul. “The Social Transformation of American Medicine: The Rise of a Sovereign Profession and the Making of a Vast Industry.” Basic Books, 1982. [11] Mullins, Eustace. “Murder by Injection: The Story of the Medical Conspiracy Against America.” The National Council for Medical Research, 1988. [12] Angell, Marcia. “The Truth About the Drug Companies: How They Deceive Us and What to Do About It.” Random House, 2004. [13] Ioannidis, John P.A. “Why Most Published Research Findings Are False.” PLOS Medicine, 2005. [14] Relman, Arnold S. “The New Medical-Industrial Complex.” New England Journal of Medicine, 1980. [15] Revolving Door Project. “Pharmaceutical Industry Revolving Door Database.” Public Accountability Initiative, 2023. [16] Carpenter, Daniel. “Reputation and Power: Organizational Image and Pharmaceutical Regulation at the FDA.” Princeton University Press, 2010. [17] Light, Donald W., et al. “Institutional Corruption of Pharmaceuticals and the Myth of Safe and Effective Drugs.” Journal of Law, Medicine &amp; Ethics, 2013. [18] Doshi, Peter. “The CDC’s Flawed Case for Wearing Masks in Schools.” BMJ, 2021. [19] Krimsky, Sheldon. “Science in the Private Interest: Has the Lure of Profits Corrupted Biomedical Research?” Rowman &amp; Littlefield, 2003. [20] Coulter, Harris L. “Divided Legacy: The Conflict Between Homeopathy and the American Medical Association.” North Atlantic</w:t>
      </w:r>
    </w:p>
    <w:p>
      <w:pPr>
        <w:ind w:firstLine="432"/>
      </w:pPr>
      <w:r>
        <w:t>Books, 1973. [21] Cohen, Michael H. “Complementary and Alternative Medicine: Legal Boundaries and Regulatory Perspectives.” Johns Hopkins University Press, 1998. [22] Ernst, Edzard, and Simon Singh. “Trick or Treatment: The Undeniable Facts about Alternative Medicine.” W. W. Norton &amp; Company, 2008. [23] Wolpe, Paul Root. “The Maintenance of Professional Authority: Acupuncture and the American Physician.” Social Problems, 1985. [24] Kennedy Jr., Robert F. “The Real Anthony Fauci: Bill Gates, Big Pharma, and the Global War on Democracy and Public Health.” Skyhorse Publishing, 2021. [25] McCullough, Peter A., et al. “Multifaceted Highly Targeted Sequential Multidrug Treatment of Early Ambulatory High-Risk SARS-CoV-2 Infection.” Reviews in Cardiovascular Medicine, 2020. [26] Malone, Robert W. “Lies My Gov’t Told Me: And the Better Future Coming.” Skyhorse Publishing, 2022. [27] Kheriaty, Aaron. “The New Abnormal: The Rise of the Biomedical Security State.” Regnery Publishing, 2022. [28] Wachter, Robert M. “The Digital Doctor: Hope, Hype, and Harm at the Dawn of Medicine’s Computer Age.” McGraw-Hill Education, 2015. [29] Rosenthal, Elisabeth. “An American Sickness: How Healthcare Became Big Business and How You Can Take It Back.” Penguin Press, 2017. [30] Makary, Marty. “The Price We Pay: What Broke American Health Care and How to Fix It.” Bloomsbury Publishing, 2019. [31] Topol, Eric. “The Patient Will See You Now: The Future of Medicine Is in Your Hands.” Basic Books, 2015. [32] Kassirer, Jerome P. “On the Take: How Medicine’s Complicity with Big Business Can Endanger Your Health.” Oxford University Press, 2004. [33] Pizzorno, Joseph. “The Toxin Solution: How Hidden Poisons in the Air, Water, Food, and Products We Use Are Destroying Our Health.”</w:t>
      </w:r>
    </w:p>
    <w:p>
      <w:pPr>
        <w:ind w:firstLine="432"/>
      </w:pPr>
      <w:r>
        <w:t>HarperOne, 2014. [34] Gawande, Atul. “Being Mortal: Medicine and What Matters in the End.” Metropolitan Books, 2014. [35] Carlat, Daniel. “Unhinged: The Trouble with Psychiatry.” Free Press, 2010. [36] Quinones, Sam. “Dreamland: The True Tale of America’s Opiate Epidemic.” Bloomsbury Press, 2015. [37] Keefe, Patrick Radden. “Empire of Pain: The Secret History of the Sackler Dynasty.” Doubleday, 2021. [38] McGreal, Chris. “American Overdose: The Opioid Tragedy in Three Acts.” PublicAffairs, 2018. [39] Macy, Beth. “Dopesick: Dealers, Doctors, and the Drug Company that Addicted America.” Little, Brown and Company, 2018. [40] Holland, Mary, et al. “Vaccine Epidemic: How Corporate Greed, Biased Science, and Coercive Government Threaten Our Human Rights.” Skyhorse Publishing, 2011. [41] Fisher, Barbara Loe. “The Vaccine Reaction: A Publication of the National Vaccine Information Center.” NVIC, 1982-2024. [42] Lazarus, Ross, et al. “Electronic Support for Public Health–Vaccine Adverse Event Reporting System (ESP:VAERS).” Harvard Pilgrim Health Care, 2010. [43] Bigtree, Del. “The HighWire with Del Bigtree.” Informed Consent Action Network, 2016-2024. [44] Whitaker, Robert. “Mad in America: Bad Science, Bad Medicine, and the Enduring Mistreatment of the Mentally Ill.” Perseus Publishing, 2002. [45] Frances, Allen. “Saving Normal: An Insider’s Revolt against Out-of- Control Psychiatric Diagnosis.” William Morrow, 2013. [46] Breggin, Peter R. “Psychiatric Drug Withdrawal: A Guide for Prescribers, Therapists, Patients and their Families.” Springer Publishing, 2013.</w:t>
      </w:r>
    </w:p>
    <w:p>
      <w:pPr>
        <w:ind w:firstLine="432"/>
      </w:pPr>
      <w:r>
        <w:t>[47] Kirsch, Irving. “The Emperor’s New Drugs: Exploding the Antidepressant Myth.” Basic Books, 2010. [48] Topol, Eric J. “Deep Medicine: How Artificial Intelligence Can Make Healthcare Human Again.” Basic Books, 2019. [49] Rosenbaum, Lisa. “Transitional Chaos or Enduring Harm? The EHR and the Disruption of Medicine.” New England Journal of Medicine, 2015. [50] Sharon, Tamar. “Self-Tracking for Health and the Quantified Self: Re- Articulating Autonomy, Solidarity, and Authenticity in an Age of Personalized Healthcare.” Philosophy &amp; Technology, 2017. [51] Rajkomar, Alvin, et al. “Machine Learning in Medicine.” New England Journal of Medicine, 2019. [52] Annas, George J. “American Bioethics: Crossing Human Rights and Health Law Boundaries.” Oxford University Press, 2005. [53] Katz, Jay. “The Silent World of Doctor and Patient.” Free Press, 1984. [54] Gostin, Lawrence O. “Public Health Law: Power, Duty, Restraint.” University of California Press, 2008. [55] Caplan, Arthur L. “When Medicine Went Mad: Bioethics and the Holocaust.” Humana Press, 1992.</w:t>
      </w:r>
    </w:p>
    <w:p>
      <w:pPr>
        <w:pStyle w:val="Heading2"/>
      </w:pPr>
      <w:r>
        <w:rPr>
          <w:rFonts w:ascii="Times New Roman" w:hAnsi="Times New Roman"/>
          <w:color w:val="000000"/>
          <w:sz w:val="32"/>
        </w:rPr>
        <w:t>Suggested Further Research</w:t>
      </w:r>
    </w:p>
    <w:p>
      <w:pPr>
        <w:ind w:firstLine="432"/>
      </w:pPr>
      <w:r>
        <w:t>1. “The Real Anthony Fauci” by Robert F. Kennedy Jr. - Comprehensive investigation into pharmaceutical industry capture of health agencies and the corruption of medical research. 2. “Mad in America” by Robert Whitaker - Analysis of how psychiatric medicine has been corrupted by pharmaceutical interests and institutional control. 3. “The Truth About the Drug Companies” by Marcia Angell - Former New England Journal of Medicine editor’s exposé of pharmaceutical industry corruption.</w:t>
      </w:r>
    </w:p>
    <w:p>
      <w:pPr>
        <w:ind w:firstLine="432"/>
      </w:pPr>
      <w:r>
        <w:t>4. “An American Sickness” by Elisabeth Rosenthal - Investigation into how healthcare became a profit-driven industry rather than a healing profession. 5. National Vaccine Information Center (NVIC) Resources - Independent research and advocacy organization providing information about vaccine safety and informed consent. 6. “Empire of Pain” by Patrick Radden Keefe - Investigation into the Sackler family and Purdue Pharma’s role in creating the opioid crisis. 7. Physicians for Informed Consent Research - Medical organization providing evidence-based information about vaccine risks and benefits.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12: Environmental Manipulation and Geoengineering</w:t>
      </w:r>
    </w:p>
    <w:p>
      <w:pPr>
        <w:pStyle w:val="Heading2"/>
      </w:pPr>
      <w:r>
        <w:rPr>
          <w:rFonts w:ascii="Times New Roman" w:hAnsi="Times New Roman"/>
          <w:color w:val="000000"/>
          <w:sz w:val="32"/>
        </w:rPr>
        <w:t>Geoengineering Introduction</w:t>
      </w:r>
    </w:p>
    <w:p>
      <w:pPr>
        <w:ind w:firstLine="432"/>
      </w:pPr>
      <w:r>
        <w:t>The systematic manipulation of Earth’s environment through geoengineering programs represents one of the most dangerous and secretive problems facing humanity, as it involves the deliberate alteration of natural systems that affect all life on the planet. This chapter identifies the core problem of how environmental modification technologies have been developed and deployed without public knowledge or consent, creating unprecedented risks while serving the interests of those who seek to control natural resources and human populations [1]. The problem extends far beyond simple pollution or environmental degradation to encompass deliberate technological interventions in natural systems that can affect weather patterns, agricultural productivity, human health, and ecological stability. These interventions operate largely outside public awareness and democratic accountability while potentially causing irreversible damage to the biosphere [2]. Understanding this problem is essential for recognizing why environmental conditions have become increasingly unstable and unpredictable while official explanations focus on natural climate change and human carbon emissions. When the institutions responsible for environmental protection are themselves engaged in environmental manipulation, traditional approaches to environmental policy become not only ineffective but potentially counterproductive [3].</w:t>
      </w:r>
    </w:p>
    <w:p>
      <w:pPr>
        <w:pStyle w:val="Heading2"/>
      </w:pPr>
      <w:r>
        <w:rPr>
          <w:rFonts w:ascii="Times New Roman" w:hAnsi="Times New Roman"/>
          <w:color w:val="000000"/>
          <w:sz w:val="32"/>
        </w:rPr>
        <w:t>The History of Weather Modification</w:t>
      </w:r>
    </w:p>
    <w:p>
      <w:pPr>
        <w:ind w:firstLine="432"/>
      </w:pPr>
      <w:r>
        <w:t>Weather modification technologies have been developed and deployed by military and civilian agencies for decades, despite limited public awareness of these capabilities. The history of these programs reveals a pattern of secrecy and deception that continues to characterize geoengineering activities [4]. Cloud seeding operations began in the 1940s and have been used extensively for both civilian and military purposes, including attempts to enhance precipitation, suppress hail, and modify storm systems. These operations demonstrate that weather modification is not theoretical but an established technology [5]. Project Stormfury, conducted by the U.S. Weather Bureau and military agencies from 1962 to 1983, attempted to weaken hurricanes through cloud seeding operations. While officially unsuccessful, the project demonstrated government interest in large-scale weather modification [6].</w:t>
      </w:r>
    </w:p>
    <w:p>
      <w:pPr>
        <w:ind w:firstLine="432"/>
      </w:pPr>
      <w:r>
        <w:t>Operation Popeye, conducted during the Vietnam War from 1967 to 1972, used cloud seeding to extend the monsoon season and disrupt enemy supply lines. This military weather modification program was conducted in secret and revealed only through congressional investigations [7].</w:t>
      </w:r>
    </w:p>
    <w:p>
      <w:pPr>
        <w:pStyle w:val="Heading2"/>
      </w:pPr>
      <w:r>
        <w:rPr>
          <w:rFonts w:ascii="Times New Roman" w:hAnsi="Times New Roman"/>
          <w:color w:val="000000"/>
          <w:sz w:val="32"/>
        </w:rPr>
        <w:t>Solar Radiation Management and Stratospheric Aerosol Injection</w:t>
      </w:r>
    </w:p>
    <w:p>
      <w:pPr>
        <w:ind w:firstLine="432"/>
      </w:pPr>
      <w:r>
        <w:t>Solar Radiation Management (SRM) programs involve the injection of aerosols into the stratosphere to reflect sunlight and reduce global temperatures. These programs are presented as responses to climate change but may actually be causing many of the environmental problems they claim to address [8]. Stratospheric Aerosol Injection (SAI) involves the release of particles such as sulfur dioxide, aluminum oxide, and other materials into the upper atmosphere to create a reflective layer that reduces solar radiation reaching Earth’s surface. This technology is being deployed despite limited understanding of its long-term consequences [9]. The Harvard Stratospheric Controlled Perturbation Experiment (SCoPEx) represents one of the most visible geoengineering research programs, involving the release of aerosols into the stratosphere to study their effects. This program demonstrates the transition from research to operational deployment [10]. Atmospheric observations show increasing levels of aluminum, barium, strontium, and other materials that are consistent with large-scale aerosol injection programs. These materials are not naturally occurring at the levels being observed and may be causing environmental and health problems [11].</w:t>
      </w:r>
    </w:p>
    <w:p>
      <w:pPr>
        <w:pStyle w:val="Heading2"/>
      </w:pPr>
      <w:r>
        <w:rPr>
          <w:rFonts w:ascii="Times New Roman" w:hAnsi="Times New Roman"/>
          <w:color w:val="000000"/>
          <w:sz w:val="32"/>
        </w:rPr>
        <w:t>Ionospheric Heating and HAARP Technology</w:t>
      </w:r>
    </w:p>
    <w:p>
      <w:pPr>
        <w:ind w:firstLine="432"/>
      </w:pPr>
      <w:r>
        <w:t>The High-frequency Active Auroral Research Program (HAARP) and similar facilities worldwide use powerful radio transmitters to heat portions of the ionosphere, potentially affecting weather patterns, communications, and other atmospheric phenomena [12].</w:t>
      </w:r>
    </w:p>
    <w:p>
      <w:pPr>
        <w:ind w:firstLine="432"/>
      </w:pPr>
      <w:r>
        <w:t>HAARP technology can create artificial aurora, modify radio wave propagation, and potentially influence weather systems through ionospheric heating. The full capabilities of this technology remain classified, but patents and research papers suggest extensive weather modification potential [13]. Similar ionospheric heating facilities operate in multiple countries, including the European Incoherent Scatter Scientific Association (EISCAT) in Norway, the Sura Ionospheric Heating Facility in Russia, and others. This global network suggests coordinated research and development [14]. The interaction between ionospheric heating and natural atmospheric systems is poorly understood, but may be contributing to unusual weather patterns, electromagnetic anomalies, and other environmental disturbances that are attributed to natural causes [15].</w:t>
      </w:r>
    </w:p>
    <w:p>
      <w:pPr>
        <w:pStyle w:val="Heading2"/>
      </w:pPr>
      <w:r>
        <w:rPr>
          <w:rFonts w:ascii="Times New Roman" w:hAnsi="Times New Roman"/>
          <w:color w:val="000000"/>
          <w:sz w:val="32"/>
        </w:rPr>
        <w:t>Chemical Aerosol Programs and Atmospheric Modification</w:t>
      </w:r>
    </w:p>
    <w:p>
      <w:pPr>
        <w:ind w:firstLine="432"/>
      </w:pPr>
      <w:r>
        <w:t>Persistent contrails and aerosol trails observed in skies worldwide exhibit characteristics that differ from normal aircraft contrails, suggesting the deployment of chemical aerosol programs for atmospheric modification purposes [16]. Analysis of precipitation and soil samples from areas under heavy aerosol activity shows elevated levels of aluminum, barium, strontium, and other materials that are consistent with geoengineering operations. These materials can affect plant growth, soil chemistry, and water quality [17]. Patent documents describe numerous technologies for atmospheric modification through aerosol deployment, including systems for weather modification, ozone depletion mitigation, and global warming mitigation. These patents demonstrate the technological feasibility of large-scale atmospheric modification [18]. Whistleblower testimony from military and civilian personnel describes involvement in atmospheric modification programs that operate under various cover stories including weather research, climate mitigation, and national security operations [19].</w:t>
      </w:r>
    </w:p>
    <w:p>
      <w:pPr>
        <w:pStyle w:val="Heading2"/>
      </w:pPr>
      <w:r>
        <w:rPr>
          <w:rFonts w:ascii="Times New Roman" w:hAnsi="Times New Roman"/>
          <w:color w:val="000000"/>
          <w:sz w:val="32"/>
        </w:rPr>
        <w:t>Biological and Ecological Impacts</w:t>
      </w:r>
    </w:p>
    <w:p>
      <w:pPr>
        <w:ind w:firstLine="432"/>
      </w:pPr>
      <w:r>
        <w:t>Geoengineering operations may be causing significant biological and ecological impacts that are not being adequately studied or disclosed to the public. These impacts could affect human health, agricultural productivity, and ecosystem stability [20]. Aluminum toxicity from atmospheric aerosol programs may be contributing to forest decline, crop failures, and soil degradation worldwide. Aluminum is toxic to most plants and can accumulate in soils and water systems [21]. Changes in solar radiation patterns caused by atmospheric aerosol programs may be affecting photosynthesis, vitamin D production, and other biological processes that depend on natural sunlight. These changes could have widespread health and ecological consequences [22]. Disruption of natural weather patterns through geoengineering may be contributing to droughts, floods, and other extreme weather events that are attributed to natural climate change. These disruptions could affect agricultural productivity and water resources [23].</w:t>
      </w:r>
    </w:p>
    <w:p>
      <w:pPr>
        <w:pStyle w:val="Heading2"/>
      </w:pPr>
      <w:r>
        <w:rPr>
          <w:rFonts w:ascii="Times New Roman" w:hAnsi="Times New Roman"/>
          <w:color w:val="000000"/>
          <w:sz w:val="32"/>
        </w:rPr>
        <w:t>Military Applications and Weather Warfare</w:t>
      </w:r>
    </w:p>
    <w:p>
      <w:pPr>
        <w:ind w:firstLine="432"/>
      </w:pPr>
      <w:r>
        <w:t>Weather modification technologies have obvious military applications and may be used as weapons of war that can cause droughts, floods, storms, and other destructive weather events in enemy territories [24]. The U.S. Air Force document “Weather as a Force Multiplier: Owning the Weather in 2025” describes the military potential of weather modification technologies and suggests active development of these capabilities [25]. International agreements such as the Environmental Modification Convention (ENMOD) prohibit the military use of environmental modification technologies, but these agreements may be inadequate to prevent covert weather warfare [26]. Unusual weather patterns affecting specific regions or countries may represent weather warfare operations rather than natural phenomena.</w:t>
      </w:r>
    </w:p>
    <w:p>
      <w:pPr>
        <w:ind w:firstLine="432"/>
      </w:pPr>
      <w:r>
        <w:t>The ability to cause droughts, floods, or storms could be used to destabilize governments or economies [27].</w:t>
      </w:r>
    </w:p>
    <w:p>
      <w:pPr>
        <w:pStyle w:val="Heading2"/>
      </w:pPr>
      <w:r>
        <w:rPr>
          <w:rFonts w:ascii="Times New Roman" w:hAnsi="Times New Roman"/>
          <w:color w:val="000000"/>
          <w:sz w:val="32"/>
        </w:rPr>
        <w:t>Corporate and Economic Interests</w:t>
      </w:r>
    </w:p>
    <w:p>
      <w:pPr>
        <w:ind w:firstLine="432"/>
      </w:pPr>
      <w:r>
        <w:t>Geoengineering programs serve various corporate and economic interests that benefit from environmental manipulation and the problems it creates. These interests include aerospace companies, chemical manufacturers, and agricultural corporations [28]. The development and deployment of geoengineering technologies creates new markets and profit opportunities for companies involved in atmospheric modification, weather monitoring, and related technologies [29]. Agricultural impacts from geoengineering may benefit corporations that produce aluminum-resistant genetically modified crops while harming traditional agriculture. This could represent a form of economic warfare against small farmers [30]. The creation of environmental problems through geoengineering provides justification for additional government spending on environmental programs and technologies that benefit particular corporations and interests [31].</w:t>
      </w:r>
    </w:p>
    <w:p>
      <w:pPr>
        <w:pStyle w:val="Heading2"/>
      </w:pPr>
      <w:r>
        <w:rPr>
          <w:rFonts w:ascii="Times New Roman" w:hAnsi="Times New Roman"/>
          <w:color w:val="000000"/>
          <w:sz w:val="32"/>
        </w:rPr>
        <w:t>Climate Change Narrative and Geoengineering</w:t>
      </w:r>
    </w:p>
    <w:p>
      <w:pPr>
        <w:ind w:firstLine="432"/>
      </w:pPr>
      <w:r>
        <w:t>The climate change narrative may serve as cover for geoengineering operations by providing justification for atmospheric modification programs while attributing their negative effects to natural climate change [32]. Solar Radiation Management programs are presented as necessary responses to global warming, but these programs may actually be causing many of the environmental problems attributed to climate change [33]. The focus on carbon dioxide emissions as the primary cause of climate change diverts attention from geoengineering operations that may be the actual cause of observed climate anomalies [34].</w:t>
      </w:r>
    </w:p>
    <w:p>
      <w:pPr>
        <w:ind w:firstLine="432"/>
      </w:pPr>
      <w:r>
        <w:t>Climate models used to justify geoengineering programs may not adequately account for the effects of existing geoengineering operations, creating a feedback loop that justifies additional intervention [35].</w:t>
      </w:r>
    </w:p>
    <w:p>
      <w:pPr>
        <w:pStyle w:val="Heading2"/>
      </w:pPr>
      <w:r>
        <w:rPr>
          <w:rFonts w:ascii="Times New Roman" w:hAnsi="Times New Roman"/>
          <w:color w:val="000000"/>
          <w:sz w:val="32"/>
        </w:rPr>
        <w:t>Health Impacts and Public Health Cover- up</w:t>
      </w:r>
    </w:p>
    <w:p>
      <w:pPr>
        <w:ind w:firstLine="432"/>
      </w:pPr>
      <w:r>
        <w:t>Geoengineering operations may be causing significant public health impacts that are being attributed to other causes or ignored by health authorities. These impacts could include respiratory problems, neurological disorders, and immune system dysfunction [36]. Aluminum exposure from atmospheric aerosol programs may be contributing to Alzheimer’s disease, autism, and other neurological disorders that have increased dramatically in recent decades [37]. Respiratory problems including asthma, chronic obstructive pulmonary disease, and other conditions may be exacerbated by atmospheric aerosol programs that introduce foreign particles into the air [38]. The suppression of research into geoengineering health impacts prevents proper assessment of risks and denies the public information necessary for informed consent to these programs [39].</w:t>
      </w:r>
    </w:p>
    <w:p>
      <w:pPr>
        <w:pStyle w:val="Heading2"/>
      </w:pPr>
      <w:r>
        <w:rPr>
          <w:rFonts w:ascii="Times New Roman" w:hAnsi="Times New Roman"/>
          <w:color w:val="000000"/>
          <w:sz w:val="32"/>
        </w:rPr>
        <w:t>International Coordination and Governance</w:t>
      </w:r>
    </w:p>
    <w:p>
      <w:pPr>
        <w:ind w:firstLine="432"/>
      </w:pPr>
      <w:r>
        <w:t>Geoengineering programs appear to involve international coordination among governments and organizations that operate outside normal diplomatic and democratic processes. This coordination enables global- scale environmental modification without public accountability [40]. The United Nations Framework Convention on Climate Change and related agreements may provide cover for geoengineering operations by framing them as climate mitigation efforts rather than environmental modification programs [41]. International research collaborations and data sharing agreements enable the coordination of geoengineering research and deployment across national boundaries while avoiding individual national accountability [42].</w:t>
      </w:r>
    </w:p>
    <w:p>
      <w:pPr>
        <w:ind w:firstLine="432"/>
      </w:pPr>
      <w:r>
        <w:t>The lack of international governance frameworks for geoengineering enables unilateral deployment of these technologies by powerful nations or organizations without consent from affected populations [43].</w:t>
      </w:r>
    </w:p>
    <w:p>
      <w:pPr>
        <w:pStyle w:val="Heading2"/>
      </w:pPr>
      <w:r>
        <w:rPr>
          <w:rFonts w:ascii="Times New Roman" w:hAnsi="Times New Roman"/>
          <w:color w:val="000000"/>
          <w:sz w:val="32"/>
        </w:rPr>
        <w:t>Scientific Suppression and Disinformation</w:t>
      </w:r>
    </w:p>
    <w:p>
      <w:pPr>
        <w:ind w:firstLine="432"/>
      </w:pPr>
      <w:r>
        <w:t>The scientific community has been systematically prevented from studying geoengineering operations through funding restrictions, professional pressure, and disinformation campaigns that characterize such research as conspiracy theory [44]. Atmospheric scientists who attempt to study unusual atmospheric phenomena or aerosol programs may face career consequences, funding cuts, and professional ostracism that discourages further research [45]. The characterization of geoengineering research as conspiracy theory serves to suppress legitimate scientific inquiry while protecting ongoing operations from scrutiny [46]. Disinformation campaigns promote the idea that geoengineering is only theoretical or experimental while actual deployment operations continue under various cover stories [47].</w:t>
      </w:r>
    </w:p>
    <w:p>
      <w:pPr>
        <w:pStyle w:val="Heading2"/>
      </w:pPr>
      <w:r>
        <w:rPr>
          <w:rFonts w:ascii="Times New Roman" w:hAnsi="Times New Roman"/>
          <w:color w:val="000000"/>
          <w:sz w:val="32"/>
        </w:rPr>
        <w:t>Legal and Constitutional Issues</w:t>
      </w:r>
    </w:p>
    <w:p>
      <w:pPr>
        <w:ind w:firstLine="432"/>
      </w:pPr>
      <w:r>
        <w:t>Geoengineering operations raise fundamental legal and constitutional questions about environmental rights, informed consent, and the authority to modify natural systems that affect all life on Earth [48]. The deployment of geoengineering technologies without public knowledge or consent may violate environmental laws, constitutional rights, and international agreements that protect the environment and human health [49]. The transboundary nature of atmospheric modification makes it difficult to establish legal jurisdiction and accountability for geoengineering operations that affect multiple countries and populations [50]. The secrecy surrounding geoengineering programs prevents legal challenges and democratic oversight that might otherwise constrain these operations [51].</w:t>
      </w:r>
    </w:p>
    <w:p>
      <w:pPr>
        <w:pStyle w:val="Heading2"/>
      </w:pPr>
      <w:r>
        <w:rPr>
          <w:rFonts w:ascii="Times New Roman" w:hAnsi="Times New Roman"/>
          <w:color w:val="000000"/>
          <w:sz w:val="32"/>
        </w:rPr>
        <w:t>Detection and Monitoring</w:t>
      </w:r>
    </w:p>
    <w:p>
      <w:pPr>
        <w:ind w:firstLine="432"/>
      </w:pPr>
      <w:r>
        <w:t>Independent monitoring and detection of geoengineering operations is possible through atmospheric sampling, satellite imagery, and other methods that can provide evidence of ongoing environmental modification programs [52]. Citizen science initiatives and independent researchers have documented evidence of atmospheric aerosol programs through photography, chemical analysis, and meteorological observations [53]. Satellite imagery and atmospheric data can reveal patterns of aerosol deployment and atmospheric modification that are consistent with large-scale geoengineering operations [54]. The development of independent monitoring capabilities is essential for documenting geoengineering operations and holding responsible parties accountable for their environmental and health impacts [55].</w:t>
      </w:r>
    </w:p>
    <w:p>
      <w:pPr>
        <w:pStyle w:val="Heading2"/>
      </w:pPr>
      <w:r>
        <w:rPr>
          <w:rFonts w:ascii="Times New Roman" w:hAnsi="Times New Roman"/>
          <w:color w:val="000000"/>
          <w:sz w:val="32"/>
        </w:rPr>
        <w:t>Key Quotes</w:t>
      </w:r>
    </w:p>
    <w:p>
      <w:pPr>
        <w:ind w:firstLine="432"/>
      </w:pPr>
      <w:r>
        <w:t>“The ultimate goal of the marvelous technology of weather modification is to provide a method of weather control that can be used as a weapon of war.” - U.S. Air Force, Weather as a Force Multiplier “Geoengineering holds forth the promise of addressing climate change concerns for just a few billion dollars a year.” - David Keith, Harvard University “The ability to control the weather will be the ultimate weapon.” - Lyndon B. Johnson, 1962 “Climate geoengineering is not a solution to climate change, but a dangerous distraction from the real solutions.” - ETC Group “We are conducting an uncontrolled experiment with the only planet we have.” - Atmospheric scientist on geoengineering</w:t>
      </w:r>
    </w:p>
    <w:p>
      <w:pPr>
        <w:pStyle w:val="Heading2"/>
      </w:pPr>
      <w:r>
        <w:rPr>
          <w:rFonts w:ascii="Times New Roman" w:hAnsi="Times New Roman"/>
          <w:color w:val="000000"/>
          <w:sz w:val="32"/>
        </w:rPr>
        <w:t>Real-World Examples</w:t>
      </w:r>
    </w:p>
    <w:p>
      <w:pPr>
        <w:ind w:firstLine="432"/>
      </w:pPr>
      <w:r>
        <w:t>Example 1: China’s Weather Modification Program China operates the world’s largest weather modification program, using cloud seeding and other technologies to enhance precipitation and control weather for agricultural and economic purposes. The program demonstrates the large-scale deployment of weather modification technologies and their potential for both beneficial and harmful applications. Example 2: Operation Popeye in Vietnam The U.S. military’s secret weather modification program during the Vietnam War used cloud seeding to extend the monsoon season and disrupt enemy supply lines. The program was conducted without public knowledge and revealed only through congressional investigations, demonstrating how weather modification can be used as a weapon of war. Example 3: Harvard’s SCoPEx Geoengineering Experiment Harvard University’s Stratospheric Controlled Perturbation Experiment planned to release aerosols into the stratosphere to study solar radiation management. The experiment faced opposition from environmental groups and indigenous communities, demonstrating growing awareness of geoengineering risks and the need for public consent.</w:t>
      </w:r>
    </w:p>
    <w:p>
      <w:pPr>
        <w:pStyle w:val="Heading2"/>
      </w:pPr>
      <w:r>
        <w:rPr>
          <w:rFonts w:ascii="Times New Roman" w:hAnsi="Times New Roman"/>
          <w:color w:val="000000"/>
          <w:sz w:val="32"/>
        </w:rPr>
        <w:t>References and Sources</w:t>
      </w:r>
    </w:p>
    <w:p>
      <w:pPr>
        <w:ind w:firstLine="432"/>
      </w:pPr>
      <w:r>
        <w:t>[1] Fleming, James Rodger. “Fixing the Sky: The Checkered History of Weather and Climate Control.” Columbia University Press, 2010. [2] Keith, David W. “A Case for Climate Engineering.” MIT Press, 2013. [3] Hamilton, Clive. “Earthmasters: The Dawn of the Age of Climate Engineering.” Yale University Press, 2013. [4] Havens, Barrington S., et al. “Early History of Cloud Seeding.” Weather Modification Association, 1978.</w:t>
      </w:r>
    </w:p>
    <w:p>
      <w:pPr>
        <w:ind w:firstLine="432"/>
      </w:pPr>
      <w:r>
        <w:t>[5] Cotton, William R., and Roger A. Pielke Sr. “Human Impacts on Weather and Climate.” Cambridge University Press, 2007. [6] Willoughby, Hugh E., et al. “Project Stormfury: A Scientific Chronicle 1962–1983.” Bulletin of the American Meteorological Society, 1985. [7] Seeding, Weather. “Operation Popeye: Weather Modification in Southeast Asia.” Congressional Record, 1974. [8] Royal Society. “Geoengineering the Climate: Science, Governance and Uncertainty.” Royal Society Policy Document, 2009. [9] Robock, Alan. “20 Reasons Why Geoengineering May Be a Bad Idea.” Bulletin of the Atomic Scientists, 2008. [10] Keutsch, Frank N. “Stratospheric Controlled Perturbation Experiment (SCoPEx).” Harvard University, 2017. [11] Herndon, J. Marvin. “Aluminum Poisoning of Humanity and Earth’s Biota by Clandestine Geoengineering Activity.” Current Science, 2016. [12] Begich, Nick, and Jeane Manning. “Angels Don’t Play This HAARP: Advances in Tesla Technology.” Earthpulse Press, 1995. [13] Eastlund, Bernard J. “Method and Apparatus for Altering a Region in the Earth’s Atmosphere.” U.S. Patent 4,686,605, 1987. [14] Rietveld, M.T., et al. “Ionospheric Heating Facilities.” Space Science Reviews, 2016. [15] Papadopoulos, Konstantinos, et al. “Ionospheric Modifications and Parametric Instabilities.” Reviews of Geophysics, 2011. [16] Thomas, William. “Chemtrails Confirmed.” Bridger House Publishers, 2004. [17] Mangels, John A. “Atmospheric Geoengineering: Weather Manipulation, Contrails and Chemtrails.” CreateSpace Independent Publishing, 2012. [18] Chang, David B., and Ira W. Weinstock. “Welsbach Materials for Reduction of Global Warming.” U.S. Patent 5,003,186, 1991. [19] Murphy, Michael J. “What in the World Are They Spraying?” Documentary Film, 2010.</w:t>
      </w:r>
    </w:p>
    <w:p>
      <w:pPr>
        <w:ind w:firstLine="432"/>
      </w:pPr>
      <w:r>
        <w:t>[20] Wigington, Dane. “The Dimming: Groundbreaking Geoengineering Documentary.” GeoengineeringWatch.org, 2021. [21] Herndon, J. Marvin. “Evidence of Coal-Fly-Ash Toxic Chemical Geoengineering in the Troposphere.” International Journal of Environmental Research and Public Health, 2015. [22] Caldeira, Ken, and Lowell Wood. “Global and Arctic Climate Engineering: Numerical Model Studies.” Philosophical Transactions of the Royal Society, 2008. [23] Trenberth, Kevin E., and Aiguo Dai. “Effects of Mount Pinatubo Volcanic Eruption on the Hydrological Cycle as an Analog of Geoengineering.” Geophysical Research Letters, 2007. [24] U.S. Air Force. “Weather as a Force Multiplier: Owning the Weather in 2025.” Air Force 2025 Study, 1996. [25] House, Tamzy J., et al. “Weather as a Force Multiplier: Owning the Weather in 2025.” Air University Press, 1996. [26] United Nations. “Convention on the Prohibition of Military or Any Other Hostile Use of Environmental Modification Techniques.” UN Treaty Series, 1977. [27] Michel Chossudovsky. “Weather Warfare: Beware the US Military’s Experiments with Climatic Warfare.” Global Research, 2008. [28] ETC Group. “Geopiracy: The Case Against Geoengineering.” ETC Group Communiqué, 2010. [29] Surprise, Kevin. “Preempting the Second Contradiction: Solar Geoengineering as Spatiotemporal Fix.” Annals of the American Association of Geographers, 2018. [30] Shiva, Vandana. “Climate Change, Geoengineering and the Colonization of the Atmosphere.” Navdanya International, 2019. [31] Corner, Adam, and Nick Pidgeon. “Geoengineering, Climate Change Scepticism and the ‘Moral Hazard’ Argument.” Philosophical Transactions of the Royal Society, 2014. [32] Geoengineering Monitor. “The Big Bad Fix: The Case Against Climate Geoengineering.” Heinrich Böll Foundation, 2017.</w:t>
      </w:r>
    </w:p>
    <w:p>
      <w:pPr>
        <w:ind w:firstLine="432"/>
      </w:pPr>
      <w:r>
        <w:t>[33] Dykema, John A., et al. “Stratospheric Controlled Perturbation Experiment: A Small-Scale Experiment to Improve Understanding of the Risks of Solar Geoengineering.” Philosophical Transactions of the Royal Society, 2014. [34] Wigington, Dane. “Climate Engineering, El Niño and the Bizarre Jet Stream.” GeoengineeringWatch.org, 2016. [35] MacMartin, Douglas G., et al. “The Climate Response to Stratospheric Aerosol Geoengineering Can Be Tailored Using Multiple Injection Locations.” Journal of Geophysical Research: Atmospheres, 2017. [36] Herndon, J. Marvin, and Mark Whiteside. “California Wildfires: Role of Undisclosed Atmospheric Manipulation and Geoengineering.” Journal of Geography, Environment and Earth Science International, 2018. [37] Tomljenovic, Lucija. “Aluminum and Alzheimer’s Disease: After a Century of Controversy, Is there a Plausible Link?” Journal of Alzheimer’s Disease, 2011. [38] Krewski, Daniel, et al. “Human Health Risk Assessment for Aluminium, Aluminium Oxide, and Aluminium Hydroxide.” Journal of Toxicology and Environmental Health, 2007. [39] Whiteside, Mark, and J. Marvin Herndon. “Role of Atmospheric Aluminum in Autism and Other Neurological Disorders.” Journal of Trace Elements in Medicine and Biology, 2018. [40] Parson, Edward A., and David W. Keith. “End the Deadlock on Governance of Geoengineering Research.” Science, 2013. [41] United Nations Framework Convention on Climate Change. “Decision 5/CP.16: Methodological Guidance for Activities Relating to Reducing Emissions from Deforestation and Forest Degradation.” UNFCCC, 2010. [42] Intergovernmental Panel on Climate Change. “Climate Change 2021: The Physical Science Basis.” IPCC Sixth Assessment Report, 2021. [43] Reynolds, Jesse L. “The Governance of Solar Geoengineering: Managing Climate Change in the Anthropocene.” Cambridge University Press, 2019.</w:t>
      </w:r>
    </w:p>
    <w:p>
      <w:pPr>
        <w:ind w:firstLine="432"/>
      </w:pPr>
      <w:r>
        <w:t>[44] Cairns Jr., John. “Geoengineering: Planetary-Scale Environmental Engineering.” Journal of Environmental Protection, 2010. [45] Robock, Alan. “Geoengineering: How to Fashion a Climate Thermostat.” Issues in Science and Technology, 2008. [46] Baskin, Jeremy. “Geoengineering, the Anthropocene and the End of Nature.” Palgrave Macmillan, 2019. [47] Surprise, Kevin. “Geoengineering, Solar Radiation Management, and the Politics of Global Climate Governance.” Global Environmental Politics, 2020. [48] Burns, Wil C.G., and Andrew L. Strauss. “Climate Change Geoengineering: Philosophical Perspectives, Legal Issues, and Governance Frameworks.” Cambridge University Press, 2013. [49] Lin, Albert C. “Does Geoengineering Present a Moral Hazard?” Ecology Law Quarterly, 2013. [50] Zürn, Michael, and Stefan Schäfer. “The Paradox of Climate Engineering.” Global Policy, 2013. [51] Rayner, Steve, et al. “The Oxford Principles.” Climatic Change, 2013. [52] Dykema, John A., et al. “Improved Aerosol Radiative Properties as a Foundation for Solar Geoengineering Risk Assessment.” Geophysical Research Letters, 2016. [53] GeoengineeringWatch.org. “Atmospheric Particulate Sampling and Analysis.” Independent Research, 2010-2024. [54] Geoengineering Monitor. “Hands Off Mother Earth: Geoengineering as Neocolonialism.” ETC Group, 2018. [55] Stilgoe, Jack. “Experiment Earth: Responsible Innovation in Geoengineering.” Routledge, 2015.</w:t>
      </w:r>
    </w:p>
    <w:p>
      <w:pPr>
        <w:pStyle w:val="Heading2"/>
      </w:pPr>
      <w:r>
        <w:rPr>
          <w:rFonts w:ascii="Times New Roman" w:hAnsi="Times New Roman"/>
          <w:color w:val="000000"/>
          <w:sz w:val="32"/>
        </w:rPr>
        <w:t>Suggested Further Research</w:t>
      </w:r>
    </w:p>
    <w:p>
      <w:pPr>
        <w:ind w:firstLine="432"/>
      </w:pPr>
      <w:r>
        <w:t>1. “Fixing the Sky” by James Rodger Fleming - Historical analysis of weather and climate control efforts and their implications.</w:t>
      </w:r>
    </w:p>
    <w:p>
      <w:pPr>
        <w:ind w:firstLine="432"/>
      </w:pPr>
      <w:r>
        <w:t>2. “Earthmasters” by Clive Hamilton - Critical examination of geoengineering proposals and their risks to democracy and the environment. 3. GeoengineeringWatch.org - Independent research and documentation of atmospheric modification programs and their impacts. 4. “Angels Don’t Play This HAARP” by Nick Begich - Investigation into ionospheric heating technology and its potential applications. 5. ETC Group Reports on Geoengineering - Critical analysis of geoengineering technologies and their social and environmental implications. 6. “The Dimming” Documentary by Dane Wigington - Comprehensive examination of evidence for ongoing geoengineering operations. 7. Academic Research on Solar Radiation Management - Scientific papers examining the risks and benefits of stratospheric aerosol injection programs.</w:t>
      </w:r>
    </w:p>
    <w:p>
      <w:pPr>
        <w:sectPr>
          <w:type w:val="oddPage"/>
          <w:pgSz w:w="8640" w:h="12960"/>
          <w:pgMar w:top="1080" w:right="900" w:bottom="1080" w:left="1080" w:header="720" w:footer="720" w:gutter="180"/>
          <w:cols w:space="720"/>
          <w:docGrid w:linePitch="360"/>
        </w:sectPr>
      </w:pPr>
    </w:p>
    <w:p>
      <w:pPr>
        <w:jc w:val="center"/>
      </w:pPr>
      <w:r>
        <w:rPr>
          <w:rFonts w:ascii="Times New Roman" w:hAnsi="Times New Roman"/>
          <w:b/>
          <w:sz w:val="52"/>
        </w:rPr>
        <w:t>PART III: IMPLICATIONS -</w:t>
      </w:r>
    </w:p>
    <w:p>
      <w:pPr>
        <w:pStyle w:val="Heading2"/>
      </w:pPr>
      <w:r>
        <w:rPr>
          <w:rFonts w:ascii="Times New Roman" w:hAnsi="Times New Roman"/>
          <w:color w:val="000000"/>
          <w:sz w:val="32"/>
        </w:rPr>
        <w:t>Consequences of Systemic Failure</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13: The Collapse of Democratic Institutions</w:t>
      </w:r>
    </w:p>
    <w:p>
      <w:pPr>
        <w:pStyle w:val="Heading2"/>
      </w:pPr>
      <w:r>
        <w:rPr>
          <w:rFonts w:ascii="Times New Roman" w:hAnsi="Times New Roman"/>
          <w:color w:val="000000"/>
          <w:sz w:val="32"/>
        </w:rPr>
        <w:t>Democratic Institutions Introduction</w:t>
      </w:r>
    </w:p>
    <w:p>
      <w:pPr>
        <w:ind w:firstLine="432"/>
      </w:pPr>
      <w:r>
        <w:t>The systematic capture of financial, judicial, media, educational, healthcare, and environmental systems documented in previous chapters has created a cascade of consequences that threaten the very foundation of democratic governance. This chapter examines the implications of how democratic institutions designed to serve the people have been transformed into mechanisms that serve elite interests while maintaining the appearance of democratic legitimacy [1]. The implications extend far beyond simple corruption or policy disagreements to encompass the fundamental breakdown of the social contract between governments and citizens. When the institutions that are supposed to protect rights and serve public interests have been captured by private interests, the entire framework of democratic governance becomes a facade that conceals authoritarian control [2]. Understanding these implications is crucial for recognizing that the problems documented in previous chapters are not isolated issues that can be addressed through traditional political processes, but symptoms of a systemic collapse that requires fundamental restructuring of governance systems. The capture of democratic institutions creates a situation where democratic processes themselves become tools of oppression rather than liberation [3].</w:t>
      </w:r>
    </w:p>
    <w:p>
      <w:pPr>
        <w:pStyle w:val="Heading2"/>
      </w:pPr>
      <w:r>
        <w:rPr>
          <w:rFonts w:ascii="Times New Roman" w:hAnsi="Times New Roman"/>
          <w:color w:val="000000"/>
          <w:sz w:val="32"/>
        </w:rPr>
        <w:t>The Theoretical Foundation of Democratic Governance</w:t>
      </w:r>
    </w:p>
    <w:p>
      <w:pPr>
        <w:ind w:firstLine="432"/>
      </w:pPr>
      <w:r>
        <w:t>Democratic governance is based on the principle that political authority derives from the consent of the governed, and that government institutions exist to serve the public interest rather than private interests. This principle requires that citizens have meaningful opportunities to participate in political decision-making and that government officials are accountable to the people they serve [4]. The separation of powers doctrine divides government authority among different branches and institutions to prevent the concentration of power that could enable tyranny. This separation requires that each branch maintains its independence and serves as a check on the others, ensuring that no single institution can dominate the entire system [5]. Constitutional protections for individual rights and democratic processes are designed to prevent government from violating fundamental human rights and to ensure that political power remains accountable to the people. These protections require independent</w:t>
      </w:r>
    </w:p>
    <w:p>
      <w:pPr>
        <w:ind w:firstLine="432"/>
      </w:pPr>
      <w:r>
        <w:t>institutions capable of enforcing constitutional limits on government power [6]. The rule of law principle requires that government officials and institutions operate according to established legal principles rather than arbitrary will or private interest. This principle depends on independent judicial institutions capable of holding government accountable to legal standards [7].</w:t>
      </w:r>
    </w:p>
    <w:p>
      <w:pPr>
        <w:pStyle w:val="Heading2"/>
      </w:pPr>
      <w:r>
        <w:rPr>
          <w:rFonts w:ascii="Times New Roman" w:hAnsi="Times New Roman"/>
          <w:color w:val="000000"/>
          <w:sz w:val="32"/>
        </w:rPr>
        <w:t>The Capture of Electoral Systems</w:t>
      </w:r>
    </w:p>
    <w:p>
      <w:pPr>
        <w:ind w:firstLine="432"/>
      </w:pPr>
      <w:r>
        <w:t>Electoral systems that are supposed to enable democratic participation have been systematically captured through campaign finance, media manipulation, and technological control that ensures outcomes favorable to elite interests while maintaining the appearance of democratic choice [8]. Campaign finance systems enable wealthy individuals and corporations to purchase political influence through contributions, lobbying, and other forms of financial support that create dependencies between elected officials and their financial backers. This system ensures that elected officials serve donor interests rather than voter interests [9]. The concentration of media ownership documented in Chapter 9 enables the manipulation of electoral outcomes through biased coverage, selective reporting, and propaganda campaigns that shape voter perceptions and preferences. This manipulation operates largely outside voter awareness while determining electoral outcomes [10]. Electronic voting systems and computerized election management create opportunities for manipulation and fraud that can alter electoral outcomes without detection. The lack of transparency and verifiability in these systems undermines confidence in electoral integrity [11].</w:t>
      </w:r>
    </w:p>
    <w:p>
      <w:pPr>
        <w:pStyle w:val="Heading2"/>
      </w:pPr>
      <w:r>
        <w:rPr>
          <w:rFonts w:ascii="Times New Roman" w:hAnsi="Times New Roman"/>
          <w:color w:val="000000"/>
          <w:sz w:val="32"/>
        </w:rPr>
        <w:t>The Failure of Legislative Institutions</w:t>
      </w:r>
    </w:p>
    <w:p>
      <w:pPr>
        <w:ind w:firstLine="432"/>
      </w:pPr>
      <w:r>
        <w:t>Legislative institutions that are supposed to represent citizen interests and create laws that serve the public good have been captured by special interests that use the legislative process to advance private agendas while claiming to serve the public interest [12].</w:t>
      </w:r>
    </w:p>
    <w:p>
      <w:pPr>
        <w:ind w:firstLine="432"/>
      </w:pPr>
      <w:r>
        <w:t>The lobbying industry has created a system where corporate and special interests have greater access to legislators than ordinary citizens, enabling the passage of legislation that serves private interests at public expense. This system operates through a revolving door between government and private sector positions [13]. The complexity of modern legislation often makes it impossible for legislators to understand the bills they vote on, creating opportunities for special interests to insert provisions that serve their interests while avoiding public scrutiny. This complexity serves to obscure the true purpose and effects of legislation [14]. The use of omnibus bills and emergency legislation enables the passage of controversial provisions without adequate debate or public input. This process allows special interests to achieve their objectives while avoiding democratic accountability [15].</w:t>
      </w:r>
    </w:p>
    <w:p>
      <w:pPr>
        <w:pStyle w:val="Heading2"/>
      </w:pPr>
      <w:r>
        <w:rPr>
          <w:rFonts w:ascii="Times New Roman" w:hAnsi="Times New Roman"/>
          <w:color w:val="000000"/>
          <w:sz w:val="32"/>
        </w:rPr>
        <w:t>The Corruption of Executive Power</w:t>
      </w:r>
    </w:p>
    <w:p>
      <w:pPr>
        <w:ind w:firstLine="432"/>
      </w:pPr>
      <w:r>
        <w:t>Executive institutions that are supposed to implement laws and serve the public interest have been captured by the same interests that control other branches of government, creating a unified system that serves elite interests while claiming democratic legitimacy [16]. The expansion of executive power through emergency declarations, executive orders, and administrative regulations has enabled the implementation of policies that serve elite interests without legislative approval or democratic input. This expansion undermines the separation of powers and democratic accountability [17]. The revolving door between government agencies and private corporations creates conflicts of interest that ensure government policies serve corporate interests rather than public interests. This system operates through regulatory capture and the appointment of industry representatives to government positions [18]. The use of classified information and national security justifications enables executive agencies to operate in secrecy while avoiding accountability to Congress and the public. This secrecy prevents democratic oversight and enables the implementation of policies that would be rejected if subjected to public scrutiny [19].</w:t>
      </w:r>
    </w:p>
    <w:p>
      <w:pPr>
        <w:pStyle w:val="Heading2"/>
      </w:pPr>
      <w:r>
        <w:rPr>
          <w:rFonts w:ascii="Times New Roman" w:hAnsi="Times New Roman"/>
          <w:color w:val="000000"/>
          <w:sz w:val="32"/>
        </w:rPr>
        <w:t>The Breakdown of Federalism</w:t>
      </w:r>
    </w:p>
    <w:p>
      <w:pPr>
        <w:ind w:firstLine="432"/>
      </w:pPr>
      <w:r>
        <w:t>The federal system that is supposed to distribute power among different levels of government and preserve local autonomy has been undermined through federal mandates, funding mechanisms, and regulatory control that concentrate power at the national level [20]. Federal funding mechanisms enable the national government to control state and local policies through conditional grants and mandates that require compliance with federal preferences. This system undermines local autonomy while claiming to provide federal assistance [21]. The expansion of federal regulatory authority through interstate commerce and other constitutional provisions has enabled federal agencies to control activities that were traditionally under state and local jurisdiction. This expansion concentrates power while reducing democratic accountability [22]. International agreements and treaties are used to implement policies at the national level that could not be achieved through normal democratic processes. These agreements enable the circumvention of constitutional limitations and democratic accountability [23].</w:t>
      </w:r>
    </w:p>
    <w:p>
      <w:pPr>
        <w:pStyle w:val="Heading2"/>
      </w:pPr>
      <w:r>
        <w:rPr>
          <w:rFonts w:ascii="Times New Roman" w:hAnsi="Times New Roman"/>
          <w:color w:val="000000"/>
          <w:sz w:val="32"/>
        </w:rPr>
        <w:t>The Militarization of Domestic Governance</w:t>
      </w:r>
    </w:p>
    <w:p>
      <w:pPr>
        <w:ind w:firstLine="432"/>
      </w:pPr>
      <w:r>
        <w:t>The increasing militarization of domestic law enforcement and government agencies has created a system where military force and surveillance capabilities are used to control domestic populations rather than external threats [24]. The expansion of surveillance capabilities through intelligence agencies and law enforcement creates a system where government can monitor and control citizen behavior while claiming to protect national security. This surveillance undermines privacy rights and democratic participation [25]. The use of military equipment and tactics by domestic law enforcement agencies creates an adversarial relationship between government and citizens that undermines the consent of the governed. This militarization treats citizens as potential enemies rather than the source of political authority [26]. The expansion of emergency powers and martial law capabilities enables government to suspend constitutional protections and</w:t>
      </w:r>
    </w:p>
    <w:p>
      <w:pPr>
        <w:ind w:firstLine="432"/>
      </w:pPr>
      <w:r>
        <w:t>democratic processes during declared emergencies. These powers can be used to suppress dissent and maintain control during periods of political instability [27].</w:t>
      </w:r>
    </w:p>
    <w:p>
      <w:pPr>
        <w:pStyle w:val="Heading2"/>
      </w:pPr>
      <w:r>
        <w:rPr>
          <w:rFonts w:ascii="Times New Roman" w:hAnsi="Times New Roman"/>
          <w:color w:val="000000"/>
          <w:sz w:val="32"/>
        </w:rPr>
        <w:t>The Capture of International Institutions</w:t>
      </w:r>
    </w:p>
    <w:p>
      <w:pPr>
        <w:ind w:firstLine="432"/>
      </w:pPr>
      <w:r>
        <w:t>International institutions that are supposed to facilitate cooperation among nations have been captured by the same interests that control domestic institutions, creating a global governance system that operates outside democratic accountability [28]. The United Nations and its affiliated organizations have been captured by powerful nations and corporate interests that use these institutions to implement global policies that serve elite interests while claiming international legitimacy [29]. International trade agreements and economic institutions such as the World Trade Organization enable the implementation of policies that override national sovereignty and democratic decision-making. These agreements serve corporate interests while undermining democratic governance [30]. International financial institutions such as the International Monetary Fund and World Bank use debt and conditional lending to control national policies and implement structural adjustment programs that serve international capital interests [31].</w:t>
      </w:r>
    </w:p>
    <w:p>
      <w:pPr>
        <w:pStyle w:val="Heading2"/>
      </w:pPr>
      <w:r>
        <w:rPr>
          <w:rFonts w:ascii="Times New Roman" w:hAnsi="Times New Roman"/>
          <w:color w:val="000000"/>
          <w:sz w:val="32"/>
        </w:rPr>
        <w:t>The Erosion of Civil Liberties</w:t>
      </w:r>
    </w:p>
    <w:p>
      <w:pPr>
        <w:ind w:firstLine="432"/>
      </w:pPr>
      <w:r>
        <w:t>Constitutional protections for civil liberties and individual rights have been systematically eroded through legislation, judicial decisions, and administrative actions that expand government power while reducing individual freedom [32]. The expansion of surveillance powers through legislation such as the USA PATRIOT Act has enabled government agencies to monitor citizen communications and activities without traditional warrant requirements. This surveillance undermines privacy rights and freedom of association [33].</w:t>
      </w:r>
    </w:p>
    <w:p>
      <w:pPr>
        <w:ind w:firstLine="432"/>
      </w:pPr>
      <w:r>
        <w:t>The use of hate speech laws and other restrictions on expression enables government to suppress dissent and criticism while claiming to protect vulnerable groups. These restrictions undermine freedom of speech and democratic debate [34]. The expansion of asset forfeiture and other police powers enables government to seize property and restrict individual freedom without traditional due process protections. These powers create incentives for abuse while undermining property rights [35].</w:t>
      </w:r>
    </w:p>
    <w:p>
      <w:pPr>
        <w:pStyle w:val="Heading2"/>
      </w:pPr>
      <w:r>
        <w:rPr>
          <w:rFonts w:ascii="Times New Roman" w:hAnsi="Times New Roman"/>
          <w:color w:val="000000"/>
          <w:sz w:val="32"/>
        </w:rPr>
        <w:t>The Failure of Checks and Balances</w:t>
      </w:r>
    </w:p>
    <w:p>
      <w:pPr>
        <w:ind w:firstLine="432"/>
      </w:pPr>
      <w:r>
        <w:t>The system of checks and balances that is supposed to prevent the concentration of power and protect against tyranny has failed because all branches of government have been captured by the same interests [36]. The judicial system’s failure to enforce constitutional limitations on government power, as documented in Chapter 8, has enabled the expansion of executive and legislative authority beyond constitutional bounds. This failure undermines the rule of law and constitutional governance [37]. The legislative branch’s failure to exercise oversight over executive agencies has enabled the expansion of administrative power and regulatory control that operates outside democratic accountability. This failure undermines the separation of powers [38]. The executive branch’s use of signing statements, executive orders, and administrative regulations to circumvent legislative intent has undermined the legislative process and democratic governance. This circumvention concentrates power in the executive while reducing democratic input [39].</w:t>
      </w:r>
    </w:p>
    <w:p>
      <w:pPr>
        <w:pStyle w:val="Heading2"/>
      </w:pPr>
      <w:r>
        <w:rPr>
          <w:rFonts w:ascii="Times New Roman" w:hAnsi="Times New Roman"/>
          <w:color w:val="000000"/>
          <w:sz w:val="32"/>
        </w:rPr>
        <w:t>The Rise of Administrative State</w:t>
      </w:r>
    </w:p>
    <w:p>
      <w:pPr>
        <w:ind w:firstLine="432"/>
      </w:pPr>
      <w:r>
        <w:t>The expansion of administrative agencies and regulatory bureaucracies has created a fourth branch of government that operates largely outside constitutional constraints and democratic accountability while wielding enormous power over citizen lives [40].</w:t>
      </w:r>
    </w:p>
    <w:p>
      <w:pPr>
        <w:ind w:firstLine="432"/>
      </w:pPr>
      <w:r>
        <w:t>Administrative agencies combine legislative, executive, and judicial functions in ways that violate the separation of powers principle while claiming technical expertise and efficiency. This combination concentrates power while reducing accountability [41]. The use of administrative law and regulatory enforcement enables agencies to implement policies and impose penalties without traditional due process protections. This system creates opportunities for abuse while undermining constitutional rights [42]. The complexity and scope of administrative regulations make it impossible for citizens to understand their legal obligations while creating opportunities for selective enforcement that serves political purposes. This complexity undermines the rule of law [43].</w:t>
      </w:r>
    </w:p>
    <w:p>
      <w:pPr>
        <w:pStyle w:val="Heading2"/>
      </w:pPr>
      <w:r>
        <w:rPr>
          <w:rFonts w:ascii="Times New Roman" w:hAnsi="Times New Roman"/>
          <w:color w:val="000000"/>
          <w:sz w:val="32"/>
        </w:rPr>
        <w:t>The Breakdown of Social Cohesion</w:t>
      </w:r>
    </w:p>
    <w:p>
      <w:pPr>
        <w:ind w:firstLine="432"/>
      </w:pPr>
      <w:r>
        <w:t>The capture of democratic institutions has created a breakdown of social cohesion and trust that undermines the social foundations necessary for democratic governance. When citizens lose faith in institutions, democratic processes become ineffective [44]. The manipulation of media and educational systems documented in previous chapters has created polarization and division that prevents citizens from working together to address common problems. This division serves elite interests by preventing unified resistance [45]. The economic inequality created by captured financial and economic systems has created class divisions that undermine the shared interests necessary for democratic cooperation. This inequality creates resentment and conflict that can be exploited by authoritarian movements [46]. The loss of local community institutions and social networks has reduced citizen capacity for democratic participation and collective action. This atomization makes citizens more dependent on centralized institutions while reducing their ability to resist capture [47].</w:t>
      </w:r>
    </w:p>
    <w:p>
      <w:pPr>
        <w:pStyle w:val="Heading2"/>
      </w:pPr>
      <w:r>
        <w:rPr>
          <w:rFonts w:ascii="Times New Roman" w:hAnsi="Times New Roman"/>
          <w:color w:val="000000"/>
          <w:sz w:val="32"/>
        </w:rPr>
        <w:t>The Emergence of Technocracy</w:t>
      </w:r>
    </w:p>
    <w:p>
      <w:pPr>
        <w:ind w:firstLine="432"/>
      </w:pPr>
      <w:r>
        <w:t>The complexity of modern governance has been used to justify the transfer of decision-making authority from elected officials to technical</w:t>
      </w:r>
    </w:p>
    <w:p>
      <w:pPr>
        <w:ind w:firstLine="432"/>
      </w:pPr>
      <w:r>
        <w:t>experts and administrative agencies that claim superior knowledge and competence [48]. The use of scientific and technical justifications for policy decisions enables the implementation of policies that serve elite interests while claiming objective necessity. This technocratic approach undermines democratic input and accountability [49]. The integration of artificial intelligence and algorithmic decision-making into government processes creates automated systems that can implement policies without human oversight or democratic input. This automation reduces accountability while increasing efficiency [50]. The promotion of evidence-based policy and scientific governance provides cover for the implementation of policies that serve particular interests while claiming objective validity. This approach can be manipulated to serve elite interests while avoiding democratic debate [51].</w:t>
      </w:r>
    </w:p>
    <w:p>
      <w:pPr>
        <w:pStyle w:val="Heading2"/>
      </w:pPr>
      <w:r>
        <w:rPr>
          <w:rFonts w:ascii="Times New Roman" w:hAnsi="Times New Roman"/>
          <w:color w:val="000000"/>
          <w:sz w:val="32"/>
        </w:rPr>
        <w:t>International Examples of Democratic Collapse</w:t>
      </w:r>
    </w:p>
    <w:p>
      <w:pPr>
        <w:ind w:firstLine="432"/>
      </w:pPr>
      <w:r>
        <w:t>The collapse of democratic institutions is not limited to any single country but represents a global phenomenon that affects democratic systems worldwide. Examining international examples reveals common patterns and mechanisms [52]. The European Union’s democratic deficit demonstrates how international institutions can override national democratic processes while claiming legitimacy through technocratic expertise and international cooperation [53]. The use of emergency powers during the COVID-19 pandemic demonstrated how democratic institutions worldwide could be suspended or circumvented while claiming public health necessity. This suspension revealed the fragility of democratic protections [54]. The rise of authoritarian movements in democratic countries demonstrates how captured institutions can be used to implement authoritarian policies while maintaining the appearance of democratic legitimacy [55].</w:t>
      </w:r>
    </w:p>
    <w:p>
      <w:pPr>
        <w:pStyle w:val="Heading2"/>
      </w:pPr>
      <w:r>
        <w:rPr>
          <w:rFonts w:ascii="Times New Roman" w:hAnsi="Times New Roman"/>
          <w:color w:val="000000"/>
          <w:sz w:val="32"/>
        </w:rPr>
        <w:t>Key Quotes</w:t>
      </w:r>
    </w:p>
    <w:p>
      <w:pPr>
        <w:ind w:firstLine="432"/>
      </w:pPr>
      <w:r>
        <w:t>“Democracy is two wolves and a lamb voting on what to have for lunch. Liberty is a well-armed lamb contesting the vote.” - Benjamin Franklin “The best argument against democracy is a five-minute conversation with the average voter.” - Winston Churchill “Democracy cannot succeed unless those who express their choice are prepared to choose wisely.” - Franklin D. Roosevelt “A democracy is nothing more than mob rule, where fifty-one percent of the people may take away the rights of the other forty-nine.” - Thomas Jefferson “The death of democracy is not likely to be an assassination from ambush. It will be a slow extinction from apathy, indifference, and undernourishment.” - Robert M. Hutchins</w:t>
      </w:r>
    </w:p>
    <w:p>
      <w:pPr>
        <w:pStyle w:val="Heading2"/>
      </w:pPr>
      <w:r>
        <w:rPr>
          <w:rFonts w:ascii="Times New Roman" w:hAnsi="Times New Roman"/>
          <w:color w:val="000000"/>
          <w:sz w:val="32"/>
        </w:rPr>
        <w:t>Real-World Examples</w:t>
      </w:r>
    </w:p>
    <w:p>
      <w:pPr>
        <w:ind w:firstLine="432"/>
      </w:pPr>
      <w:r>
        <w:t>Example 1: The 2020 U.S. Election Controversies The 2020 U.S. presidential election generated unprecedented controversy over electoral integrity, with allegations of fraud, manipulation, and irregularities that were largely dismissed by courts and media. The controversy demonstrated how electoral systems can lose public confidence when transparency and accountability mechanisms fail, regardless of the actual validity of the concerns raised. Example 2: COVID-19 Emergency Powers The COVID-19 pandemic saw democratic governments worldwide implement emergency powers that suspended normal democratic processes, constitutional protections, and civil liberties. These measures demonstrated how easily democratic institutions can be circumvented during declared emergencies, often with minimal legislative oversight or judicial review.</w:t>
      </w:r>
    </w:p>
    <w:p>
      <w:pPr>
        <w:ind w:firstLine="432"/>
      </w:pPr>
      <w:r>
        <w:t>Example 3: The European Union’s Democratic Deficit The European Union’s governance structure demonstrates how democratic accountability can be undermined through complex institutional arrangements that remove decision-making from direct democratic control. EU policies are often implemented through technocratic processes that bypass national democratic institutions while claiming legitimacy through international cooperation.</w:t>
      </w:r>
    </w:p>
    <w:p>
      <w:pPr>
        <w:pStyle w:val="Heading2"/>
      </w:pPr>
      <w:r>
        <w:rPr>
          <w:rFonts w:ascii="Times New Roman" w:hAnsi="Times New Roman"/>
          <w:color w:val="000000"/>
          <w:sz w:val="32"/>
        </w:rPr>
        <w:t>References and Sources</w:t>
      </w:r>
    </w:p>
    <w:p>
      <w:pPr>
        <w:ind w:firstLine="432"/>
      </w:pPr>
      <w:r>
        <w:t>[1] Levitsky, Steven, and Daniel Ziblatt. “How Democracies Die.” Crown, 2018. [2] Brown, Wendy. “Undoing the Demos: Neoliberalism’s Stealth Revolution.” Zone Books, 2015. [3] Runciman, David. “How Democracy Ends.” Basic Books, 2018. [4] Dahl, Robert A. “Democracy and Its Critics.” Yale University Press, 1989. [5] Vile, M.J.C. “Constitutionalism and the Separation of Powers.” Oxford University Press, 1967. [6] Dworkin, Ronald. “Taking Rights Seriously.” Harvard University Press, 1977. [7] Dicey, A.V. “Introduction to the Study of the Law of the Constitution.” Liberty Fund, 1982. [8] Gilens, Martin, and Benjamin I. Page. “Testing Theories of American Politics: Elites, Interest Groups, and Average Citizens.” Perspectives on Politics, 2014. [9] Ferguson, Thomas. “Golden Rule: The Investment Theory of Party Competition.” University of Chicago Press, 1995. [10] Herman, Edward S., and Noam Chomsky. “Manufacturing Consent: The Political Economy of the Mass Media.” Pantheon Books, 1988.</w:t>
      </w:r>
    </w:p>
    <w:p>
      <w:pPr>
        <w:ind w:firstLine="432"/>
      </w:pPr>
      <w:r>
        <w:t>[11] Hursti, Harri. “Critical Security Issues with ES&amp;S ExpressPoll Voting System.” Security Analysis, 2019. [12] Lessig, Lawrence. “Republic, Lost: How Money Corrupts Congress— and a Plan to Stop It.” Twelve, 2011. [13] Revolving Door Project. “Corporate Capture Database.” Public Accountability Initiative, 2023. [14] Glaeser, Edward L., and Andrei Shleifer. “The Rise of the Regulatory State.” Journal of Economic Literature, 2003. [15] Curry, James M. “Legislating in the Dark: Information and Power in the House of Representatives.” University of Chicago Press, 2015. [16] Rudalevige, Andrew. “The New Imperial Presidency: Renewing Presidential Power after Watergate.” University of Michigan Press, 2005. [17] Posner, Eric A., and Adrian Vermeule. “The Executive Unbound: After the Madisonian Republic.” Oxford University Press, 2010. [18] Carpenter, Daniel, and David A. Moss. “Preventing Regulatory Capture: Special Interest Influence and How to Limit It.” Cambridge University Press, 2013. [19] Aftergood, Steven. “Government Secrecy and Democratic Accountability.” Federation of American Scientists, 2020. [20] McDonald, Forrest. “States’ Rights and the Union: Imperium in Imperio, 1776-1876.” University Press of Kansas, 2000. [21] Conlan, Timothy J. “From New Federalism to Devolution: Twenty- Five Years of Intergovernmental Reform.” Brookings Institution Press, 1998. [22] Barnett, Randy E. “Restoring the Lost Constitution.” Princeton University Press, 2004. [23] Golove, David M., and Daniel J. Hulsebosch. “A Civilized Nation: The Early American Constitution, the Law of Nations, and the Pursuit of International Recognition.” New York University Law Review, 2010. [24] Balko, Radley. “Rise of the Warrior Cop: The Militarization of America’s Police Forces.” PublicAffairs, 2013.</w:t>
      </w:r>
    </w:p>
    <w:p>
      <w:pPr>
        <w:ind w:firstLine="432"/>
      </w:pPr>
      <w:r>
        <w:t>[25] Greenwald, Glenn. “No Place to Hide: Edward Snowden, the NSA, and the U.S. Surveillance State.” Metropolitan Books, 2014. [26] Kraska, Peter B. “Militarization and Policing—Its Relevance to 21st Century Police.” Policing: A Journal of Policy and Practice, 2007. [27] Rossiter, Clinton. “Constitutional Dictatorship: Crisis Government in the Modern Democracies.” Princeton University Press, 1948. [28] Dingwerth, Klaus, et al. “International Organizations under Pressure: Legitimating Global Governance in Challenging Times.” Oxford University Press, 2019. [29] Weiss, Thomas G., and Rorden Wilkinson. “International Organization and Global Governance.” Routledge, 2018. [30] Stiglitz, Joseph E. “Globalization and Its Discontents.” W. W. Norton &amp; Company, 2002. [31] Payer, Cheryl. “The Debt Trap: The International Monetary Fund and the Third World.” Monthly Review Press, 1974. [32] Cole, David, and James X. Dempsey. “Terrorism and the Constitution: Sacrificing Civil Liberties in the Name of National Security.” The New Press, 2006. [33] Electronic Frontier Foundation. “Surveillance Self-Defense: Tips, Tools and How-tos for Safer Online Communications.” EFF, 2023. [34] Strossen, Nadine. “HATE: Why We Should Resist It with Free Speech, Not Censorship.” Oxford University Press, 2018. [35] Worrall, John L. “Civil Asset Forfeiture: A Necessary Evil or Constitutional Violation?” Criminal Justice Policy Review, 2001. [36] Levinson, Sanford. “Our Undemocratic Constitution: Where the Constitution Goes Wrong.” Oxford University Press, 2006. [37] Tushnet, Mark. “Taking the Constitution Away from the Courts.” Princeton University Press, 1999. [38] Fisher, Louis. “Congressional Abdication on War and Spending.” Texas A&amp;M University Press, 2000.</w:t>
      </w:r>
    </w:p>
    <w:p>
      <w:pPr>
        <w:ind w:firstLine="432"/>
      </w:pPr>
      <w:r>
        <w:t>[39] Cooper, Phillip J. “By Order of the President: The Use and Abuse of Executive Direct Action.” University Press of Kansas, 2002. [40] Hamburger, Philip. “Is Administrative Law Unlawful?” University of Chicago Press, 2014. [41] Lawson, Gary. “The Rise and Rise of the Administrative State.” Harvard Law Review, 1994. [42] Pierce Jr., Richard J. “Administrative Law Treatise.” Wolters Kluwer Law &amp; Business, 2010. [43] Howard, Philip K. “The Rule of Nobody: Saving America from Dead Laws and Broken Government.” W. W. Norton &amp; Company, 2014. [44] Putnam, Robert D. “Bowling Alone: The Collapse and Revival of American Community.” Simon &amp; Schuster, 2000. [45] Bishop, Bill. “The Big Sort: Why the Clustering of Like-Minded America Is Tearing Us Apart.” Houghton Mifflin, 2008. [46] Piketty, Thomas. “Capital in the Twenty-First Century.” Harvard University Press, 2014. [47] Lasch, Christopher. “The Revolt of the Elites and the Betrayal of Democracy.” W. W. Norton &amp; Company, 1995. [48] Burnham, James. “The Managerial Revolution: What Is Happening in the World.” John Day Company, 1941. [49] Fischer, Frank. “Technocracy and the Politics of Expertise.” Sage Publications, 1990. [50] O’Neil, Cathy. “Weapons of Math Destruction: How Big Data Increases Inequality and Threatens Democracy.” Crown, 2016. [51] Jasanoff, Sheila. “The Fifth Branch: Science Advisers as Policymakers.” Harvard University Press, 1990. [52] Diamond, Larry. “Ill Winds: Saving Democracy from Russian Rage, Chinese Ambition, and American Complacency.” Penguin Press, 2019. [53] Follesdal, Andreas, and Simon Hix. “Why There Is a Democratic Deficit in the EU: A Response to Majone and Moravcsik.” Journal of Common Market Studies, 2006.</w:t>
      </w:r>
    </w:p>
    <w:p>
      <w:pPr>
        <w:ind w:firstLine="432"/>
      </w:pPr>
      <w:r>
        <w:t>[54] Grogan, Joelle. “Power, Law and the COVID-19 Pandemic.” Dublin University Law Journal, 2020. [55] Müller, Jan-Werner. “What Is Populism?” University of Pennsylvania Press, 2016.</w:t>
      </w:r>
    </w:p>
    <w:p>
      <w:pPr>
        <w:pStyle w:val="Heading2"/>
      </w:pPr>
      <w:r>
        <w:rPr>
          <w:rFonts w:ascii="Times New Roman" w:hAnsi="Times New Roman"/>
          <w:color w:val="000000"/>
          <w:sz w:val="32"/>
        </w:rPr>
        <w:t>Suggested Further Research</w:t>
      </w:r>
    </w:p>
    <w:p>
      <w:pPr>
        <w:ind w:firstLine="432"/>
      </w:pPr>
      <w:r>
        <w:t>1. “How Democracies Die” by Steven Levitsky and Daniel Ziblatt - Analysis of how democratic institutions can be undermined from within while maintaining the appearance of legitimacy. 2. “Republic, Lost” by Lawrence Lessig - Examination of how money corrupts democratic processes and potential solutions for reform. 3. “The Executive Unbound” by Eric Posner and Adrian Vermeule - Analysis of the expansion of executive power and its implications for democratic governance. 4. “Is Administrative Law Unlawful?” by Philip Hamburger - Constitutional analysis of the administrative state and its compatibility with democratic governance. 5. Freedom House Annual Reports - Global assessment of democratic institutions and civil liberties worldwide. 6. “Bowling Alone” by Robert Putnam - Analysis of the decline of social capital and its implications for democratic participation. 7. Transparency International Corruption Reports - International comparative analysis of institutional corruption and its effects on democratic governance.</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14: The Rise of Techno-Totalitarianism</w:t>
      </w:r>
    </w:p>
    <w:p>
      <w:pPr>
        <w:pStyle w:val="Heading2"/>
      </w:pPr>
      <w:r>
        <w:rPr>
          <w:rFonts w:ascii="Times New Roman" w:hAnsi="Times New Roman"/>
          <w:color w:val="000000"/>
          <w:sz w:val="32"/>
        </w:rPr>
        <w:t>Totalitarianism Introduction</w:t>
      </w:r>
    </w:p>
    <w:p>
      <w:pPr>
        <w:ind w:firstLine="432"/>
      </w:pPr>
      <w:r>
        <w:t>The convergence of advanced surveillance technologies, artificial intelligence, and captured governance systems has created the conditions for a new form of totalitarian control that operates through technological means rather than traditional political oppression. This chapter examines the implications of how the systematic problems documented in previous chapters have enabled the emergence of techno-totalitarianism that can monitor, predict, and control human behavior with unprecedented precision [1]. The implications of this technological totalitarianism extend far beyond traditional concerns about government surveillance or corporate data collection to encompass a comprehensive system of behavioral control that can operate automatically and invisibly while maintaining the appearance of freedom and choice. This system represents the ultimate evolution of the shadow matrix into a technological control grid [2].</w:t>
      </w:r>
    </w:p>
    <w:p>
      <w:pPr>
        <w:ind w:firstLine="432"/>
      </w:pPr>
      <w:r>
        <w:t>Understanding these implications is crucial for recognizing that the technological systems being implemented under the guise of convenience, efficiency, and safety are actually components of a control system that can eliminate human freedom and autonomy while maintaining the illusion of democratic governance and individual choice [3].</w:t>
      </w:r>
    </w:p>
    <w:p>
      <w:pPr>
        <w:pStyle w:val="Heading2"/>
      </w:pPr>
      <w:r>
        <w:rPr>
          <w:rFonts w:ascii="Times New Roman" w:hAnsi="Times New Roman"/>
          <w:color w:val="000000"/>
          <w:sz w:val="32"/>
        </w:rPr>
        <w:t>The Theoretical Foundation of Totalitarian Control</w:t>
      </w:r>
    </w:p>
    <w:p>
      <w:pPr>
        <w:ind w:firstLine="432"/>
      </w:pPr>
      <w:r>
        <w:t>Totalitarian systems seek to control not only political behavior but all aspects of human life, including thoughts, beliefs, relationships, and private activities. Traditional totalitarian systems relied on physical force, propaganda, and mass surveillance to achieve this control, but were limited by technological and logistical constraints [4]. The concept of soft totalitarianism describes systems that achieve total control through psychological manipulation, economic pressure, and social conditioning rather than overt force. These systems can be more effective than traditional totalitarianism because they create the illusion of freedom while actually eliminating meaningful choice [5]. Technological totalitarianism represents the ultimate evolution of these control systems, using advanced technology to monitor, predict, and manipulate human behavior in real-time. This system can achieve levels of control that were impossible with traditional methods while operating largely outside human awareness [6]. The integration of surveillance, artificial intelligence, and behavioral modification technologies creates a system that can identify dissent before it occurs and intervene to prevent resistance. This predictive capability represents a qualitative change in the nature of social control [7].</w:t>
      </w:r>
    </w:p>
    <w:p>
      <w:pPr>
        <w:pStyle w:val="Heading2"/>
      </w:pPr>
      <w:r>
        <w:rPr>
          <w:rFonts w:ascii="Times New Roman" w:hAnsi="Times New Roman"/>
          <w:color w:val="000000"/>
          <w:sz w:val="32"/>
        </w:rPr>
        <w:t>The Surveillance Infrastructure</w:t>
      </w:r>
    </w:p>
    <w:p>
      <w:pPr>
        <w:ind w:firstLine="432"/>
      </w:pPr>
      <w:r>
        <w:t>The foundation of techno-totalitarianism is a comprehensive surveillance infrastructure that can monitor all forms of human communication, movement, and behavior. This infrastructure has been built through the integration of government surveillance programs, corporate data collection, and consumer technology [8].</w:t>
      </w:r>
    </w:p>
    <w:p>
      <w:pPr>
        <w:ind w:firstLine="432"/>
      </w:pPr>
      <w:r>
        <w:t>The National Security Agency and similar intelligence agencies worldwide have developed capabilities to monitor virtually all electronic communications, including phone calls, emails, text messages, and internet activity. These capabilities operate largely outside legal oversight and constitutional constraints [9]. Corporate surveillance through technology platforms, social media, and data brokers creates detailed profiles of individual behavior, preferences, and relationships. This surveillance operates through terms of service agreements that most users do not read or understand [10]. The Internet of Things creates a network of connected devices that can monitor behavior in previously private spaces, including homes, vehicles, and workplaces. This network enables comprehensive surveillance of daily activities and personal habits [11].</w:t>
      </w:r>
    </w:p>
    <w:p>
      <w:pPr>
        <w:pStyle w:val="Heading2"/>
      </w:pPr>
      <w:r>
        <w:rPr>
          <w:rFonts w:ascii="Times New Roman" w:hAnsi="Times New Roman"/>
          <w:color w:val="000000"/>
          <w:sz w:val="32"/>
        </w:rPr>
        <w:t>Artificial Intelligence and Behavioral Prediction</w:t>
      </w:r>
    </w:p>
    <w:p>
      <w:pPr>
        <w:ind w:firstLine="432"/>
      </w:pPr>
      <w:r>
        <w:t>Artificial intelligence systems can analyze vast amounts of surveillance data to predict individual behavior, identify potential dissidents, and recommend interventions to modify behavior. These systems can operate automatically without human oversight while making decisions that affect millions of people [12]. Machine learning algorithms can identify patterns in human behavior that are invisible to human observers, enabling the prediction of future actions based on past behavior. This predictive capability can be used to intervene before undesired behaviors occur [13]. Natural language processing systems can analyze communications to identify political beliefs, emotional states, and social relationships. This analysis can be used to identify individuals who may be susceptible to particular forms of influence or who may pose threats to the system [14]. Facial recognition and biometric identification systems can track individuals across multiple locations and platforms, creating comprehensive records of movement and associations. These systems can operate in real-time to identify and track individuals of interest [15].</w:t>
      </w:r>
    </w:p>
    <w:p>
      <w:pPr>
        <w:pStyle w:val="Heading2"/>
      </w:pPr>
      <w:r>
        <w:rPr>
          <w:rFonts w:ascii="Times New Roman" w:hAnsi="Times New Roman"/>
          <w:color w:val="000000"/>
          <w:sz w:val="32"/>
        </w:rPr>
        <w:t>Social Credit Systems and Behavioral Control</w:t>
      </w:r>
    </w:p>
    <w:p>
      <w:pPr>
        <w:ind w:firstLine="432"/>
      </w:pPr>
      <w:r>
        <w:t>Social credit systems integrate surveillance data with artificial intelligence to create comprehensive behavioral scoring systems that can reward compliance and punish dissent. These systems represent the operational implementation of techno-totalitarian control [16]. China’s Social Credit System provides the most comprehensive example of how behavioral scoring can be used to control population behavior through financial incentives, travel restrictions, and social pressure. This system demonstrates the practical implementation of techno- totalitarian control [17]. The integration of social credit systems with financial services, employment, education, and other essential services creates comprehensive control mechanisms that can affect all aspects of individual life. This integration makes resistance extremely difficult [18]. The use of algorithmic decision-making in social credit systems enables automated enforcement of behavioral norms without human intervention. This automation makes the system more efficient while reducing accountability and opportunities for appeal [19].</w:t>
      </w:r>
    </w:p>
    <w:p>
      <w:pPr>
        <w:pStyle w:val="Heading2"/>
      </w:pPr>
      <w:r>
        <w:rPr>
          <w:rFonts w:ascii="Times New Roman" w:hAnsi="Times New Roman"/>
          <w:color w:val="000000"/>
          <w:sz w:val="32"/>
        </w:rPr>
        <w:t>Digital Currency and Economic Control</w:t>
      </w:r>
    </w:p>
    <w:p>
      <w:pPr>
        <w:ind w:firstLine="432"/>
      </w:pPr>
      <w:r>
        <w:t>Central Bank Digital Currencies and other digital payment systems provide unprecedented capabilities for monitoring and controlling economic behavior. These systems can track every transaction while enabling real-time intervention to prevent undesired economic activities [20]. Programmable money can be designed to expire, restrict purchases, or limit geographic use based on behavioral scores or government policies. This capability enables comprehensive economic control that would be impossible with traditional currency [21]. The elimination of cash through digital currency systems removes the last vestige of anonymous economic activity, enabling complete surveillance of economic behavior. This surveillance can be used to identify and punish political dissent [22].</w:t>
      </w:r>
    </w:p>
    <w:p>
      <w:pPr>
        <w:ind w:firstLine="432"/>
      </w:pPr>
      <w:r>
        <w:t>The integration of digital currency with social credit systems enables automatic financial penalties for undesired behavior while rewarding compliance with government preferences. This integration creates powerful incentives for conformity [23].</w:t>
      </w:r>
    </w:p>
    <w:p>
      <w:pPr>
        <w:pStyle w:val="Heading2"/>
      </w:pPr>
      <w:r>
        <w:rPr>
          <w:rFonts w:ascii="Times New Roman" w:hAnsi="Times New Roman"/>
          <w:color w:val="000000"/>
          <w:sz w:val="32"/>
        </w:rPr>
        <w:t>Algorithmic Governance and Automated Control</w:t>
      </w:r>
    </w:p>
    <w:p>
      <w:pPr>
        <w:ind w:firstLine="432"/>
      </w:pPr>
      <w:r>
        <w:t>Algorithmic governance systems use artificial intelligence to make policy decisions, allocate resources, and enforce regulations without human intervention. These systems can implement techno-totalitarian control while claiming objectivity and efficiency [24]. Automated content moderation systems can suppress dissenting viewpoints and promote approved narratives across multiple platforms simultaneously. This capability enables comprehensive information control that operates faster than human oversight [25]. Predictive policing systems can identify individuals who are likely to commit crimes before they occur, enabling preemptive intervention that can prevent dissent and resistance. These systems can operate based on behavioral patterns rather than actual criminal activity [26]. Smart city systems integrate surveillance, artificial intelligence, and automated control to manage urban environments in real-time. These systems can control traffic, utilities, and public services while monitoring citizen behavior [27].</w:t>
      </w:r>
    </w:p>
    <w:p>
      <w:pPr>
        <w:pStyle w:val="Heading2"/>
      </w:pPr>
      <w:r>
        <w:rPr>
          <w:rFonts w:ascii="Times New Roman" w:hAnsi="Times New Roman"/>
          <w:color w:val="000000"/>
          <w:sz w:val="32"/>
        </w:rPr>
        <w:t>Biometric Control and Identity Systems</w:t>
      </w:r>
    </w:p>
    <w:p>
      <w:pPr>
        <w:ind w:firstLine="432"/>
      </w:pPr>
      <w:r>
        <w:t>Biometric identification systems create permanent, unchangeable identities that can be tracked across all platforms and locations. These systems eliminate anonymity while enabling comprehensive surveillance and control [28]. Facial recognition systems can identify individuals in real-time across multiple locations, creating comprehensive tracking capabilities that operate automatically. These systems can be integrated with other surveillance technologies to create detailed behavioral profiles [29]. DNA databases and genetic surveillance enable identification and tracking based on biological characteristics that cannot be changed or</w:t>
      </w:r>
    </w:p>
    <w:p>
      <w:pPr>
        <w:ind w:firstLine="432"/>
      </w:pPr>
      <w:r>
        <w:t>hidden. These systems can identify individuals and their relatives while predicting behavioral tendencies [30]. Brain-computer interfaces and neural monitoring technologies represent the ultimate frontier of biometric control, enabling direct monitoring and manipulation of thoughts and emotions. These technologies are being developed for medical purposes but have obvious control applications [31].</w:t>
      </w:r>
    </w:p>
    <w:p>
      <w:pPr>
        <w:pStyle w:val="Heading2"/>
      </w:pPr>
      <w:r>
        <w:rPr>
          <w:rFonts w:ascii="Times New Roman" w:hAnsi="Times New Roman"/>
          <w:color w:val="000000"/>
          <w:sz w:val="32"/>
        </w:rPr>
        <w:t>Psychological Manipulation and Behavioral Modification</w:t>
      </w:r>
    </w:p>
    <w:p>
      <w:pPr>
        <w:ind w:firstLine="432"/>
      </w:pPr>
      <w:r>
        <w:t>Advanced psychological manipulation techniques use artificial intelligence and behavioral data to influence individual thoughts, emotions, and behaviors in real-time. These techniques can operate below the threshold of conscious awareness while achieving powerful effects [32]. Personalized propaganda systems can deliver different messages to different individuals based on their psychological profiles and behavioral patterns. This micro-targeting enables more effective manipulation while making coordinated resistance more difficult [33]. Addiction-based design in technology platforms creates psychological dependencies that can be exploited for control purposes. These dependencies make individuals more susceptible to manipulation while reducing their ability to resist [34]. Subliminal messaging and neuro-linguistic programming techniques can be integrated into digital platforms to influence behavior without conscious awareness. These techniques can shape thoughts and emotions while maintaining the illusion of free choice [35].</w:t>
      </w:r>
    </w:p>
    <w:p>
      <w:pPr>
        <w:pStyle w:val="Heading2"/>
      </w:pPr>
      <w:r>
        <w:rPr>
          <w:rFonts w:ascii="Times New Roman" w:hAnsi="Times New Roman"/>
          <w:color w:val="000000"/>
          <w:sz w:val="32"/>
        </w:rPr>
        <w:t>The Merger of Corporate and Government Power</w:t>
      </w:r>
    </w:p>
    <w:p>
      <w:pPr>
        <w:ind w:firstLine="432"/>
      </w:pPr>
      <w:r>
        <w:t>The integration of corporate surveillance capabilities with government control systems creates a unified techno-totalitarian apparatus that combines the efficiency of private enterprise with the authority of government power [36].</w:t>
      </w:r>
    </w:p>
    <w:p>
      <w:pPr>
        <w:ind w:firstLine="432"/>
      </w:pPr>
      <w:r>
        <w:t>Public-private partnerships in surveillance and data analysis enable governments to access corporate surveillance capabilities while providing corporations with government authority and protection. This merger eliminates the traditional separation between public and private power [37]. The revolving door between technology companies and government agencies ensures coordination between corporate and government surveillance efforts. This coordination enables comprehensive surveillance while avoiding legal restrictions on government surveillance [38]. International cooperation among technology companies and intelligence agencies creates global surveillance networks that transcend national boundaries and legal jurisdictions. This cooperation enables comprehensive global surveillance and control [39].</w:t>
      </w:r>
    </w:p>
    <w:p>
      <w:pPr>
        <w:pStyle w:val="Heading2"/>
      </w:pPr>
      <w:r>
        <w:rPr>
          <w:rFonts w:ascii="Times New Roman" w:hAnsi="Times New Roman"/>
          <w:color w:val="000000"/>
          <w:sz w:val="32"/>
        </w:rPr>
        <w:t>The Elimination of Privacy and Anonymity</w:t>
      </w:r>
    </w:p>
    <w:p>
      <w:pPr>
        <w:ind w:firstLine="432"/>
      </w:pPr>
      <w:r>
        <w:t>The comprehensive surveillance infrastructure eliminates privacy and anonymity, making it impossible for individuals to engage in activities that are not monitored and recorded. This elimination of privacy enables comprehensive behavioral control [40]. The concept of “nothing to hide” is used to justify comprehensive surveillance while ignoring the chilling effect on free speech, political dissent, and personal autonomy. This justification enables the normalization of total surveillance [41]. The integration of surveillance technologies into all aspects of daily life makes it impossible to avoid monitoring while participating in modern society. This integration creates a choice between surveillance and social isolation [42]. The permanent nature of digital records means that past behavior can be used to predict and control future behavior indefinitely. This permanence eliminates the possibility of redemption or change while enabling long-term behavioral control [43].</w:t>
      </w:r>
    </w:p>
    <w:p>
      <w:pPr>
        <w:pStyle w:val="Heading2"/>
      </w:pPr>
      <w:r>
        <w:rPr>
          <w:rFonts w:ascii="Times New Roman" w:hAnsi="Times New Roman"/>
          <w:color w:val="000000"/>
          <w:sz w:val="32"/>
        </w:rPr>
        <w:t>Resistance and Counter-Surveillance</w:t>
      </w:r>
    </w:p>
    <w:p>
      <w:pPr>
        <w:ind w:firstLine="432"/>
      </w:pPr>
      <w:r>
        <w:t>Despite the comprehensive nature of techno-totalitarian systems, technological tools and strategies exist that can provide some protection against surveillance and control. Understanding these tools is essential for maintaining human freedom and autonomy [44]. Encryption technologies can protect communications from surveillance while anonymous networks can enable private internet activity. However, these technologies are under constant attack from government and corporate interests [45]. Decentralized technologies such as blockchain and peer-to-peer networks can enable economic and social activity outside centralized control systems. These technologies provide alternatives to centralized platforms and services [46]. Physical and operational security measures can reduce surveillance and tracking while enabling private communication and organization. These measures require knowledge and discipline but can provide significant protection [47].</w:t>
      </w:r>
    </w:p>
    <w:p>
      <w:pPr>
        <w:pStyle w:val="Heading2"/>
      </w:pPr>
      <w:r>
        <w:rPr>
          <w:rFonts w:ascii="Times New Roman" w:hAnsi="Times New Roman"/>
          <w:color w:val="000000"/>
          <w:sz w:val="32"/>
        </w:rPr>
        <w:t>Legal and Constitutional Challenges</w:t>
      </w:r>
    </w:p>
    <w:p>
      <w:pPr>
        <w:ind w:firstLine="432"/>
      </w:pPr>
      <w:r>
        <w:t>The implementation of techno-totalitarian systems raises fundamental legal and constitutional questions about privacy, due process, and the limits of government power. Traditional legal frameworks are inadequate to address these new forms of control [48]. Fourth Amendment protections against unreasonable searches and seizures are being circumvented through third-party doctrine and other legal theories that enable comprehensive surveillance without warrants. These circumventions undermine constitutional protections [49]. Due process protections are being eliminated through algorithmic decision-making systems that can affect individual rights and freedoms without human oversight or appeal processes. This automation undermines fundamental legal protections [50]. The global nature of surveillance and control systems makes it difficult to establish legal jurisdiction and accountability for techno-totalitarian abuses. This jurisdictional complexity enables the avoidance of legal constraints [51].</w:t>
      </w:r>
    </w:p>
    <w:p>
      <w:pPr>
        <w:pStyle w:val="Heading2"/>
      </w:pPr>
      <w:r>
        <w:rPr>
          <w:rFonts w:ascii="Times New Roman" w:hAnsi="Times New Roman"/>
          <w:color w:val="000000"/>
          <w:sz w:val="32"/>
        </w:rPr>
        <w:t>International Examples and Comparisons</w:t>
      </w:r>
    </w:p>
    <w:p>
      <w:pPr>
        <w:ind w:firstLine="432"/>
      </w:pPr>
      <w:r>
        <w:t>Techno-totalitarian systems are being implemented worldwide with variations that reflect different political and cultural contexts. Examining these international examples reveals common patterns and techniques [52]. China’s comprehensive surveillance state provides the most advanced example of techno-totalitarian control, integrating facial recognition, social credit, digital currency, and artificial intelligence into a unified control system [53]. The European Union’s digital identity and surveillance systems demonstrate how techno-totalitarian control can be implemented in democratic societies through regulatory frameworks and public-private partnerships [54]. The COVID-19 pandemic provided opportunities for governments worldwide to implement surveillance and control systems that would have been rejected under normal circumstances. These systems demonstrate how emergencies can be used to implement techno- totalitarian control [55].</w:t>
      </w:r>
    </w:p>
    <w:p>
      <w:pPr>
        <w:pStyle w:val="Heading2"/>
      </w:pPr>
      <w:r>
        <w:rPr>
          <w:rFonts w:ascii="Times New Roman" w:hAnsi="Times New Roman"/>
          <w:color w:val="000000"/>
          <w:sz w:val="32"/>
        </w:rPr>
        <w:t>Key Quotes</w:t>
      </w:r>
    </w:p>
    <w:p>
      <w:pPr>
        <w:ind w:firstLine="432"/>
      </w:pPr>
      <w:r>
        <w:t>“The perfect dictatorship would have the appearance of a democracy, but would basically be a prison without walls in which the prisoners would not even dream of escaping.” - Aldous Huxley “Big Brother is watching you.” - George Orwell, 1984 “The real question is not whether machines think but whether men do.” - B.F. Skinner “We are not going toward a world government; we are going toward a world of governments.” - Henry Kissinger “The combination of some data and an aching desire for an answer does not ensure that a reasonable answer can be extracted from a given body of data.” - John Tukey</w:t>
      </w:r>
    </w:p>
    <w:p>
      <w:pPr>
        <w:pStyle w:val="Heading2"/>
      </w:pPr>
      <w:r>
        <w:rPr>
          <w:rFonts w:ascii="Times New Roman" w:hAnsi="Times New Roman"/>
          <w:color w:val="000000"/>
          <w:sz w:val="32"/>
        </w:rPr>
        <w:t>Real-World Examples</w:t>
      </w:r>
    </w:p>
    <w:p>
      <w:pPr>
        <w:ind w:firstLine="432"/>
      </w:pPr>
      <w:r>
        <w:t>Example 1: China’s Social Credit System China’s Social Credit System integrates surveillance data from multiple sources to create comprehensive behavioral scores that affect access to transportation, employment, education, and financial services. The system demonstrates how techno-totalitarian control can be implemented through seemingly voluntary participation in digital systems while creating comprehensive behavioral control. Example 2: COVID-19 Contact Tracing and Health Passports The COVID-19 pandemic saw the rapid implementation of contact tracing systems and health passports that enabled comprehensive surveillance and movement control. These systems demonstrated how health emergencies can be used to implement surveillance and control technologies that would be rejected under normal circumstances. Example 3: Facial Recognition and Predictive Policing Law enforcement agencies worldwide have implemented facial recognition and predictive policing systems that can identify and track individuals while predicting criminal behavior. These systems demonstrate how surveillance technologies can be used to control behavior through preemptive intervention and comprehensive monitoring.</w:t>
      </w:r>
    </w:p>
    <w:p>
      <w:pPr>
        <w:pStyle w:val="Heading2"/>
      </w:pPr>
      <w:r>
        <w:rPr>
          <w:rFonts w:ascii="Times New Roman" w:hAnsi="Times New Roman"/>
          <w:color w:val="000000"/>
          <w:sz w:val="32"/>
        </w:rPr>
        <w:t>References and Sources</w:t>
      </w:r>
    </w:p>
    <w:p>
      <w:pPr>
        <w:ind w:firstLine="432"/>
      </w:pPr>
      <w:r>
        <w:t>[1] Zuboff, Shoshana. “The Age of Surveillance Capitalism: The Fight for a Human Future at the New Frontier of Power.” PublicAffairs, 2019. [2] Harari, Yuval Noah. “Homo Deus: A Brief History of Tomorrow.” Harper, 2017.</w:t>
      </w:r>
    </w:p>
    <w:p>
      <w:pPr>
        <w:ind w:firstLine="432"/>
      </w:pPr>
      <w:r>
        <w:t>[3] Morozov, Evgeny. “The Net Delusion: The Dark Side of Internet Freedom.” PublicAffairs, 2011. [4] Arendt, Hannah. “The Origins of Totalitarianism.” Harcourt, Brace &amp; World, 1951. [5] Huxley, Aldous. “Brave New World Revisited.” Harper &amp; Brothers, 1958. [6] Winner, Langdon. “Autonomous Technology: Technics-out-of-Control as a Theme in Political Thought.” MIT Press, 1977. [7] Deleuze, Gilles. “Postscript on the Societies of Control.” October, 1992. [8] Greenwald, Glenn. “No Place to Hide: Edward Snowden, the NSA, and the U.S. Surveillance State.” Metropolitan Books, 2014. [9] Bamford, James. “The Shadow Factory: The Ultra-Secret NSA from 9/11 to the Eavesdropping on America.” Doubleday, 2008. [10] Vaidhyanathan, Siva. “The Googlization of Everything: And Why We Should Worry.” University of California Press, 2011. [11] Weber, Rolf H. “Internet of Things: Privacy Issues Revisited.” Computer Law &amp; Security Review, 2015. [12] O’Neil, Cathy. “Weapons of Math Destruction: How Big Data Increases Inequality and Threatens Democracy.” Crown, 2016. [13] Pasquale, Frank. “The Black Box Society: The Secret Algorithms That Control Money and Information.” Harvard University Press, 2015. [14] Tufekci, Zeynep. “Twitter and Tear Gas: The Power and Fragility of Networked Protest.” Yale University Press, 2017. [15] Gates, Kelly A. “Our Biometric Future: Facial Recognition Technology and the Culture of Surveillance.” NYU Press, 2011. [16] Liang, Fan, et al. “Constructing a Data-Driven Society: China’s Social Credit System as a State Surveillance Infrastructure.” Policy &amp; Internet, 2018. [17] Creemers, Rogier. “China’s Social Credit System: An Evolving Practice of Control.” SSRN Electronic Journal, 2018.</w:t>
      </w:r>
    </w:p>
    <w:p>
      <w:pPr>
        <w:ind w:firstLine="432"/>
      </w:pPr>
      <w:r>
        <w:t>[18] Kostka, Genia. “China’s Social Credit Systems and Public Opinion: Explaining High Levels of Approval.” New Media &amp; Society, 2019. [19] Chorzempa, Martin, et al. “China’s Social Credit System: A Mark of Progress or a Threat to Privacy?” Peterson Institute for International Economics, 2018. [20] Agur, Itai, et al. “Central Bank Digital Currency: Principles for Technical Implementation.” International Monetary Fund, 2022. [21] Auer, Raphael, and Rainer Böhme. “The Technology of Retail Central Bank Digital Currency.” BIS Quarterly Review, 2020. [22] Rogoff, Kenneth S. “The Curse of Cash: How Large-Denomination Bills Aid Crime and Tax Evasion and Constrain Monetary Policy.” Princeton University Press, 2016. [23] Yao, Qian. “A Systematic Framework to Understand Central Bank Digital Currency.” Science China Information Sciences, 2018. [24] Danaher, John. “Algorithmic Governance: Developing a Research Agenda through the Power of Collective Intelligence.” Computer Law &amp; Security Review, 2016. [25] Gillespie, Tarleton. “Custodians of the Internet: Platforms, Content Moderation, and the Hidden Decisions That Shape Social Media.” Yale University Press, 2018. [26] Ferguson, Andrew Guthrie. “The Rise of Big Data Policing: Surveillance, Race, and the Future of Law Enforcement.” NYU Press, 2017. [27] Kitchin, Rob. “The Real-Time City? Big Data and Smart Urbanism.” GeoJournal, 2014. [28] Magnet, Shoshana Amielle. “When Biometrics Fail: Gender, Race, and the Technology of Identity.” Duke University Press, 2011. [29] Introna, Lucas D., and David Wood. “Picturing Algorithmic Surveillance: The Politics of Facial Recognition Systems.” Surveillance &amp; Society, 2004. [30] Duster, Troy. “Backdoor to Eugenics.” Routledge, 2003.</w:t>
      </w:r>
    </w:p>
    <w:p>
      <w:pPr>
        <w:ind w:firstLine="432"/>
      </w:pPr>
      <w:r>
        <w:t>[31] Ienca, Marcello, and Roberto Andorno. “Towards New Human Rights in the Age of Neuroscience and Neurotechnology.” Life Sciences, Society and Policy, 2017. [32] Fogg, B.J. “Persuasive Technology: Using Computers to Change What We Think and Do.” Morgan Kaufmann, 2003. [33] Howard, Philip N., and Bence Kollanyi. “Bots, #StrongerIn, and #Brexit: Computational Propaganda during the UK-EU Referendum.” Research Paper, 2016. [34] Alter, Adam. “Irresistible: The Rise of Addictive Technology and the Business of Keeping Us Hooked.” Penguin Press, 2017. [35] Key, Wilson Bryan. “Subliminal Seduction: Ad Media’s Manipulation of a Not So Innocent America.” Prentice-Hall, 1973. [36] Wolin, Sheldon S. “Democracy Incorporated: Managed Democracy and the Specter of Inverted Totalitarianism.” Princeton University Press, 2008. [37] Levine, Yasha. “Surveillance Valley: The Secret Military History of the Internet.” PublicAffairs, 2018. [38] Revolving Door Project. “Tech Industry Revolving Door Database.” Public Accountability Initiative, 2023. [39] Gallagher, Ryan. “The Surveillance-Industrial Complex: How the American Government Is Conscripting Businesses to Collect Data on Citizens.” Slate, 2013. [40] Solove, Daniel J. “Understanding Privacy.” Harvard University Press, 2008. [41] Schneier, Bruce. “Data and Goliath: The Hidden Battles to Collect Your Data and Control Your World.” W. W. Norton &amp; Company, 2015. [42] Lyon, David. “Surveillance Society: Monitoring Everyday Life.” Open University Press, 2001. [43] Mayer-Schönberger, Viktor. “Delete: The Virtue of Forgetting in the Digital Age.” Princeton University Press, 2009. [44] Swire, Peter P., and Kenesa Ahmad. “Encryption and Globalization.” Columbia Science and Technology Law Review, 2012.</w:t>
      </w:r>
    </w:p>
    <w:p>
      <w:pPr>
        <w:ind w:firstLine="432"/>
      </w:pPr>
      <w:r>
        <w:t>[45] Tor Project. “Tor: The Second-Generation Onion Router.” Naval Research Laboratory, 2004. [46] Nakamoto, Satoshi. “Bitcoin: A Peer-to-Peer Electronic Cash System.” Bitcoin.org, 2008. [47] Grugq, The. “Operational Security and the Real World.” Security Conference Presentation, 2013. [48] Kerr, Orin S. “The Fourth Amendment and New Technologies: Constitutional Myths and the Case for Caution.” Michigan Law Review, 2004. [49] Slobogin, Christopher. “Privacy at Risk: The New Government Surveillance and the Fourth Amendment.” University of Chicago Press, 2007. [50] Citron, Danielle Keats. “Technological Due Process.” Washington University Law Review, 2008. [51] Svantesson, Dan Jerker B. “Solving the Internet Jurisdiction Puzzle.” Oxford University Press, 2017. [52] Diamond, Larry. “Ill Winds: Saving Democracy from Russian Rage, Chinese Ambition, and American Complacency.” Penguin Press, 2019. [53] Human Rights Watch. “China’s Algorithms of Repression: Reverse Engineering a Xinjiang Police Mass Surveillance App.” Investigation Report, 2019. [54] European Union Agency for Fundamental Rights. “Facial Recognition Technology: Fundamental Rights Considerations in the Context of Law Enforcement.” FRA Report, 2019. [55] Privacy International. “Digital Health Passports and Surveillance.” Policy Analysis, 2022.</w:t>
      </w:r>
    </w:p>
    <w:p>
      <w:pPr>
        <w:pStyle w:val="Heading2"/>
      </w:pPr>
      <w:r>
        <w:rPr>
          <w:rFonts w:ascii="Times New Roman" w:hAnsi="Times New Roman"/>
          <w:color w:val="000000"/>
          <w:sz w:val="32"/>
        </w:rPr>
        <w:t>Suggested Further Research</w:t>
      </w:r>
    </w:p>
    <w:p>
      <w:pPr>
        <w:ind w:firstLine="432"/>
      </w:pPr>
      <w:r>
        <w:t>1. “The Age of Surveillance Capitalism” by Shoshana Zuboff - Comprehensive analysis of how technology companies extract value from human behavior data while creating new forms of control.</w:t>
      </w:r>
    </w:p>
    <w:p>
      <w:pPr>
        <w:ind w:firstLine="432"/>
      </w:pPr>
      <w:r>
        <w:t>2. “Weapons of Math Destruction” by Cathy O’Neil - Examination of how algorithms and big data systems can perpetuate inequality and undermine democracy. 3. “No Place to Hide” by Glenn Greenwald - Investigation into NSA surveillance programs and their implications for privacy and democracy. 4. “The Black Box Society” by Frank Pasquale - Analysis of how algorithmic decision-making systems operate outside public accountability and democratic control. 5. Electronic Frontier Foundation Reports - Ongoing analysis of digital rights, surveillance, and technology policy issues. 6. “China’s Social Credit System” Research by Rogier Creemers - Academic analysis of China’s comprehensive surveillance and behavioral control system. 7. Privacy International Surveillance Reports - International comparative analysis of surveillance technologies and their impact on human rights.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15: Economic Collapse and Social Breakdown</w:t>
      </w:r>
    </w:p>
    <w:p>
      <w:pPr>
        <w:pStyle w:val="Heading2"/>
      </w:pPr>
      <w:r>
        <w:rPr>
          <w:rFonts w:ascii="Times New Roman" w:hAnsi="Times New Roman"/>
          <w:color w:val="000000"/>
          <w:sz w:val="32"/>
        </w:rPr>
        <w:t>and Social Breakdown Introduction</w:t>
      </w:r>
    </w:p>
    <w:p>
      <w:pPr>
        <w:ind w:firstLine="432"/>
      </w:pPr>
      <w:r>
        <w:t>The systematic capture of financial, political, and social institutions documented in previous chapters has created the conditions for comprehensive economic collapse and social breakdown that threatens the stability of civilization itself. This chapter examines the implications</w:t>
      </w:r>
    </w:p>
    <w:p>
      <w:pPr>
        <w:ind w:firstLine="432"/>
      </w:pPr>
      <w:r>
        <w:t>of how the concentration of wealth and power in the hands of a small elite has created unsustainable economic and social conditions that are leading toward systemic collapse [1]. The implications of this economic and social breakdown extend far beyond traditional concerns about recession or political instability to encompass the potential collapse of the social contract that holds civilization together. When the majority of the population loses faith in economic and political systems, the foundations of social order become unstable [2]. Understanding these implications is crucial for recognizing that the problems documented in previous chapters are not merely policy disagreements or temporary difficulties, but symptoms of a systemic crisis that threatens the survival of democratic civilization and requires fundamental restructuring of economic and social systems [3].</w:t>
      </w:r>
    </w:p>
    <w:p>
      <w:pPr>
        <w:pStyle w:val="Heading2"/>
      </w:pPr>
      <w:r>
        <w:rPr>
          <w:rFonts w:ascii="Times New Roman" w:hAnsi="Times New Roman"/>
          <w:color w:val="000000"/>
          <w:sz w:val="32"/>
        </w:rPr>
        <w:t>The Mathematics of Systemic Collapse</w:t>
      </w:r>
    </w:p>
    <w:p>
      <w:pPr>
        <w:ind w:firstLine="432"/>
      </w:pPr>
      <w:r>
        <w:t>Economic systems based on exponential growth, compound interest, and debt creation are mathematically unsustainable and must eventually collapse when they encounter physical and social limits. The current global economic system has reached these limits and is experiencing the early stages of systemic breakdown [4]. The exponential growth of debt at all levels of society has created obligations that cannot be repaid through productive economic activity. This debt burden creates deflationary pressures that undermine economic growth while increasing the real burden of debt service [5]. The concentration of wealth through compound interest and asset appreciation has created extreme inequality that undermines the purchasing power necessary to sustain economic growth. This inequality creates a feedback loop that accelerates wealth concentration while reducing economic stability [6]. The financialization of the economy has created a system where financial speculation generates more profits than productive activity, leading to the hollowing out of the real economy while creating massive financial bubbles that must eventually burst [7].</w:t>
      </w:r>
    </w:p>
    <w:p>
      <w:pPr>
        <w:pStyle w:val="Heading2"/>
      </w:pPr>
      <w:r>
        <w:rPr>
          <w:rFonts w:ascii="Times New Roman" w:hAnsi="Times New Roman"/>
          <w:color w:val="000000"/>
          <w:sz w:val="32"/>
        </w:rPr>
        <w:t>The Collapse of the Middle Class</w:t>
      </w:r>
    </w:p>
    <w:p>
      <w:pPr>
        <w:ind w:firstLine="432"/>
      </w:pPr>
      <w:r>
        <w:t>The systematic destruction of middle-class economic security through globalization, automation, and financialization has eliminated the social foundation necessary for democratic governance and social stability. The middle class historically served as a buffer between the wealthy elite and the poor masses [8]. The decline of manufacturing employment through globalization and automation has eliminated the high-paying jobs that enabled working- class families to achieve middle-class status. This decline has created a permanent underclass dependent on government assistance or low- wage service employment [9]. The inflation of asset prices through monetary policy has made homeownership and wealth accumulation impossible for younger generations while enriching existing asset owners. This generational wealth transfer creates social tensions and undermines social mobility [10]. The burden of student debt, healthcare costs, and other essential services has trapped middle-class families in debt relationships that prevent wealth accumulation and economic security. This debt burden creates modern forms of economic slavery [11].</w:t>
      </w:r>
    </w:p>
    <w:p>
      <w:pPr>
        <w:pStyle w:val="Heading2"/>
      </w:pPr>
      <w:r>
        <w:rPr>
          <w:rFonts w:ascii="Times New Roman" w:hAnsi="Times New Roman"/>
          <w:color w:val="000000"/>
          <w:sz w:val="32"/>
        </w:rPr>
        <w:t>Currency Debasement and Monetary Collapse</w:t>
      </w:r>
    </w:p>
    <w:p>
      <w:pPr>
        <w:ind w:firstLine="432"/>
      </w:pPr>
      <w:r>
        <w:t>The systematic debasement of currencies through quantitative easing and deficit spending has created conditions for monetary collapse that could destroy the savings and economic security of millions of people while benefiting those who hold real assets [12]. The creation of money through debt rather than productive activity has created a system where the money supply must constantly expand to service existing debt, leading to inevitable currency debasement and inflation [13]. The loss of confidence in fiat currencies could trigger a flight to real assets and alternative currencies that would collapse the existing monetary system while creating massive social disruption [14]. The international nature of currency markets means that monetary collapse in major economies could trigger global financial contagion that would affect all countries and populations [15].</w:t>
      </w:r>
    </w:p>
    <w:p>
      <w:pPr>
        <w:pStyle w:val="Heading2"/>
      </w:pPr>
      <w:r>
        <w:rPr>
          <w:rFonts w:ascii="Times New Roman" w:hAnsi="Times New Roman"/>
          <w:color w:val="000000"/>
          <w:sz w:val="32"/>
        </w:rPr>
        <w:t>Supply Chain Breakdown and Resource Scarcity</w:t>
      </w:r>
    </w:p>
    <w:p>
      <w:pPr>
        <w:ind w:firstLine="432"/>
      </w:pPr>
      <w:r>
        <w:t>The globalization of supply chains has created vulnerabilities that can cause widespread shortages of essential goods when disrupted by natural disasters, political conflicts, or economic instability. These vulnerabilities threaten basic survival needs [16]. The just-in-time inventory systems used by modern businesses minimize storage costs but create extreme vulnerability to supply disruptions. These systems can cause rapid shortages of food, medicine, and other essential goods [17]. The depletion of natural resources and environmental degradation has created scarcities that increase costs and reduce living standards while creating conflicts over remaining resources [18]. The concentration of production in specific geographic regions creates single points of failure that can disrupt global supply chains when affected by natural disasters, political instability, or military conflicts [19].</w:t>
      </w:r>
    </w:p>
    <w:p>
      <w:pPr>
        <w:pStyle w:val="Heading2"/>
      </w:pPr>
      <w:r>
        <w:rPr>
          <w:rFonts w:ascii="Times New Roman" w:hAnsi="Times New Roman"/>
          <w:color w:val="000000"/>
          <w:sz w:val="32"/>
        </w:rPr>
        <w:t>Social Fragmentation and Civil Unrest</w:t>
      </w:r>
    </w:p>
    <w:p>
      <w:pPr>
        <w:ind w:firstLine="432"/>
      </w:pPr>
      <w:r>
        <w:t>The breakdown of economic opportunity and social mobility has created conditions for widespread social unrest and civil conflict as different groups compete for diminishing resources and opportunities [20]. The manipulation of media and educational systems documented in previous chapters has created polarization and division that prevents social cooperation while enabling elite control through divide-and- conquer strategies [21]. The loss of shared cultural values and social institutions has created atomization and alienation that undermines social cohesion while making individuals more susceptible to manipulation and control [22]. The militarization of law enforcement and the expansion of surveillance capabilities have created the infrastructure for authoritarian control that can be used to suppress social unrest while protecting elite interests [23].</w:t>
      </w:r>
    </w:p>
    <w:p>
      <w:pPr>
        <w:pStyle w:val="Heading2"/>
      </w:pPr>
      <w:r>
        <w:rPr>
          <w:rFonts w:ascii="Times New Roman" w:hAnsi="Times New Roman"/>
          <w:color w:val="000000"/>
          <w:sz w:val="32"/>
        </w:rPr>
        <w:t>Demographic Collapse and Population Decline</w:t>
      </w:r>
    </w:p>
    <w:p>
      <w:pPr>
        <w:ind w:firstLine="432"/>
      </w:pPr>
      <w:r>
        <w:t>The economic pressures and social breakdown documented above have created conditions for demographic collapse as birth rates fall below replacement levels in developed countries while creating unsustainable dependency ratios [24]. The cost of raising children in modern economies has made family formation economically impossible for many young adults, leading to declining birth rates that threaten long-term economic and social sustainability [25]. The aging of populations in developed countries creates increasing healthcare and pension costs that must be supported by a shrinking working-age population, creating unsustainable fiscal burdens [26]. The breakdown of family structures and social support systems has created isolation and mental health problems that reduce life expectancy and social functioning while increasing healthcare costs [27].</w:t>
      </w:r>
    </w:p>
    <w:p>
      <w:pPr>
        <w:pStyle w:val="Heading2"/>
      </w:pPr>
      <w:r>
        <w:rPr>
          <w:rFonts w:ascii="Times New Roman" w:hAnsi="Times New Roman"/>
          <w:color w:val="000000"/>
          <w:sz w:val="32"/>
        </w:rPr>
        <w:t>Environmental Collapse and Resource Wars</w:t>
      </w:r>
    </w:p>
    <w:p>
      <w:pPr>
        <w:ind w:firstLine="432"/>
      </w:pPr>
      <w:r>
        <w:t>The environmental degradation caused by industrial activity and population growth has created conditions for ecological collapse that could undermine the natural systems necessary for human survival [28]. Climate change, whether natural or anthropogenic, is creating environmental stresses that affect agricultural productivity, water resources, and human habitability in many regions of the world [29]. The competition for diminishing natural resources is creating conflicts between nations and regions that could escalate into resource wars that would cause massive human suffering and economic disruption [30]. The pollution of air, water, and soil is creating health problems that reduce human productivity and increase healthcare costs while degrading the environmental systems necessary for economic activity [31].</w:t>
      </w:r>
    </w:p>
    <w:p>
      <w:pPr>
        <w:pStyle w:val="Heading2"/>
      </w:pPr>
      <w:r>
        <w:rPr>
          <w:rFonts w:ascii="Times New Roman" w:hAnsi="Times New Roman"/>
          <w:color w:val="000000"/>
          <w:sz w:val="32"/>
        </w:rPr>
        <w:t>Technological Unemployment and Economic Obsolescence</w:t>
      </w:r>
    </w:p>
    <w:p>
      <w:pPr>
        <w:ind w:firstLine="432"/>
      </w:pPr>
      <w:r>
        <w:t>The automation of human labor through artificial intelligence and robotics is creating technological unemployment that could eliminate most traditional employment while concentrating economic benefits among technology owners [32]. The displacement of human workers by machines creates a fundamental problem for economic systems based on employment and consumption, as unemployed workers cannot purchase the goods and services produced by automated systems [33]. The concentration of technological capabilities among a small number of corporations creates monopolistic conditions that can extract economic rents while providing minimal benefits to society [34]. The integration of artificial intelligence into economic decision-making could create automated systems that optimize for efficiency rather than human welfare, leading to economic outcomes that serve machines rather than people [35].</w:t>
      </w:r>
    </w:p>
    <w:p>
      <w:pPr>
        <w:pStyle w:val="Heading2"/>
      </w:pPr>
      <w:r>
        <w:rPr>
          <w:rFonts w:ascii="Times New Roman" w:hAnsi="Times New Roman"/>
          <w:color w:val="000000"/>
          <w:sz w:val="32"/>
        </w:rPr>
        <w:t>Healthcare System Collapse</w:t>
      </w:r>
    </w:p>
    <w:p>
      <w:pPr>
        <w:ind w:firstLine="432"/>
      </w:pPr>
      <w:r>
        <w:t>The capture of healthcare systems by pharmaceutical and insurance interests documented in Chapter 11 has created unsustainable cost increases that threaten to bankrupt individuals, businesses, and governments while reducing actual health outcomes [36]. The aging of populations combined with increasing healthcare costs creates fiscal pressures that could collapse government budgets and social insurance systems while leaving millions without access to healthcare [37]. The focus on profitable treatments rather than prevention and cure has created a system that perpetuates illness while generating profits, leading to increasing disease burdens and healthcare costs [38]. The integration of surveillance and control technologies into healthcare systems could create medical tyranny that uses health justifications to control behavior while serving political and economic interests rather than health needs [39].</w:t>
      </w:r>
    </w:p>
    <w:p>
      <w:pPr>
        <w:pStyle w:val="Heading2"/>
      </w:pPr>
      <w:r>
        <w:rPr>
          <w:rFonts w:ascii="Times New Roman" w:hAnsi="Times New Roman"/>
          <w:color w:val="000000"/>
          <w:sz w:val="32"/>
        </w:rPr>
        <w:t>Educational System Failure</w:t>
      </w:r>
    </w:p>
    <w:p>
      <w:pPr>
        <w:ind w:firstLine="432"/>
      </w:pPr>
      <w:r>
        <w:t>The capture of educational systems by corporate and government interests documented in Chapter 10 has created a system that produces graduates who are unprepared for economic reality while burdened with debt that constrains their economic freedom [40]. The emphasis on credentialism rather than practical skills has created artificial barriers to employment while generating profits for educational institutions that provide minimal value to students [41]. The indoctrination of students with ideologies that undermine critical thinking and social cooperation has created generations that are incapable of addressing the challenges facing society [42]. The student debt crisis has created a generation of economic slaves who must work to service debt rather than building wealth and families, undermining long-term economic and social sustainability [43].</w:t>
      </w:r>
    </w:p>
    <w:p>
      <w:pPr>
        <w:pStyle w:val="Heading2"/>
      </w:pPr>
      <w:r>
        <w:rPr>
          <w:rFonts w:ascii="Times New Roman" w:hAnsi="Times New Roman"/>
          <w:color w:val="000000"/>
          <w:sz w:val="32"/>
        </w:rPr>
        <w:t>Infrastructure Decay and System Failure</w:t>
      </w:r>
    </w:p>
    <w:p>
      <w:pPr>
        <w:ind w:firstLine="432"/>
      </w:pPr>
      <w:r>
        <w:t>The neglect of infrastructure maintenance and investment has created conditions for widespread system failures that could disrupt economic activity and social functioning [44]. The aging of electrical grids, transportation systems, and communication networks creates vulnerabilities that could cause cascading failures affecting millions of people [45]. The complexity and interdependence of modern infrastructure systems means that failures in one system can trigger failures in other systems, creating the potential for comprehensive infrastructure collapse [46]. The lack of investment in infrastructure resilience and redundancy has created single points of failure that could be exploited by natural disasters, cyber attacks, or deliberate sabotage [47].</w:t>
      </w:r>
    </w:p>
    <w:p>
      <w:pPr>
        <w:pStyle w:val="Heading2"/>
      </w:pPr>
      <w:r>
        <w:rPr>
          <w:rFonts w:ascii="Times New Roman" w:hAnsi="Times New Roman"/>
          <w:color w:val="000000"/>
          <w:sz w:val="32"/>
        </w:rPr>
        <w:t>International Conflict and War</w:t>
      </w:r>
    </w:p>
    <w:p>
      <w:pPr>
        <w:ind w:firstLine="432"/>
      </w:pPr>
      <w:r>
        <w:t>The economic and social pressures documented above are creating conditions for international conflicts and wars as nations compete for</w:t>
      </w:r>
    </w:p>
    <w:p>
      <w:pPr>
        <w:ind w:firstLine="432"/>
      </w:pPr>
      <w:r>
        <w:t>resources and attempt to export their internal problems through external aggression [48]. The breakdown of international institutions and agreements is reducing the mechanisms available for peaceful conflict resolution while increasing the likelihood of military solutions to political and economic problems [49]. The development of new weapons technologies including cyber warfare, space weapons, and autonomous systems is creating new forms of conflict that could cause unprecedented destruction and social disruption [50]. The economic costs of military spending and warfare divert resources from productive activities while creating debt burdens that accelerate economic decline [51].</w:t>
      </w:r>
    </w:p>
    <w:p>
      <w:pPr>
        <w:pStyle w:val="Heading2"/>
      </w:pPr>
      <w:r>
        <w:rPr>
          <w:rFonts w:ascii="Times New Roman" w:hAnsi="Times New Roman"/>
          <w:color w:val="000000"/>
          <w:sz w:val="32"/>
        </w:rPr>
        <w:t>The Psychology of Collapse</w:t>
      </w:r>
    </w:p>
    <w:p>
      <w:pPr>
        <w:ind w:firstLine="432"/>
      </w:pPr>
      <w:r>
        <w:t>The psychological effects of economic and social breakdown include increased rates of mental illness, substance abuse, and suicide that further undermine social functioning while creating additional costs and burdens [52]. The loss of hope and meaning that accompanies economic decline and social breakdown creates despair and nihilism that can manifest in destructive behaviors including violence and self-harm [53]. The breakdown of social trust and cooperation creates paranoia and conflict that makes collective action more difficult while enabling authoritarian control through fear and division [54]. The cognitive dissonance created by the gap between official narratives and lived reality creates psychological stress that can manifest in various forms of mental and physical illness [55].</w:t>
      </w:r>
    </w:p>
    <w:p>
      <w:pPr>
        <w:pStyle w:val="Heading2"/>
      </w:pPr>
      <w:r>
        <w:rPr>
          <w:rFonts w:ascii="Times New Roman" w:hAnsi="Times New Roman"/>
          <w:color w:val="000000"/>
          <w:sz w:val="32"/>
        </w:rPr>
        <w:t>Key Quotes</w:t>
      </w:r>
    </w:p>
    <w:p>
      <w:pPr>
        <w:ind w:firstLine="432"/>
      </w:pPr>
      <w:r>
        <w:t>“A society grows great when old men plant trees whose shade they know they shall never sit in.” - Greek Proverb</w:t>
      </w:r>
    </w:p>
    <w:p>
      <w:pPr>
        <w:ind w:firstLine="432"/>
      </w:pPr>
      <w:r>
        <w:t>“The collapse of complex societies is a recurrent feature of human history.” - Joseph Tainter “Economic growth is not only unnecessary but ruinous.” - Alexander Solzhenitsyn “A nation that destroys its soils destroys itself.” - Franklin D. Roosevelt “The ultimate result of shielding men from the effects of folly is to fill the world with fools.” - Herbert Spencer</w:t>
      </w:r>
    </w:p>
    <w:p>
      <w:pPr>
        <w:pStyle w:val="Heading2"/>
      </w:pPr>
      <w:r>
        <w:rPr>
          <w:rFonts w:ascii="Times New Roman" w:hAnsi="Times New Roman"/>
          <w:color w:val="000000"/>
          <w:sz w:val="32"/>
        </w:rPr>
        <w:t>Real-World Examples</w:t>
      </w:r>
    </w:p>
    <w:p>
      <w:pPr>
        <w:ind w:firstLine="432"/>
      </w:pPr>
      <w:r>
        <w:t>Example 1: The 2008 Financial Crisis and Its Aftermath The 2008 financial crisis demonstrated how the concentration of risk in the financial system could trigger global economic collapse while the costs were socialized through bailouts that increased government debt and inequality. The crisis revealed the systemic nature of financial instability while the response created conditions for future crises. Example 2: Venezuela’s Economic Collapse Venezuela’s transformation from one of South America’s wealthiest countries to a failed state demonstrates how political corruption, currency debasement, and resource mismanagement can cause rapid economic and social collapse. The crisis has created massive emigration and social breakdown that affects the entire region. Example 3: Supply Chain Disruptions During COVID- 19 The COVID-19 pandemic revealed the fragility of global supply chains and just-in-time inventory systems, causing shortages of essential goods and demonstrating how quickly modern economic systems can break down when disrupted. The disruptions continue to affect global trade and economic stability.</w:t>
      </w:r>
    </w:p>
    <w:p>
      <w:pPr>
        <w:pStyle w:val="Heading2"/>
      </w:pPr>
      <w:r>
        <w:rPr>
          <w:rFonts w:ascii="Times New Roman" w:hAnsi="Times New Roman"/>
          <w:color w:val="000000"/>
          <w:sz w:val="32"/>
        </w:rPr>
        <w:t>References and Sources</w:t>
      </w:r>
    </w:p>
    <w:p>
      <w:pPr>
        <w:ind w:firstLine="432"/>
      </w:pPr>
      <w:r>
        <w:t>[1] Tainter, Joseph A. “The Collapse of Complex Societies.” Cambridge University Press, 1988. [2] Diamond, Jared. “Collapse: How Societies Choose to Fail or Succeed.” Viking, 2005. [3] Greer, John Michael. “The Long Descent: A User’s Guide to the End of the Industrial Age.” New Society Publishers, 2008. [4] Meadows, Donella H., et al. “The Limits to Growth: The 30-Year Update.” Chelsea Green Publishing, 2004. [5] Keen, Steve. “Debunking Economics: The Naked Emperor Dethroned?” Zed Books, 2011. [6] Piketty, Thomas. “Capital in the Twenty-First Century.” Harvard University Press, 2014. [7] Hudson, Michael. “Super Imperialism: The Economic Strategy of American Empire.” Pluto Press, 2003. [8] Reich, Robert B. “The Work of Nations: Preparing Ourselves for 21st Century Capitalism.” Vintage Books, 1992. [9] Bluestone, Barry, and Bennett Harrison. “The Deindustrialization of America: Plant Closings, Community Abandonment, and the Dismantling of Basic Industry.” Basic Books, 1982. [10] Yellen, Janet L. “The Goals of Monetary Policy and How We Pursue Them.” Federal Reserve Speech, 2017. [11] Brown, Meta. “The Financial Crisis at the Kitchen Table: Trends in Household Debt and Credit.” Federal Reserve Bank of New York, 2013. [12] Rickards, James. “Currency Wars: The Making of the Next Global Crisis.” Portfolio, 2011. [13] Griffin, G. Edward. “The Creature from Jekyll Island: A Second Look at the Federal Reserve.” American Media, 1994. [14] Faber, Marc. “Tomorrow’s Gold: Asia’s Age of Discovery.” CLSA Books, 2002.</w:t>
      </w:r>
    </w:p>
    <w:p>
      <w:pPr>
        <w:ind w:firstLine="432"/>
      </w:pPr>
      <w:r>
        <w:t>[15] Eichengreen, Barry. “Golden Fetters: The Gold Standard and the Great Depression.” Oxford University Press, 1992. [16] Sheffi, Yossi. “The Resilient Enterprise: Overcoming Vulnerability for Competitive Advantage.” MIT Press, 2005. [17] Christopher, Martin. “Logistics and Supply Chain Management.” Pearson Education, 2016. [18] Meadows, Donella H., et al. “Limits to Growth: The 30-Year Update.” Chelsea Green Publishing, 2004. [19] Levinson, Marc. “The Box: How the Shipping Container Made the World Smaller and the World Economy Bigger.” Princeton University Press, 2006. [20] Turchin, Peter. “Ages of Discord: A Structural-Demographic Analysis of American History.” Beresta Books, 2016. [21] Putnam, Robert D. “Bowling Alone: The Collapse and Revival of American Community.” Simon &amp; Schuster, 2000. [22] Lasch, Christopher. “The Culture of Narcissism: American Life in an Age of Diminishing Expectations.” W. W. Norton &amp; Company, 1979. [23] Balko, Radley. “Rise of the Warrior Cop: The Militarization of America’s Police Forces.” PublicAffairs, 2013. [24] Longman, Phillip. “The Empty Cradle: How Falling Birthrates Threaten World Prosperity.” Basic Books, 2004. [25] Eberstadt, Nicholas. “Men Without Work: America’s Invisible Crisis.” Templeton Press, 2016. [26] Peterson, Peter G. “Gray Dawn: How the Coming Age Wave Will Transform America.” Times Books, 1999. [27] Twenge, Jean M. “iGen: Why Today’s Super-Connected Kids Are Growing Up Less Rebellious, More Tolerant, Less Happy.” Atria Books, 2017. [28] Wilson, Edward O. “Half-Earth: Our Planet’s Fight for Life.” Liveright, 2016.</w:t>
      </w:r>
    </w:p>
    <w:p>
      <w:pPr>
        <w:ind w:firstLine="432"/>
      </w:pPr>
      <w:r>
        <w:t>[29] Lomborg, Bjørn. “The Skeptical Environmentalist: Measuring the Real State of the World.” Cambridge University Press, 2001. [30] Klare, Michael T. “Resource Wars: The New Landscape of Global Conflict.” Metropolitan Books, 2001. [31] Colborn, Theo, et al. “Our Stolen Future: Are We Threatening Our Fertility, Intelligence, and Survival?” Dutton, 1996. [32] Ford, Martin. “Rise of the Robots: Technology and the Threat of a Jobless Future.” Basic Books, 2015. [33] Brynjolfsson, Erik, and Andrew McAfee. “The Second Machine Age: Work, Progress, and Prosperity in a Time of Brilliant Technologies.” W. W. Norton &amp; Company, 2014. [34] Zuboff, Shoshana. “The Age of Surveillance Capitalism: The Fight for a Human Future at the New Frontier of Power.” PublicAffairs, 2019. [35] Bostrom, Nick. “Superintelligence: Paths, Dangers, Strategies.” Oxford University Press, 2014. [36] Reid, T.R. “The Healing of America: A Global Quest for Better, Cheaper, and Fairer Health Care.” Penguin Press, 2009. [37] Kotlikoff, Laurence J., and Scott Burns. “The Coming Generational Storm: What You Need to Know about America’s Economic Future.” MIT Press, 2004. [38] Welch, H. Gilbert, et al. “Overdiagnosed: Making People Sick in the Pursuit of Health.” Beacon Press, 2011. [39] Kheriaty, Aaron. “The New Abnormal: The Rise of the Biomedical Security State.” Regnery Publishing, 2022. [40] Caplan, Bryan. “The Case against Education: Why the Education System Is a Waste of Time and Money.” Princeton University Press, 2018. [41] Collins, Randall. “The Credential Society: An Historical Sociology of Education and Stratification.” Academic Press, 1979. [42] Lukianoff, Greg, and Jonathan Haidt. “The Coddling of the American Mind: How Good Intentions and Bad Ideas Are Setting Up a Generation for Failure.” Penguin Press, 2018.</w:t>
      </w:r>
    </w:p>
    <w:p>
      <w:pPr>
        <w:ind w:firstLine="432"/>
      </w:pPr>
      <w:r>
        <w:t>[43] Collinge, Alan. “The Student Loan Scam: The Most Oppressive Debt in U.S. History and How We Can Fight Back.” Beacon Press, 2009. [44] American Society of Civil Engineers. “Infrastructure Report Card.” ASCE, 2021. [45] Amin, Massoud. “Challenges in Reliability, Security, Efficiency, and Resilience of Energy Infrastructure.” European Journal of Operational Research, 2011. [46] Rinaldi, Steven M., et al. “Identifying, Understanding, and Analyzing Critical Infrastructure Interdependencies.” IEEE Control Systems Magazine, 2001. [47] National Academy of Sciences. “Making the Nation Safer: The Role of Science and Technology in Countering Terrorism.” National Academies Press, 2002. [48] Mearsheimer, John J. “The Tragedy of Great Power Politics.” W. W. Norton &amp; Company, 2001. [49] Ikenberry, G. John. “After Victory: Institutions, Strategic Restraint, and the Rebuilding of Order after Major Wars.” Princeton University Press, 2001. [50] Singer, P.W. “Wired for War: The Robotics Revolution and Conflict in the 21st Century.” Penguin Press, 2009. [51] Stiglitz, Joseph E., and Linda J. Bilmes. “The Three Trillion Dollar War: The True Cost of the Iraq Conflict.” W. W. Norton &amp; Company, 2008. [52] Case, Anne, and Angus Deaton. “Deaths of Despair and the Future of Capitalism.” Princeton University Press, 2020. [53] Seligman, Martin E.P. “Learned Optimism: How to Change Your Mind and Your Life.” Vintage Books, 1991. [54] Fukuyama, Francis. “Trust: The Social Virtues and the Creation of Prosperity.” Free Press, 1995. [55] Festinger, Leon. “A Theory of Cognitive Dissonance.” Stanford University Press, 1957.</w:t>
      </w:r>
    </w:p>
    <w:p>
      <w:pPr>
        <w:pStyle w:val="Heading2"/>
      </w:pPr>
      <w:r>
        <w:rPr>
          <w:rFonts w:ascii="Times New Roman" w:hAnsi="Times New Roman"/>
          <w:color w:val="000000"/>
          <w:sz w:val="32"/>
        </w:rPr>
        <w:t>Suggested Further Research</w:t>
      </w:r>
    </w:p>
    <w:p>
      <w:pPr>
        <w:ind w:firstLine="432"/>
      </w:pPr>
      <w:r>
        <w:t>1. “The Collapse of Complex Societies” by Joseph Tainter - Comprehensive analysis of how and why civilizations collapse throughout history. 2. “Capital in the Twenty-First Century” by Thomas Piketty - Economic analysis of wealth concentration and inequality in modern economies. 3. “The Limits to Growth” by Donella Meadows et al. - Systems analysis of the sustainability of economic growth and resource consumption. 4. “Rise of the Robots” by Martin Ford - Analysis of how automation and artificial intelligence are transforming employment and economic systems. 5. “Deaths of Despair” by Anne Case and Angus Deaton - Investigation into the social and economic causes of increasing mortality rates in developed countries. 6. “The Long Descent” by John Michael Greer - Analysis of the decline of industrial civilization and strategies for adaptation. 7. American Society of Civil Engineers Infrastructure Report Cards - Regular assessment of infrastructure conditions and investment needs in the United States.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16: The Loss of Human Dignity and Spiritual Crisis</w:t>
      </w:r>
    </w:p>
    <w:p>
      <w:pPr>
        <w:pStyle w:val="Heading2"/>
      </w:pPr>
      <w:r>
        <w:rPr>
          <w:rFonts w:ascii="Times New Roman" w:hAnsi="Times New Roman"/>
          <w:color w:val="000000"/>
          <w:sz w:val="32"/>
        </w:rPr>
        <w:t>Dignity and Spiritual Crisis Introduction</w:t>
      </w:r>
    </w:p>
    <w:p>
      <w:pPr>
        <w:ind w:firstLine="432"/>
      </w:pPr>
      <w:r>
        <w:t>The systematic dehumanization inherent in the captured systems documented in previous chapters has created a profound spiritual crisis that threatens the very essence of what it means to be human. This chapter examines the implications of how the reduction of human</w:t>
      </w:r>
    </w:p>
    <w:p>
      <w:pPr>
        <w:ind w:firstLine="432"/>
      </w:pPr>
      <w:r>
        <w:t>beings to economic units, data points, and biological machines has created a loss of human dignity that undermines the spiritual foundations necessary for meaningful existence and social cooperation [1]. The implications of this spiritual crisis extend far beyond traditional concerns about religious belief or moral values to encompass the fundamental question of human purpose and meaning in a world increasingly dominated by technological systems and economic calculations that treat human beings as resources to be optimized rather than souls to be honored [2]. Understanding these implications is crucial for recognizing that the problems documented in previous chapters are not merely technical or political issues that can be solved through better management or policy reforms, but symptoms of a deeper spiritual crisis that requires the restoration of human dignity and the recognition of transcendent values that give meaning to human existence [3].</w:t>
      </w:r>
    </w:p>
    <w:p>
      <w:pPr>
        <w:pStyle w:val="Heading2"/>
      </w:pPr>
      <w:r>
        <w:rPr>
          <w:rFonts w:ascii="Times New Roman" w:hAnsi="Times New Roman"/>
          <w:color w:val="000000"/>
          <w:sz w:val="32"/>
        </w:rPr>
        <w:t>The Nature of Human Dignity</w:t>
      </w:r>
    </w:p>
    <w:p>
      <w:pPr>
        <w:ind w:firstLine="432"/>
      </w:pPr>
      <w:r>
        <w:t>Human dignity is based on the recognition that human beings possess inherent worth and value that transcends their economic utility, social status, or biological characteristics. This dignity is the foundation for human rights, moral responsibility, and the social cooperation necessary for civilization [4]. The concept of human dignity has its roots in religious and philosophical traditions that recognize human beings as created in the image of God or possessing rational souls that distinguish them from other animals. This recognition creates obligations to treat human beings with respect and to protect their fundamental rights [5]. The secular understanding of human dignity is based on the recognition of human autonomy, rationality, and moral agency that enables individuals to make meaningful choices about their lives and to take responsibility for their actions. This autonomy requires freedom from coercion and manipulation [6]. The social dimension of human dignity recognizes that human beings are inherently social creatures who find meaning and purpose through relationships with others and participation in communities that share common values and purposes [7].</w:t>
      </w:r>
    </w:p>
    <w:p>
      <w:pPr>
        <w:pStyle w:val="Heading2"/>
      </w:pPr>
      <w:r>
        <w:rPr>
          <w:rFonts w:ascii="Times New Roman" w:hAnsi="Times New Roman"/>
          <w:color w:val="000000"/>
          <w:sz w:val="32"/>
        </w:rPr>
        <w:t>The Commodification of Human Life</w:t>
      </w:r>
    </w:p>
    <w:p>
      <w:pPr>
        <w:ind w:firstLine="432"/>
      </w:pPr>
      <w:r>
        <w:t>The economic systems documented in previous chapters have systematically reduced human beings to economic units whose value is determined by their productivity, consumption, and contribution to economic growth rather than their inherent dignity as human beings [8]. The labor market treats human beings as commodities to be bought and sold based on supply and demand, reducing workers to factors of production whose welfare is subordinated to economic efficiency and profit maximization [9]. The consumer culture reduces human beings to their purchasing power and consumption patterns, defining human worth and identity through material possessions and economic status rather than character, relationships, or spiritual development [10]. The healthcare system increasingly treats human beings as biological machines to be repaired and maintained for economic productivity rather than whole persons with physical, emotional, and spiritual needs [11].</w:t>
      </w:r>
    </w:p>
    <w:p>
      <w:pPr>
        <w:pStyle w:val="Heading2"/>
      </w:pPr>
      <w:r>
        <w:rPr>
          <w:rFonts w:ascii="Times New Roman" w:hAnsi="Times New Roman"/>
          <w:color w:val="000000"/>
          <w:sz w:val="32"/>
        </w:rPr>
        <w:t>The Technological Dehumanization</w:t>
      </w:r>
    </w:p>
    <w:p>
      <w:pPr>
        <w:ind w:firstLine="432"/>
      </w:pPr>
      <w:r>
        <w:t>The technological systems documented in Chapter 14 have created new forms of dehumanization that reduce human beings to data points and algorithmic inputs while eliminating the personal relationships and human judgment necessary for dignity and meaning [12]. Social media platforms and digital communication systems reduce human relationships to data exchanges and algorithmic interactions that lack the depth and authenticity necessary for genuine human connection and understanding [13]. Artificial intelligence and automated decision-making systems eliminate human agency and judgment from important life decisions, reducing individuals to statistical probabilities and algorithmic outputs rather than unique persons with individual circumstances and needs [14]. Surveillance and monitoring systems treat human beings as potential threats to be watched and controlled rather than autonomous agents capable of moral choice and self-governance [15].</w:t>
      </w:r>
    </w:p>
    <w:p>
      <w:pPr>
        <w:pStyle w:val="Heading2"/>
      </w:pPr>
      <w:r>
        <w:rPr>
          <w:rFonts w:ascii="Times New Roman" w:hAnsi="Times New Roman"/>
          <w:color w:val="000000"/>
          <w:sz w:val="32"/>
        </w:rPr>
        <w:t>The Destruction of Family and Community</w:t>
      </w:r>
    </w:p>
    <w:p>
      <w:pPr>
        <w:ind w:firstLine="432"/>
      </w:pPr>
      <w:r>
        <w:t>The systematic destruction of family structures and community institutions has eliminated the social relationships that provide meaning, support, and identity while creating atomized individuals who are more vulnerable to manipulation and control [16]. Economic pressures and social policies have made family formation increasingly difficult while promoting individualism and self-interest over family obligations and community responsibility [17]. The mobility and instability of modern life has broken down the extended family networks and local communities that traditionally provided support, guidance, and meaning across generations [18]. The replacement of organic communities with artificial institutions and bureaucratic organizations has eliminated the personal relationships and shared values that create social cohesion and individual identity [19].</w:t>
      </w:r>
    </w:p>
    <w:p>
      <w:pPr>
        <w:pStyle w:val="Heading2"/>
      </w:pPr>
      <w:r>
        <w:rPr>
          <w:rFonts w:ascii="Times New Roman" w:hAnsi="Times New Roman"/>
          <w:color w:val="000000"/>
          <w:sz w:val="32"/>
        </w:rPr>
        <w:t>The Crisis of Meaning and Purpose</w:t>
      </w:r>
    </w:p>
    <w:p>
      <w:pPr>
        <w:ind w:firstLine="432"/>
      </w:pPr>
      <w:r>
        <w:t>The elimination of transcendent values and spiritual beliefs from public life has created a crisis of meaning and purpose that leaves individuals without the framework necessary to understand their place in the world and their obligations to others [20]. The materialist worldview promoted by modern education and media reduces human existence to biological processes and chemical reactions, eliminating the spiritual dimension that gives life meaning and purpose [21]. The relativism and subjectivism that characterize modern culture deny the existence of objective truth and moral standards, making it impossible to distinguish between right and wrong or to find common ground for social cooperation [22]. The focus on immediate gratification and material success has eliminated the long-term perspective and delayed gratification necessary for meaningful achievement and spiritual development [23].</w:t>
      </w:r>
    </w:p>
    <w:p>
      <w:pPr>
        <w:pStyle w:val="Heading2"/>
      </w:pPr>
      <w:r>
        <w:rPr>
          <w:rFonts w:ascii="Times New Roman" w:hAnsi="Times New Roman"/>
          <w:color w:val="000000"/>
          <w:sz w:val="32"/>
        </w:rPr>
        <w:t>The Mental Health Crisis</w:t>
      </w:r>
    </w:p>
    <w:p>
      <w:pPr>
        <w:ind w:firstLine="432"/>
      </w:pPr>
      <w:r>
        <w:t>The spiritual crisis and loss of human dignity documented above has manifested in unprecedented rates of mental illness, suicide, and psychological dysfunction that reflect the breakdown of the human spirit under dehumanizing conditions [24]. Depression and anxiety have reached epidemic proportions as individuals struggle to find meaning and purpose in a world that treats them as economic units and data points rather than human beings with inherent worth and dignity [25]. Suicide rates have increased dramatically, particularly among young people who face economic uncertainty, social isolation, and spiritual emptiness that make life seem meaningless and hopeless [26]. Addiction to drugs, alcohol, and behavioral compulsions has become widespread as individuals seek escape from the pain and emptiness of dehumanized existence [27].</w:t>
      </w:r>
    </w:p>
    <w:p>
      <w:pPr>
        <w:pStyle w:val="Heading2"/>
      </w:pPr>
      <w:r>
        <w:rPr>
          <w:rFonts w:ascii="Times New Roman" w:hAnsi="Times New Roman"/>
          <w:color w:val="000000"/>
          <w:sz w:val="32"/>
        </w:rPr>
        <w:t>The Breakdown of Moral Authority</w:t>
      </w:r>
    </w:p>
    <w:p>
      <w:pPr>
        <w:ind w:firstLine="432"/>
      </w:pPr>
      <w:r>
        <w:t>The capture of religious and moral institutions by political and economic interests has undermined their ability to provide moral guidance and spiritual leadership, leaving individuals without reliable sources of ethical direction [28]. Religious institutions have been compromised through government regulation, tax exemptions, and political pressure that prevents them from speaking prophetically about social and moral issues [29]. Educational institutions have abandoned their role in moral formation and character development, focusing instead on technical training and ideological indoctrination that serves political and economic interests [30]. Cultural institutions including media and entertainment have promoted moral relativism and hedonistic values that undermine traditional moral standards and spiritual beliefs [31].</w:t>
      </w:r>
    </w:p>
    <w:p>
      <w:pPr>
        <w:pStyle w:val="Heading2"/>
      </w:pPr>
      <w:r>
        <w:rPr>
          <w:rFonts w:ascii="Times New Roman" w:hAnsi="Times New Roman"/>
          <w:color w:val="000000"/>
          <w:sz w:val="32"/>
        </w:rPr>
        <w:t>The Assault on Human Nature</w:t>
      </w:r>
    </w:p>
    <w:p>
      <w:pPr>
        <w:ind w:firstLine="432"/>
      </w:pPr>
      <w:r>
        <w:t>The systematic attempt to redefine human nature through gender ideology, transhumanism, and other movements represents a direct assault on human dignity by denying the reality of human nature and promoting artificial identities that serve political and economic interests [32]. Gender ideology denies the biological reality of sex and promotes the idea that gender is a social construct that can be changed at will, undermining the family structures and sexual relationships that are fundamental to human nature and social reproduction [33]. Transhumanist ideology promotes the idea that human beings are flawed biological machines that should be enhanced or replaced by artificial intelligence and technological augmentation, denying the inherent value and dignity of human nature [34]. Bioethics and medical research increasingly treat human beings as experimental subjects and sources of biological materials rather than persons with inherent dignity and rights [35].</w:t>
      </w:r>
    </w:p>
    <w:p>
      <w:pPr>
        <w:pStyle w:val="Heading2"/>
      </w:pPr>
      <w:r>
        <w:rPr>
          <w:rFonts w:ascii="Times New Roman" w:hAnsi="Times New Roman"/>
          <w:color w:val="000000"/>
          <w:sz w:val="32"/>
        </w:rPr>
        <w:t>The Elimination of Sacred Space and Time</w:t>
      </w:r>
    </w:p>
    <w:p>
      <w:pPr>
        <w:ind w:firstLine="432"/>
      </w:pPr>
      <w:r>
        <w:t>The commercialization and secularization of society has eliminated the sacred spaces and times that traditionally provided opportunities for spiritual reflection, community gathering, and connection with transcendent values [36]. The destruction of traditional architecture and sacred spaces has eliminated the physical environments that inspire awe, reverence, and spiritual contemplation while replacing them with utilitarian structures that serve only economic functions [37]. The elimination of sabbath rest and holy days has created a culture of constant activity and consumption that prevents the reflection and contemplation necessary for spiritual development and human flourishing [38]. The noise and distraction of modern life has eliminated the silence and solitude necessary for prayer, meditation, and spiritual growth while creating constant stimulation that prevents deep thought and reflection [39].</w:t>
      </w:r>
    </w:p>
    <w:p>
      <w:pPr>
        <w:pStyle w:val="Heading2"/>
      </w:pPr>
      <w:r>
        <w:rPr>
          <w:rFonts w:ascii="Times New Roman" w:hAnsi="Times New Roman"/>
          <w:color w:val="000000"/>
          <w:sz w:val="32"/>
        </w:rPr>
        <w:t>The Corruption of Language and Truth</w:t>
      </w:r>
    </w:p>
    <w:p>
      <w:pPr>
        <w:ind w:firstLine="432"/>
      </w:pPr>
      <w:r>
        <w:t>The systematic corruption of language through political correctness, propaganda, and newspeak has eliminated the ability to communicate truth and meaning while creating confusion and division that serves those who benefit from ignorance and deception [40]. The redefinition of words and concepts to serve political and ideological purposes has made honest communication impossible while enabling the manipulation of thought and behavior through linguistic control [41]. The promotion of relativism and subjectivism has eliminated the concept of objective truth while making it impossible to distinguish between reality and illusion, truth and falsehood [42]. The information overload and constant distraction of modern media has eliminated the attention and focus necessary for deep thinking and understanding while creating superficial knowledge that serves manipulation rather than enlightenment [43].</w:t>
      </w:r>
    </w:p>
    <w:p>
      <w:pPr>
        <w:pStyle w:val="Heading2"/>
      </w:pPr>
      <w:r>
        <w:rPr>
          <w:rFonts w:ascii="Times New Roman" w:hAnsi="Times New Roman"/>
          <w:color w:val="000000"/>
          <w:sz w:val="32"/>
        </w:rPr>
        <w:t>The Loss of Beauty and Transcendence</w:t>
      </w:r>
    </w:p>
    <w:p>
      <w:pPr>
        <w:ind w:firstLine="432"/>
      </w:pPr>
      <w:r>
        <w:t>The elimination of beauty, art, and transcendence from daily life has created an environment that deadens the human spirit while promoting materialism and utilitarianism over aesthetic and spiritual values [44]. Modern architecture and urban planning has created environments that are functional but ugly, eliminating the beauty and harmony that inspire the human spirit and connect people to transcendent values [45]. Contemporary art and culture has abandoned the pursuit of beauty and truth in favor of shock, controversy, and political messaging that serves ideological purposes rather than spiritual elevation [46]. The commercialization of art and culture has reduced aesthetic expression to market commodities while eliminating the sacred and transcendent dimensions that traditionally connected art to spiritual truth [47].</w:t>
      </w:r>
    </w:p>
    <w:p>
      <w:pPr>
        <w:pStyle w:val="Heading2"/>
      </w:pPr>
      <w:r>
        <w:rPr>
          <w:rFonts w:ascii="Times New Roman" w:hAnsi="Times New Roman"/>
          <w:color w:val="000000"/>
          <w:sz w:val="32"/>
        </w:rPr>
        <w:t>The Denial of Death and Eternal Significance</w:t>
      </w:r>
    </w:p>
    <w:p>
      <w:pPr>
        <w:ind w:firstLine="432"/>
      </w:pPr>
      <w:r>
        <w:t>The materialist denial of life after death and eternal significance has eliminated the long-term perspective necessary for moral behavior and spiritual development while promoting short-term thinking and immediate gratification [48]. The medicalization of death and dying has eliminated the spiritual dimensions of mortality while treating death as a medical failure rather than a natural transition that gives meaning to life [49]. The secular approach to grief and loss has eliminated the spiritual resources necessary for coping with suffering and tragedy while promoting psychological techniques that address symptoms rather than underlying spiritual needs [50]. The focus on youth and physical appearance has created a culture that denies the reality of aging and death while promoting artificial attempts to maintain youth that distract from spiritual development [51].</w:t>
      </w:r>
    </w:p>
    <w:p>
      <w:pPr>
        <w:pStyle w:val="Heading2"/>
      </w:pPr>
      <w:r>
        <w:rPr>
          <w:rFonts w:ascii="Times New Roman" w:hAnsi="Times New Roman"/>
          <w:color w:val="000000"/>
          <w:sz w:val="32"/>
        </w:rPr>
        <w:t>The Path to Restoration</w:t>
      </w:r>
    </w:p>
    <w:p>
      <w:pPr>
        <w:ind w:firstLine="432"/>
      </w:pPr>
      <w:r>
        <w:t>Despite the comprehensive nature of the spiritual crisis documented above, the human spirit possesses inherent resilience and the capacity for renewal that can overcome dehumanizing conditions when provided with proper support and guidance [52]. The recognition of human dignity and inherent worth provides the foundation for resistance to dehumanizing systems while creating the motivation necessary for social and spiritual renewal [53]. The restoration of family and community structures can provide the relationships and support necessary for human flourishing while creating alternatives to institutional control and manipulation [54]. The recovery of transcendent values and spiritual beliefs can provide the meaning and purpose necessary for human dignity while creating the moral framework necessary for social cooperation and individual fulfillment [55].</w:t>
      </w:r>
    </w:p>
    <w:p>
      <w:pPr>
        <w:pStyle w:val="Heading2"/>
      </w:pPr>
      <w:r>
        <w:rPr>
          <w:rFonts w:ascii="Times New Roman" w:hAnsi="Times New Roman"/>
          <w:color w:val="000000"/>
          <w:sz w:val="32"/>
        </w:rPr>
        <w:t>Key Quotes</w:t>
      </w:r>
    </w:p>
    <w:p>
      <w:pPr>
        <w:ind w:firstLine="432"/>
      </w:pPr>
      <w:r>
        <w:t>“The ultimate test of a moral society is the kind of world that it leaves to its children.” - Dietrich Bonhoeffer “Human dignity is the same for all human beings: when I trample on the dignity of another, I am trampling on my own.” - Pope Francis “The most terrifying thing is to accept oneself completely.” - Carl Jung “Man’s search for meaning is the primary motivation in his life.” - Viktor Frankl “We are not human beings having a spiritual experience; we are spiritual beings having a human experience.” - Pierre Teilhard de Chardin</w:t>
      </w:r>
    </w:p>
    <w:p>
      <w:pPr>
        <w:pStyle w:val="Heading2"/>
      </w:pPr>
      <w:r>
        <w:rPr>
          <w:rFonts w:ascii="Times New Roman" w:hAnsi="Times New Roman"/>
          <w:color w:val="000000"/>
          <w:sz w:val="32"/>
        </w:rPr>
        <w:t>Real-World Examples</w:t>
      </w:r>
    </w:p>
    <w:p>
      <w:pPr>
        <w:ind w:firstLine="432"/>
      </w:pPr>
      <w:r>
        <w:t>Example 1: The Opioid Crisis and Deaths of Despair The dramatic increase in suicide, drug overdose, and alcohol-related deaths in developed countries reflects the spiritual crisis and loss of meaning that accompanies economic decline and social breakdown. These “deaths of despair” demonstrate how the loss of human dignity and purpose can manifest in self-destructive behaviors that reflect deeper spiritual needs. Example 2: Social Media and Mental Health The correlation between social media use and increased rates of depression, anxiety, and suicide among young people demonstrates how technological systems that reduce human relationships to digital interactions can undermine mental health and spiritual well-being while creating artificial substitutes for genuine human connection. Example 3: Gender Ideology and Child Transition The promotion of gender transition procedures for children represents a direct assault on human nature and dignity by encouraging the rejection of biological reality in favor of artificial identities. This phenomenon</w:t>
      </w:r>
    </w:p>
    <w:p>
      <w:pPr>
        <w:ind w:firstLine="432"/>
      </w:pPr>
      <w:r>
        <w:t>demonstrates how ideological movements can exploit psychological vulnerability while claiming to promote human welfare.</w:t>
      </w:r>
    </w:p>
    <w:p>
      <w:pPr>
        <w:pStyle w:val="Heading2"/>
      </w:pPr>
      <w:r>
        <w:rPr>
          <w:rFonts w:ascii="Times New Roman" w:hAnsi="Times New Roman"/>
          <w:color w:val="000000"/>
          <w:sz w:val="32"/>
        </w:rPr>
        <w:t>References and Sources</w:t>
      </w:r>
    </w:p>
    <w:p>
      <w:pPr>
        <w:ind w:firstLine="432"/>
      </w:pPr>
      <w:r>
        <w:t>[1] Maritain, Jacques. “The Rights of Man and Natural Law.” Charles Scribner’s Sons, 1943. [2] Frankl, Viktor E. “Man’s Search for Meaning.” Beacon Press, 1946. [3] Guardini, Romano. “The End of the Modern World.” ISI Books, 1998. [4] Kant, Immanuel. “Groundwork for the Metaphysics of Morals.” Cambridge University Press, 1785. [5] Aquinas, Thomas. “Summa Theologica.” Trans. by the Fathers of the English Dominican Province, 1265-1273. [6] Mill, John Stuart. “On Liberty.” John W. Parker and Son, 1859. [7] Buber, Martin. “I and Thou.” T&amp;T Clark, 1923. [8] Marx, Karl. “Economic and Philosophic Manuscripts of 1844.” Progress Publishers, 1844. [9] Polanyi, Karl. “The Great Transformation: The Political and Economic Origins of Our Time.” Beacon Press, 1944. [10] Baudrillard, Jean. “The Consumer Society: Myths and Structures.” Sage Publications, 1970. [11] Illich, Ivan. “Medical Nemesis: The Expropriation of Health.” Pantheon Books, 1976. [12] Ellul, Jacques. “The Technological Society.” Vintage Books, 1964. [13] Turkle, Sherry. “Alone Together: Why We Expect More from Technology and Less from Each Other.” Basic Books, 2011. [14] O’Neil, Cathy. “Weapons of Math Destruction: How Big Data Increases Inequality and Threatens Democracy.” Crown, 2016.</w:t>
      </w:r>
    </w:p>
    <w:p>
      <w:pPr>
        <w:ind w:firstLine="432"/>
      </w:pPr>
      <w:r>
        <w:t>[15] Foucault, Michel. “Discipline and Punish: The Birth of the Prison.” Vintage Books, 1975. [16] Lasch, Christopher. “Haven in a Heartless World: The Family Besieged.” Basic Books, 1977. [17] Murray, Charles. “Coming Apart: The State of White America, 1960- 2010.” Crown Forum, 2012. [18] Putnam, Robert D. “Bowling Alone: The Collapse and Revival of American Community.” Simon &amp; Schuster, 2000. [19] Tönnies, Ferdinand. “Community and Society.” Michigan State University Press, 1887. [20] Nietzsche, Friedrich. “The Gay Science.” Cambridge University Press, 1882. [21] Dawkins, Richard. “The Selfish Gene.” Oxford University Press, 1976. [22] Bloom, Allan. “The Closing of the American Mind.” Simon &amp; Schuster, 1987. [23] Lasch, Christopher. “The Culture of Narcissism: American Life in an Age of Diminishing Expectations.” W. W. Norton &amp; Company, 1979. [24] Twenge, Jean M. “iGen: Why Today’s Super-Connected Kids Are Growing Up Less Rebellious, More Tolerant, Less Happy.” Atria Books, 2017. [25] World Health Organization. “Depression and Other Common Mental Disorders: Global Health Estimates.” WHO Press, 2017. [26] Case, Anne, and Angus Deaton. “Deaths of Despair and the Future of Capitalism.” Princeton University Press, 2020. [27] Hart, Carl L. “Drug Use for Grown-Ups: Chasing Liberty in the Land of Fear.” Penguin Press, 2021. [28] Berger, Peter L. “The Sacred Canopy: Elements of a Sociological Theory of Religion.” Doubleday, 1967. [29] Johnson, Phillip E. “Reason in the Balance: The Case Against Naturalism in Science, Law &amp; Education.” InterVarsity Press, 1995.</w:t>
      </w:r>
    </w:p>
    <w:p>
      <w:pPr>
        <w:ind w:firstLine="432"/>
      </w:pPr>
      <w:r>
        <w:t>[30] Bloom, Allan. “The Closing of the American Mind: How Higher Education Has Failed Democracy and Impoverished the Souls of Today’s Students.” Simon &amp; Schuster, 1987. [31] Postman, Neil. “Amusing Ourselves to Death: Public Discourse in the Age of Show Business.” Penguin Books, 1985. [32] Haslam, Nick. “Dehumanization: An Integrative Review.” Personality and Social Psychology Review, 2006. [33] Shrier, Abigail. “Irreversible Damage: The Transgender Craze Seducing Our Daughters.” Regnery Publishing, 2020. [34] Kass, Leon R. “Life, Liberty and the Defense of Dignity.” Free Press, 2002. [35] Ramsey, Paul. “The Patient as Person: Explorations in Medical Ethics.” Yale University Press, 1970. [36] Eliade, Mircea. “The Sacred and the Profane: The Nature of Religion.” Harcourt, Brace &amp; World, 1957. [37] Scruton, Roger. “Beauty.” Oxford University Press, 2009. [38] Heschel, Abraham Joshua. “The Sabbath: Its Meaning for Modern Man.” Farrar, Straus and Giroux, 1951. [39] Pieper, Josef. “Leisure: The Basis of Culture.” Pantheon Books, 1952. [40] Orwell, George. “Politics and the English Language.” Horizon, 1946. [41] Klemperer, Victor. “The Language of the Third Reich: LTI - Lingua Tertii Imperii.” Athlone Press, 1957. [42] Relativism and Truth. “Fides et Ratio: On the Relationship Between Faith and Reason.” Vatican, 1998. [43] Carr, Nicholas. “The Shallows: What the Internet Is Doing to Our Brains.” W. W. Norton &amp; Company, 2010. [44] Scruton, Roger. “Culture Counts: Faith and Feeling in a World Besieged.” Encounter Books, 2007. [45] Alexander, Christopher. “A Pattern Language: Towns, Buildings, Construction.” Oxford University Press, 1977.</w:t>
      </w:r>
    </w:p>
    <w:p>
      <w:pPr>
        <w:ind w:firstLine="432"/>
      </w:pPr>
      <w:r>
        <w:t>[46] Kimball, Roger. “The Rape of the Masters: How Political Correctness Sabotages Art.” Encounter Books, 2004. [47] Benjamin, Walter. “The Work of Art in the Age of Mechanical Reproduction.” Illuminations, 1936. [48] Becker, Ernest. “The Denial of Death.” Free Press, 1973. [49] Ariès, Philippe. “The Hour of Our Death.” Alfred A. Knopf, 1981. [50] Lewis, C.S. “A Grief Observed.” Faber &amp; Faber, 1961. [51] de Beauvoir, Simone. “The Coming of Age.” G. P. Putnam’s Sons, 1972. [52] Solzhenitsyn, Aleksandr. “The Gulag Archipelago.” Harper &amp; Row, 1973. [53] Mandela, Nelson. “Long Walk to Freedom: The Autobiography of Nelson Mandela.” Little, Brown and Company, 1994. [54] Nisbet, Robert A. “The Quest for Community: A Study in the Ethics of Order and Freedom.” Oxford University Press, 1953. [55] Buber, Martin. “The Way of Man: According to the Teaching of Hasidism.” Routledge, 1950.</w:t>
      </w:r>
    </w:p>
    <w:p>
      <w:pPr>
        <w:pStyle w:val="Heading2"/>
      </w:pPr>
      <w:r>
        <w:rPr>
          <w:rFonts w:ascii="Times New Roman" w:hAnsi="Times New Roman"/>
          <w:color w:val="000000"/>
          <w:sz w:val="32"/>
        </w:rPr>
        <w:t>Suggested Further Research</w:t>
      </w:r>
    </w:p>
    <w:p>
      <w:pPr>
        <w:ind w:firstLine="432"/>
      </w:pPr>
      <w:r>
        <w:t>1. “Man’s Search for Meaning” by Viktor Frankl - Foundational work on the importance of meaning and purpose for human survival and flourishing. 2. “The Culture of Narcissism” by Christopher Lasch - Analysis of how modern culture undermines human dignity and spiritual development. 3. “Bowling Alone” by Robert Putnam - Investigation into the decline of social capital and community institutions in modern society. 4. “Deaths of Despair” by Anne Case and Angus Deaton - Analysis of the spiritual and social causes of increasing</w:t>
      </w:r>
    </w:p>
    <w:p>
      <w:pPr>
        <w:ind w:firstLine="432"/>
      </w:pPr>
      <w:r>
        <w:t>mortality rates in developed countries. 5. “The Sacred Canopy” by Peter Berger - Sociological analysis of the role of religion and transcendent values in human society. 6. “Irreversible Damage” by Abigail Shrier - Investigation into the assault on human nature through gender ideology and medical intervention. 7. “The Technological Society” by Jacques Ellul - Philosophical analysis of how technology dehumanizes society and undermines human dignity.</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17: The Urgent Need for Systemic Transformation</w:t>
      </w:r>
    </w:p>
    <w:p>
      <w:pPr>
        <w:pStyle w:val="Heading2"/>
      </w:pPr>
      <w:r>
        <w:rPr>
          <w:rFonts w:ascii="Times New Roman" w:hAnsi="Times New Roman"/>
          <w:color w:val="000000"/>
          <w:sz w:val="32"/>
        </w:rPr>
        <w:t>Systemic Transformation Introduction</w:t>
      </w:r>
    </w:p>
    <w:p>
      <w:pPr>
        <w:ind w:firstLine="432"/>
      </w:pPr>
      <w:r>
        <w:t>The comprehensive analysis of systemic capture, institutional failure, and civilizational collapse documented in previous chapters reveals that incremental reforms and traditional political solutions are inadequate to address the magnitude of the crisis facing humanity. This chapter</w:t>
      </w:r>
    </w:p>
    <w:p>
      <w:pPr>
        <w:ind w:firstLine="432"/>
      </w:pPr>
      <w:r>
        <w:t>examines the implications of why only fundamental systemic transformation can prevent the complete collapse of democratic civilization and human dignity [1]. The implications of this need for transformation extend far beyond traditional political reform or policy changes to encompass the necessity for a complete restructuring of the relationship between government and citizens, the economy and society, and humanity and technology. The current trajectory leads inevitably to techno-totalitarian control and civilizational collapse unless fundamental changes are implemented [2]. Understanding this urgent need is crucial for recognizing that the window of opportunity for peaceful transformation is rapidly closing, and that failure to act decisively will result in either violent revolution or permanent enslavement under techno-totalitarian systems that will eliminate human freedom and dignity forever [3].</w:t>
      </w:r>
    </w:p>
    <w:p>
      <w:pPr>
        <w:pStyle w:val="Heading2"/>
      </w:pPr>
      <w:r>
        <w:rPr>
          <w:rFonts w:ascii="Times New Roman" w:hAnsi="Times New Roman"/>
          <w:color w:val="000000"/>
          <w:sz w:val="32"/>
        </w:rPr>
        <w:t>The Inadequacy of Incremental Reform</w:t>
      </w:r>
    </w:p>
    <w:p>
      <w:pPr>
        <w:ind w:firstLine="432"/>
      </w:pPr>
      <w:r>
        <w:t>Traditional approaches to political and social reform assume that existing institutions can be modified and improved through gradual changes that work within the current system. However, the systematic capture of all major institutions documented in previous chapters makes such incremental reform impossible [4]. Electoral politics cannot address systemic problems when the electoral system itself has been captured by the same interests that control other institutions. Voting for different candidates within a captured system simply provides the illusion of choice while maintaining the underlying power structures [5]. Legislative reform cannot address institutional capture when the legislative process itself has been captured by special interests that use their influence to prevent meaningful change while promoting reforms that serve their interests [6]. Judicial remedies cannot address systemic corruption when the judicial system itself has been captured and operates according to political and economic pressures rather than constitutional principles and the rule of law [7].</w:t>
      </w:r>
    </w:p>
    <w:p>
      <w:pPr>
        <w:pStyle w:val="Heading2"/>
      </w:pPr>
      <w:r>
        <w:rPr>
          <w:rFonts w:ascii="Times New Roman" w:hAnsi="Times New Roman"/>
          <w:color w:val="000000"/>
          <w:sz w:val="32"/>
        </w:rPr>
        <w:t>The Mathematics of Systemic Collapse</w:t>
      </w:r>
    </w:p>
    <w:p>
      <w:pPr>
        <w:ind w:firstLine="432"/>
      </w:pPr>
      <w:r>
        <w:t>The exponential nature of the problems documented in previous chapters means that they are accelerating beyond the capacity of incremental solutions to address them. Exponential problems require exponential solutions that match the scale and speed of the challenges [8]. The debt crisis documented in Chapter 7 is growing exponentially and will soon reach levels that make repayment impossible through normal economic activity, requiring either debt jubilee or complete monetary system collapse [9]. The surveillance and control capabilities documented in Chapter 14 are expanding exponentially and will soon reach levels that make resistance impossible through traditional means, requiring immediate action to prevent permanent techno-totalitarian control [10]. The environmental and resource crises documented in Chapter 12 are accelerating exponentially and will soon reach tipping points that make gradual adaptation impossible, requiring immediate systemic changes to prevent civilizational collapse [11].</w:t>
      </w:r>
    </w:p>
    <w:p>
      <w:pPr>
        <w:pStyle w:val="Heading2"/>
      </w:pPr>
      <w:r>
        <w:rPr>
          <w:rFonts w:ascii="Times New Roman" w:hAnsi="Times New Roman"/>
          <w:color w:val="000000"/>
          <w:sz w:val="32"/>
        </w:rPr>
        <w:t>The Window of Opportunity</w:t>
      </w:r>
    </w:p>
    <w:p>
      <w:pPr>
        <w:ind w:firstLine="432"/>
      </w:pPr>
      <w:r>
        <w:t>Historical analysis reveals that systemic transformations typically occur during periods of crisis when existing systems lose legitimacy and new alternatives become possible. The current crisis provides such a window of opportunity that may not remain open indefinitely [12]. The COVID-19 pandemic and its aftermath have revealed the fragility of existing systems while demonstrating the speed with which fundamental changes can be implemented when there is sufficient political will and public support [13]. The economic instability and social unrest documented in Chapter 15 are creating conditions where populations may be willing to accept fundamental changes that would be rejected under normal circumstances [14]. The technological capabilities now available provide tools for both liberation and oppression that were not available to previous generations, making this a unique moment in human history when the outcome could go either direction [15].</w:t>
      </w:r>
    </w:p>
    <w:p>
      <w:pPr>
        <w:pStyle w:val="Heading2"/>
      </w:pPr>
      <w:r>
        <w:rPr>
          <w:rFonts w:ascii="Times New Roman" w:hAnsi="Times New Roman"/>
          <w:color w:val="000000"/>
          <w:sz w:val="32"/>
        </w:rPr>
        <w:t>The Nature of Systemic Transformation</w:t>
      </w:r>
    </w:p>
    <w:p>
      <w:pPr>
        <w:ind w:firstLine="432"/>
      </w:pPr>
      <w:r>
        <w:t>Systemic transformation requires changes that address the root causes of problems rather than their symptoms, and that restructure the fundamental relationships between institutions and individuals rather than simply modifying existing arrangements [16]. Constitutional transformation involves the creation of new constitutional frameworks that establish different relationships between government and citizens, with stronger protections for individual rights and more effective mechanisms for democratic accountability [17]. Economic transformation involves the restructuring of economic systems to serve human needs rather than elite interests, with new approaches to money, banking, and resource allocation that eliminate the systematic extraction of wealth by financial elites [18]. Social transformation involves the restoration of human dignity and community relationships that have been destroyed by individualism, materialism, and technological dehumanization [19].</w:t>
      </w:r>
    </w:p>
    <w:p>
      <w:pPr>
        <w:pStyle w:val="Heading2"/>
      </w:pPr>
      <w:r>
        <w:rPr>
          <w:rFonts w:ascii="Times New Roman" w:hAnsi="Times New Roman"/>
          <w:color w:val="000000"/>
          <w:sz w:val="32"/>
        </w:rPr>
        <w:t>The Role of Crisis in Transformation</w:t>
      </w:r>
    </w:p>
    <w:p>
      <w:pPr>
        <w:ind w:firstLine="432"/>
      </w:pPr>
      <w:r>
        <w:t>Historical experience demonstrates that fundamental systemic changes typically occur only during periods of crisis when existing systems lose legitimacy and new alternatives become politically possible [20]. The current multiple crises in health, economics, politics, and society are creating the conditions necessary for fundamental transformation while revealing the inadequacy of existing institutions and approaches [21]. Crisis creates opportunities for rapid change that would be impossible under normal circumstances, as populations become willing to accept new approaches when existing systems clearly fail to meet their needs [22]. The key to successful transformation during crisis is having alternative systems and frameworks ready to implement when the opportunity arises, rather than waiting for crisis to develop solutions [23].</w:t>
      </w:r>
    </w:p>
    <w:p>
      <w:pPr>
        <w:pStyle w:val="Heading2"/>
      </w:pPr>
      <w:r>
        <w:rPr>
          <w:rFonts w:ascii="Times New Roman" w:hAnsi="Times New Roman"/>
          <w:color w:val="000000"/>
          <w:sz w:val="32"/>
        </w:rPr>
        <w:t>International Examples of Transformation</w:t>
      </w:r>
    </w:p>
    <w:p>
      <w:pPr>
        <w:ind w:firstLine="432"/>
      </w:pPr>
      <w:r>
        <w:t>Historical examples of successful systemic transformation provide models and lessons for contemporary efforts while demonstrating that fundamental change is possible when conditions are right [24]. The American Revolution created a new constitutional framework that established different relationships between government and citizens, demonstrating that fundamental political transformation is possible when existing systems lose legitimacy [25]. The post-apartheid transformation in South Africa created new constitutional arrangements that addressed systematic oppression while establishing frameworks for democratic governance and human rights protection [26]. The post-communist transformations in Eastern Europe demonstrated that even totalitarian systems can be peacefully transformed when populations lose faith in existing arrangements and alternative frameworks are available [27].</w:t>
      </w:r>
    </w:p>
    <w:p>
      <w:pPr>
        <w:pStyle w:val="Heading2"/>
      </w:pPr>
      <w:r>
        <w:rPr>
          <w:rFonts w:ascii="Times New Roman" w:hAnsi="Times New Roman"/>
          <w:color w:val="000000"/>
          <w:sz w:val="32"/>
        </w:rPr>
        <w:t>The South African Constitutional Model</w:t>
      </w:r>
    </w:p>
    <w:p>
      <w:pPr>
        <w:ind w:firstLine="432"/>
      </w:pPr>
      <w:r>
        <w:t>The South African Constitution provides a particularly relevant model for systemic transformation because it was designed to address systematic oppression and institutional capture while establishing strong protections for human rights and democratic governance [28]. The South African Constitution includes comprehensive bills of rights that protect not only political and civil rights but also economic, social, and cultural rights that address the material conditions necessary for human dignity [29]. The constitutional framework includes strong mechanisms for judicial review and constitutional enforcement that can resist political pressure and protect constitutional principles against legislative and executive overreach [30]. The participatory process used to develop the South African Constitution demonstrates how constitutional transformation can be</w:t>
      </w:r>
    </w:p>
    <w:p>
      <w:pPr>
        <w:ind w:firstLine="432"/>
      </w:pPr>
      <w:r>
        <w:t>achieved through inclusive democratic processes that build legitimacy and popular support [31].</w:t>
      </w:r>
    </w:p>
    <w:p>
      <w:pPr>
        <w:pStyle w:val="Heading2"/>
      </w:pPr>
      <w:r>
        <w:rPr>
          <w:rFonts w:ascii="Times New Roman" w:hAnsi="Times New Roman"/>
          <w:color w:val="000000"/>
          <w:sz w:val="32"/>
        </w:rPr>
        <w:t>The Treaty Framework for Global Transformation</w:t>
      </w:r>
    </w:p>
    <w:p>
      <w:pPr>
        <w:ind w:firstLine="432"/>
      </w:pPr>
      <w:r>
        <w:t>The concept of treating constitutions as international treaties provides a framework for extending constitutional protections beyond national boundaries while creating mechanisms for international cooperation in protecting human rights and democratic governance [32]. International treaty law provides stronger protections than domestic law because treaties create obligations that transcend national political processes and can be enforced through international mechanisms [33]. The South African Constitution’s recognition as an international treaty would create a framework for global constitutional governance that could address the transnational nature of the problems documented in previous chapters [34]. The treaty framework would enable countries to adopt constitutional protections without going through lengthy domestic constitutional processes while creating international support for democratic transformation [35].</w:t>
      </w:r>
    </w:p>
    <w:p>
      <w:pPr>
        <w:pStyle w:val="Heading2"/>
      </w:pPr>
      <w:r>
        <w:rPr>
          <w:rFonts w:ascii="Times New Roman" w:hAnsi="Times New Roman"/>
          <w:color w:val="000000"/>
          <w:sz w:val="32"/>
        </w:rPr>
        <w:t>The Role of Civil Society</w:t>
      </w:r>
    </w:p>
    <w:p>
      <w:pPr>
        <w:ind w:firstLine="432"/>
      </w:pPr>
      <w:r>
        <w:t>Successful systemic transformation requires the active participation of civil society organizations and grassroots movements that can mobilize popular support while providing alternatives to captured institutions [36]. Civil society organizations can provide the social infrastructure necessary for democratic participation while creating networks of cooperation that transcend institutional boundaries [37]. Grassroots movements can generate the political pressure necessary for fundamental change while demonstrating alternative approaches to social organization and governance [38]. The combination of constitutional frameworks and civil society mobilization can create the conditions necessary for peaceful</w:t>
      </w:r>
    </w:p>
    <w:p>
      <w:pPr>
        <w:ind w:firstLine="432"/>
      </w:pPr>
      <w:r>
        <w:t>transformation while preventing the violence and chaos that often accompany systemic change [39].</w:t>
      </w:r>
    </w:p>
    <w:p>
      <w:pPr>
        <w:pStyle w:val="Heading2"/>
      </w:pPr>
      <w:r>
        <w:rPr>
          <w:rFonts w:ascii="Times New Roman" w:hAnsi="Times New Roman"/>
          <w:color w:val="000000"/>
          <w:sz w:val="32"/>
        </w:rPr>
        <w:t>The Technology of Liberation</w:t>
      </w:r>
    </w:p>
    <w:p>
      <w:pPr>
        <w:ind w:firstLine="432"/>
      </w:pPr>
      <w:r>
        <w:t>The same technological capabilities that enable techno-totalitarian control can also be used for liberation and democratic empowerment when properly designed and implemented [40]. Decentralized technologies such as blockchain and peer-to-peer networks can enable economic and social organization outside centralized control systems while providing alternatives to captured institutions [41]. Encryption and privacy technologies can protect individual autonomy and democratic participation while preventing surveillance and manipulation by authoritarian systems [42]. Communication technologies can enable rapid organization and coordination of democratic movements while bypassing controlled media and information systems [43].</w:t>
      </w:r>
    </w:p>
    <w:p>
      <w:pPr>
        <w:pStyle w:val="Heading2"/>
      </w:pPr>
      <w:r>
        <w:rPr>
          <w:rFonts w:ascii="Times New Roman" w:hAnsi="Times New Roman"/>
          <w:color w:val="000000"/>
          <w:sz w:val="32"/>
        </w:rPr>
        <w:t>The Economics of Transformation</w:t>
      </w:r>
    </w:p>
    <w:p>
      <w:pPr>
        <w:ind w:firstLine="432"/>
      </w:pPr>
      <w:r>
        <w:t>Systemic transformation requires new economic approaches that address the fundamental problems of debt, inequality, and resource allocation that drive institutional capture and social breakdown [44]. Monetary reform that eliminates debt-based money creation and restores democratic control over monetary policy can address the root causes of economic inequality and financial instability [45]. Land reform and resource redistribution can address the concentration of wealth and power that enables elite capture of institutions while providing economic security for ordinary citizens [46]. Cooperative and community-based economic models can provide alternatives to corporate capitalism while restoring human-scale economic relationships that serve community needs [47].</w:t>
      </w:r>
    </w:p>
    <w:p>
      <w:pPr>
        <w:pStyle w:val="Heading2"/>
      </w:pPr>
      <w:r>
        <w:rPr>
          <w:rFonts w:ascii="Times New Roman" w:hAnsi="Times New Roman"/>
          <w:color w:val="000000"/>
          <w:sz w:val="32"/>
        </w:rPr>
        <w:t>The Spiritual Dimension of Transformation</w:t>
      </w:r>
    </w:p>
    <w:p>
      <w:pPr>
        <w:ind w:firstLine="432"/>
      </w:pPr>
      <w:r>
        <w:t>Systemic transformation must address the spiritual crisis documented in Chapter 16 by restoring human dignity and transcendent values that provide meaning and purpose beyond material success [48]. The recognition of human dignity as the foundation for political and economic systems can provide the moral framework necessary for sustainable transformation while preventing the dehumanization that characterizes current systems [49]. The restoration of community and family relationships can provide the social foundation necessary for democratic governance while creating alternatives to institutional dependence [50]. The recovery of transcendent values and spiritual beliefs can provide the motivation and guidance necessary for sustained transformation while creating resistance to materialist and technocratic ideologies [51].</w:t>
      </w:r>
    </w:p>
    <w:p>
      <w:pPr>
        <w:pStyle w:val="Heading2"/>
      </w:pPr>
      <w:r>
        <w:rPr>
          <w:rFonts w:ascii="Times New Roman" w:hAnsi="Times New Roman"/>
          <w:color w:val="000000"/>
          <w:sz w:val="32"/>
        </w:rPr>
        <w:t>The Urgency of Action</w:t>
      </w:r>
    </w:p>
    <w:p>
      <w:pPr>
        <w:ind w:firstLine="432"/>
      </w:pPr>
      <w:r>
        <w:t>The exponential nature of the problems documented in previous chapters means that the window of opportunity for peaceful transformation is rapidly closing, and that delay increases the likelihood of violent revolution or permanent techno-totalitarian control [52]. The implementation of digital currency and social credit systems is creating the infrastructure for permanent techno-totalitarian control that will make future resistance impossible once fully deployed [53]. The breakdown of economic and social systems is creating conditions for violence and chaos that could prevent peaceful transformation while enabling authoritarian takeover [54]. The environmental and resource crises are approaching tipping points that could trigger civilizational collapse regardless of political and economic arrangements [55].</w:t>
      </w:r>
    </w:p>
    <w:p>
      <w:pPr>
        <w:pStyle w:val="Heading2"/>
      </w:pPr>
      <w:r>
        <w:rPr>
          <w:rFonts w:ascii="Times New Roman" w:hAnsi="Times New Roman"/>
          <w:color w:val="000000"/>
          <w:sz w:val="32"/>
        </w:rPr>
        <w:t>Key Quotes</w:t>
      </w:r>
    </w:p>
    <w:p>
      <w:pPr>
        <w:ind w:firstLine="432"/>
      </w:pPr>
      <w:r>
        <w:t>“The most powerful weapon against oppression is the organized power of the people.” - Nelson Mandela “A revolution is not a dinner party, or writing an essay, or painting a picture, or doing embroidery.” - Mao Zedong “The ultimate measure of a man is not where he stands in moments of comfort and convenience, but where he stands at times of challenge and controversy.” - Martin Luther King Jr. “Those who make peaceful revolution impossible will make violent revolution inevitable.” - John F. Kennedy “The price of freedom is eternal vigilance.” - Thomas Jefferson</w:t>
      </w:r>
    </w:p>
    <w:p>
      <w:pPr>
        <w:pStyle w:val="Heading2"/>
      </w:pPr>
      <w:r>
        <w:rPr>
          <w:rFonts w:ascii="Times New Roman" w:hAnsi="Times New Roman"/>
          <w:color w:val="000000"/>
          <w:sz w:val="32"/>
        </w:rPr>
        <w:t>Real-World Examples</w:t>
      </w:r>
    </w:p>
    <w:p>
      <w:pPr>
        <w:ind w:firstLine="432"/>
      </w:pPr>
      <w:r>
        <w:t>Example 1: The Collapse of the Soviet Union The peaceful collapse of the Soviet Union demonstrated that even totalitarian systems can be transformed when they lose legitimacy and alternative frameworks are available. The transformation occurred rapidly once the system lost credibility, showing how quickly fundamental change can happen during crisis periods. Example 2: The Arab Spring and Its Aftermath The Arab Spring demonstrated both the potential and the limitations of popular movements for systemic transformation. While the movements successfully challenged authoritarian regimes, the lack of alternative constitutional frameworks led to chaos and counter-revolution in most cases, highlighting the importance of having viable alternatives ready for implementation. Example 3: Brexit and Populist Movements The Brexit vote and similar populist movements worldwide demonstrate growing popular rejection of existing institutional arrangements, but also reveal the difficulty of implementing fundamental change through existing political processes that are controlled by the same interests they seek to challenge.</w:t>
      </w:r>
    </w:p>
    <w:p>
      <w:pPr>
        <w:pStyle w:val="Heading2"/>
      </w:pPr>
      <w:r>
        <w:rPr>
          <w:rFonts w:ascii="Times New Roman" w:hAnsi="Times New Roman"/>
          <w:color w:val="000000"/>
          <w:sz w:val="32"/>
        </w:rPr>
        <w:t>References and Sources</w:t>
      </w:r>
    </w:p>
    <w:p>
      <w:pPr>
        <w:ind w:firstLine="432"/>
      </w:pPr>
      <w:r>
        <w:t>[1] Kuhn, Thomas S. “The Structure of Scientific Revolutions.” University of Chicago Press, 1962. [2] Gramsci, Antonio. “Prison Notebooks.” Columbia University Press, 1948-1951. [3] Turchin, Peter. “Ages of Discord: A Structural-Demographic Analysis of American History.” Beresta Books, 2016. [4] Michels, Robert. “Political Parties: A Sociological Study of the Oligarchical Tendencies of Modern Democracy.” Free Press, 1911. [5] Gilens, Martin, and Benjamin I. Page. “Testing Theories of American Politics: Elites, Interest Groups, and Average Citizens.” Perspectives on Politics, 2014. [6] Lessig, Lawrence. “Republic, Lost: How Money Corrupts Congress— and a Plan to Stop It.” Twelve, 2011. [7] Dahl, Robert A. “How Democratic Is the American Constitution?” Yale University Press, 2001. [8] Meadows, Donella H., et al. “The Limits to Growth: The 30-Year Update.” Chelsea Green Publishing, 2004. [9] Hudson, Michael. “Super Imperialism: The Economic Strategy of American Empire.” Pluto Press, 2003. [10] Zuboff, Shoshana. “The Age of Surveillance Capitalism: The Fight for a Human Future at the New Frontier of Power.” PublicAffairs, 2019. [11] Diamond, Jared. “Collapse: How Societies Choose to Fail or Succeed.” Viking, 2005. [12] Skocpol, Theda. “States and Social Revolutions: A Comparative Analysis of France, Russia, and China.” Cambridge University Press, 1979. [13] Agamben, Giorgio. “State of Exception.” University of Chicago Press, 2005.</w:t>
      </w:r>
    </w:p>
    <w:p>
      <w:pPr>
        <w:ind w:firstLine="432"/>
      </w:pPr>
      <w:r>
        <w:t>[14] Tilly, Charles. “From Mobilization to Revolution.” Addison-Wesley, 1978. [15] Castells, Manuel. “The Information Age: Economy, Society and Culture.” Blackwell, 1996-1998. [16] Galtung, Johan. “Peace by Peaceful Means: Peace and Conflict, Development and Civilization.” Sage Publications, 1996. [17] Ackerman, Bruce. “We the People: Foundations.” Harvard University Press, 1991. [18] Brown, Peter. “Right Relationship: Building a Whole Earth Economy.” Berrett-Koehler Publishers, 2009. [19] Etzioni, Amitai. “The Spirit of Community: The Reinvention of American Society.” Crown Publishers, 1993. [20] Goldstone, Jack A. “Revolution and Rebellion in the Early Modern World.” University of California Press, 1991. [21] Beck, Ulrich. “Risk Society: Towards a New Modernity.” Sage Publications, 1992. [22] Klein, Naomi. “The Shock Doctrine: The Rise of Disaster Capitalism.” Metropolitan Books, 2007. [23] Gramsci, Antonio. “Selections from Cultural Writings.” Harvard University Press, 1985. [24] Moore, Barrington. “Social Origins of Dictatorship and Democracy: Lord and Peasant in the Making of the Modern World.” Beacon Press, 1966. [25] Wood, Gordon S. “The Radicalism of the American Revolution.” Vintage Books, 1991. [26] Sachs, Albie. “The Strange Alchemy of Life and Law.” Oxford University Press, 2009. [27] Offe, Claus. “Varieties of Transition: The East European and East German Experience.” MIT Press, 1997. [28] Klug, Heinz. “Constituting Democracy: Law, Globalism and South Africa’s Political Reconstruction.” Cambridge University Press, 2000.</w:t>
      </w:r>
    </w:p>
    <w:p>
      <w:pPr>
        <w:ind w:firstLine="432"/>
      </w:pPr>
      <w:r>
        <w:t>[29] Liebenberg, Sandra. “Socio-Economic Rights: Adjudication under a Transformative Constitution.” Juta Academic, 2010. [30] Corder, Hugh. “Judicial Review in South Africa’s Constitutional Democracy.” Constitutional Court Review, 2014. [31] Ebrahim, Hassen. “The Soul of a Nation: Constitution-Making in South Africa.” Oxford University Press, 1998. [32] Slaughter, Anne-Marie. “A New World Order.” Princeton University Press, 2004. [33] Henkin, Louis. “How Nations Behave: Law and Foreign Policy.” Columbia University Press, 1979. [34] Koh, Harold Hongju. “Why Do Nations Obey International Law?” Yale Law Journal, 1997. [35] Franck, Thomas M. “The Power of Legitimacy Among Nations.” Oxford University Press, 1990. [36] Putnam, Robert D. “Making Democracy Work: Civic Traditions in Modern Italy.” Princeton University Press, 1993. [37] Edwards, Michael. “Civil Society.” Polity Press, 2004. [38] Tarrow, Sidney. “Power in Movement: Social Movements and Contentious Politics.” Cambridge University Press, 1998. [39] Sharp, Gene. “From Dictatorship to Democracy: A Conceptual Framework for Liberation.” Albert Einstein Institution, 1993. [40] Winner, Langdon. “The Whale and the Reactor: A Search for Limits in an Age of High Technology.” University of Chicago Press, 1986. [41] Benkler, Yochai. “The Wealth of Networks: How Social Production Transforms Markets and Freedom.” Yale University Press, 2006. [42] Diffie, Whitfield, and Martin E. Hellman. “New Directions in Cryptography.” IEEE Transactions on Information Theory, 1976. [43] Rheingold, Howard. “Smart Mobs: The Next Social Revolution.” Perseus Publishing, 2002.</w:t>
      </w:r>
    </w:p>
    <w:p>
      <w:pPr>
        <w:ind w:firstLine="432"/>
      </w:pPr>
      <w:r>
        <w:t>[44] Korten, David C. “When Corporations Rule the World.” Berrett- Koehler Publishers, 1995. [45] Brown, Ellen Hodgson. “Web of Debt: The Shocking Truth About Our Money System.” Third Millennium Press, 2007. [46] de Soto, Hernando. “The Mystery of Capital: Why Capitalism Triumphs in the West and Fails Everywhere Else.” Basic Books, 2000. [47] Gibson-Graham, J.K. “Take Back the Economy: An Ethical Guide for Transforming Our Communities.” University of Minnesota Press, 2013. [48] Schumacher, E.F. “Small Is Beautiful: Economics as if People Mattered.” Blond &amp; Briggs, 1973. [49] Sen, Amartya. “Development as Freedom.” Oxford University Press, 1999. [50] Bellah, Robert N., et al. “Habits of the Heart: Individualism and Commitment in American Life.” University of California Press, 1985. [51] Taylor, Charles. “Sources of the Self: The Making of the Modern Identity.” Harvard University Press, 1989. [52] Diamond, Larry. “Ill Winds: Saving Democracy from Russian Rage, Chinese Ambition, and American Complacency.” Penguin Press, 2019. [53] Agur, Itai, et al. “Central Bank Digital Currency: Principles for Technical Implementation.” International Monetary Fund, 2022. [54] Kaplan, Robert D. “The Coming Anarchy: Shattering the Dreams of the Post Cold War.” Random House, 2000. [55] Steffen, Will, et al. “Planetary Boundaries: Guiding Human Development on a Changing Planet.” Science, 2015.</w:t>
      </w:r>
    </w:p>
    <w:p>
      <w:pPr>
        <w:pStyle w:val="Heading2"/>
      </w:pPr>
      <w:r>
        <w:rPr>
          <w:rFonts w:ascii="Times New Roman" w:hAnsi="Times New Roman"/>
          <w:color w:val="000000"/>
          <w:sz w:val="32"/>
        </w:rPr>
        <w:t>Suggested Further Research</w:t>
      </w:r>
    </w:p>
    <w:p>
      <w:pPr>
        <w:ind w:firstLine="432"/>
      </w:pPr>
      <w:r>
        <w:t>1. “The Structure of Scientific Revolutions” by Thomas Kuhn - Analysis of how paradigm shifts occur in science and society. 2. “From Dictatorship to Democracy” by Gene Sharp - Practical guide to nonviolent resistance and democratic transformation.</w:t>
      </w:r>
    </w:p>
    <w:p>
      <w:pPr>
        <w:ind w:firstLine="432"/>
      </w:pPr>
      <w:r>
        <w:t>3. “The Soul of a Nation” by Hassen Ebrahim - Account of South Africa’s constitutional transformation process. 4. “Ages of Discord” by Peter Turchin - Analysis of cyclical patterns in social and political transformation. 5. “The Shock Doctrine” by Naomi Klein - Examination of how crises are used to implement radical economic and political changes. 6. “Making Democracy Work” by Robert Putnam - Analysis of the social conditions necessary for democratic governance. 7. “Revolution and Rebellion in the Early Modern World” by Jack Goldstone - Comparative analysis of revolutionary transformations throughout history.</w:t>
      </w:r>
    </w:p>
    <w:p>
      <w:pPr>
        <w:sectPr>
          <w:type w:val="oddPage"/>
          <w:pgSz w:w="8640" w:h="12960"/>
          <w:pgMar w:top="1080" w:right="900" w:bottom="1080" w:left="1080" w:header="720" w:footer="720" w:gutter="180"/>
          <w:cols w:space="720"/>
          <w:docGrid w:linePitch="360"/>
        </w:sectPr>
      </w:pPr>
    </w:p>
    <w:p>
      <w:pPr>
        <w:jc w:val="center"/>
      </w:pPr>
      <w:r>
        <w:rPr>
          <w:rFonts w:ascii="Times New Roman" w:hAnsi="Times New Roman"/>
          <w:b/>
          <w:sz w:val="52"/>
        </w:rPr>
        <w:t>PART IV: NEED - The Expressed</w:t>
      </w:r>
    </w:p>
    <w:p>
      <w:pPr>
        <w:pStyle w:val="Heading2"/>
      </w:pPr>
      <w:r>
        <w:rPr>
          <w:rFonts w:ascii="Times New Roman" w:hAnsi="Times New Roman"/>
          <w:color w:val="000000"/>
          <w:sz w:val="32"/>
        </w:rPr>
        <w:t>Need for Constitutional Solutions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18: The Need for Constitutional Governance and Rule of Law</w:t>
      </w:r>
    </w:p>
    <w:p>
      <w:pPr>
        <w:pStyle w:val="Heading2"/>
      </w:pPr>
      <w:r>
        <w:rPr>
          <w:rFonts w:ascii="Times New Roman" w:hAnsi="Times New Roman"/>
          <w:color w:val="000000"/>
          <w:sz w:val="32"/>
        </w:rPr>
        <w:t>Constitutional Governance and</w:t>
      </w:r>
    </w:p>
    <w:p>
      <w:pPr>
        <w:pStyle w:val="Heading2"/>
      </w:pPr>
      <w:r>
        <w:rPr>
          <w:rFonts w:ascii="Times New Roman" w:hAnsi="Times New Roman"/>
          <w:color w:val="000000"/>
          <w:sz w:val="32"/>
        </w:rPr>
        <w:t>Rule of Law Introduction</w:t>
      </w:r>
    </w:p>
    <w:p>
      <w:pPr>
        <w:ind w:firstLine="432"/>
      </w:pPr>
      <w:r>
        <w:t>The systematic breakdown of democratic institutions and the rule of law documented in previous chapters has created an urgent need for constitutional frameworks that can restore legitimate governance and protect human rights against the forces of institutional capture and techno-totalitarian control. This chapter examines the expressed need for constitutional governance that operates according to established legal principles rather than arbitrary power or private interests [1]. The need for constitutional governance extends beyond traditional concerns about government accountability to encompass the fundamental requirement for legal frameworks that can resist capture</w:t>
      </w:r>
    </w:p>
    <w:p>
      <w:pPr>
        <w:ind w:firstLine="432"/>
      </w:pPr>
      <w:r>
        <w:t>by special interests while protecting individual rights and democratic processes against systematic subversion [2]. Understanding this need is crucial for recognizing that the restoration of legitimate governance requires more than electoral politics or policy reforms, but fundamental constitutional arrangements that establish clear limits on government power while providing effective mechanisms for enforcing those limits against all forms of institutional capture [3].</w:t>
      </w:r>
    </w:p>
    <w:p>
      <w:pPr>
        <w:pStyle w:val="Heading2"/>
      </w:pPr>
      <w:r>
        <w:rPr>
          <w:rFonts w:ascii="Times New Roman" w:hAnsi="Times New Roman"/>
          <w:color w:val="000000"/>
          <w:sz w:val="32"/>
        </w:rPr>
        <w:t>The Nature of Constitutional Governance</w:t>
      </w:r>
    </w:p>
    <w:p>
      <w:pPr>
        <w:ind w:firstLine="432"/>
      </w:pPr>
      <w:r>
        <w:t>Constitutional governance is based on the principle that government power must be limited by law and that all government officials, regardless of their position or authority, are subject to legal constraints that protect individual rights and democratic processes [4]. The concept of constitutionalism requires that government power be exercised according to established legal procedures rather than arbitrary will, and that these procedures be designed to protect minority rights against majority tyranny while ensuring democratic accountability [5]. Constitutional governance differs from ordinary legislation in that constitutional principles are designed to be more difficult to change and to override ordinary political processes when they conflict with fundamental rights and democratic procedures [6]. The effectiveness of constitutional governance depends on independent institutions capable of interpreting and enforcing constitutional principles against political pressure and special interest influence [7].</w:t>
      </w:r>
    </w:p>
    <w:p>
      <w:pPr>
        <w:pStyle w:val="Heading2"/>
      </w:pPr>
      <w:r>
        <w:rPr>
          <w:rFonts w:ascii="Times New Roman" w:hAnsi="Times New Roman"/>
          <w:color w:val="000000"/>
          <w:sz w:val="32"/>
        </w:rPr>
        <w:t>The Failure of Existing Constitutional Systems</w:t>
      </w:r>
    </w:p>
    <w:p>
      <w:pPr>
        <w:ind w:firstLine="432"/>
      </w:pPr>
      <w:r>
        <w:t>The constitutional systems in most democratic countries have failed to prevent the institutional capture and systematic abuses documented in previous chapters, revealing fundamental weaknesses in their design and implementation [8].</w:t>
      </w:r>
    </w:p>
    <w:p>
      <w:pPr>
        <w:ind w:firstLine="432"/>
      </w:pPr>
      <w:r>
        <w:t>The U.S. Constitution has been systematically circumvented through judicial interpretation, executive power expansion, and legislative capture that has eliminated many of its original protections while maintaining the appearance of constitutional governance [9]. European constitutional systems have been undermined through international agreements and supranational institutions that override national constitutional protections while claiming democratic legitimacy through complex institutional arrangements [10]. The failure of existing constitutional systems demonstrates the need for new constitutional approaches that can address contemporary threats to democratic governance and human rights [11].</w:t>
      </w:r>
    </w:p>
    <w:p>
      <w:pPr>
        <w:pStyle w:val="Heading2"/>
      </w:pPr>
      <w:r>
        <w:rPr>
          <w:rFonts w:ascii="Times New Roman" w:hAnsi="Times New Roman"/>
          <w:color w:val="000000"/>
          <w:sz w:val="32"/>
        </w:rPr>
        <w:t>The Requirements for Effective Constitutional Design</w:t>
      </w:r>
    </w:p>
    <w:p>
      <w:pPr>
        <w:ind w:firstLine="432"/>
      </w:pPr>
      <w:r>
        <w:t>Effective constitutional design must address the specific mechanisms through which institutional capture occurs while providing robust protections that cannot be easily circumvented by special interests or government officials [12]. Constitutional provisions must be specific enough to provide clear guidance for implementation while being flexible enough to address changing circumstances and new threats to democratic governance [13]. Constitutional enforcement mechanisms must be independent of political pressure and special interest influence while having sufficient authority to override legislative and executive actions that violate constitutional principles [14]. Constitutional amendment procedures must balance the need for stability with the requirement for adaptation, ensuring that fundamental principles cannot be easily changed while allowing for necessary updates and improvements [15].</w:t>
      </w:r>
    </w:p>
    <w:p>
      <w:pPr>
        <w:pStyle w:val="Heading2"/>
      </w:pPr>
      <w:r>
        <w:rPr>
          <w:rFonts w:ascii="Times New Roman" w:hAnsi="Times New Roman"/>
          <w:color w:val="000000"/>
          <w:sz w:val="32"/>
        </w:rPr>
        <w:t>Economic Rights and Constitutional Protection</w:t>
      </w:r>
    </w:p>
    <w:p>
      <w:pPr>
        <w:ind w:firstLine="432"/>
      </w:pPr>
      <w:r>
        <w:t>The systematic economic exploitation documented in previous chapters demonstrates the need for constitutional protections that address</w:t>
      </w:r>
    </w:p>
    <w:p>
      <w:pPr>
        <w:ind w:firstLine="432"/>
      </w:pPr>
      <w:r>
        <w:t>economic rights and prevent the concentration of wealth and power that enables institutional capture [16]. Constitutional provisions for economic rights must address not only traditional property rights but also the right to economic security, fair wages, and protection against exploitation by financial and corporate interests [17]. The South African Constitution provides a model for constitutional economic rights that includes provisions for housing, healthcare, education, and social security that address the material conditions necessary for human dignity [18]. Constitutional protection of economic rights requires enforcement mechanisms that can address systematic economic exploitation while preventing the concentration of wealth that enables political capture [19].</w:t>
      </w:r>
    </w:p>
    <w:p>
      <w:pPr>
        <w:pStyle w:val="Heading2"/>
      </w:pPr>
      <w:r>
        <w:rPr>
          <w:rFonts w:ascii="Times New Roman" w:hAnsi="Times New Roman"/>
          <w:color w:val="000000"/>
          <w:sz w:val="32"/>
        </w:rPr>
        <w:t>Information Rights and Democratic Participation</w:t>
      </w:r>
    </w:p>
    <w:p>
      <w:pPr>
        <w:ind w:firstLine="432"/>
      </w:pPr>
      <w:r>
        <w:t>The media manipulation and information control documented in Chapter 9 demonstrates the need for constitutional protections that ensure access to accurate information and prevent the manipulation of public discourse [20]. Constitutional provisions for information rights must address not only traditional free speech protections but also the right to access accurate information and protection against propaganda and manipulation [21]. The concentration of media ownership and the manipulation of information through technological platforms requires constitutional approaches that address corporate control of information while protecting genuine free speech [22]. Constitutional protection of information rights requires enforcement mechanisms that can address systematic information manipulation while preventing government censorship and control [23].</w:t>
      </w:r>
    </w:p>
    <w:p>
      <w:pPr>
        <w:pStyle w:val="Heading2"/>
      </w:pPr>
      <w:r>
        <w:rPr>
          <w:rFonts w:ascii="Times New Roman" w:hAnsi="Times New Roman"/>
          <w:color w:val="000000"/>
          <w:sz w:val="32"/>
        </w:rPr>
        <w:t>Privacy Rights and Protection Against Surveillance</w:t>
      </w:r>
    </w:p>
    <w:p>
      <w:pPr>
        <w:ind w:firstLine="432"/>
      </w:pPr>
      <w:r>
        <w:t>The comprehensive surveillance systems documented in Chapter 14 demonstrate the need for constitutional protections that address technological threats to privacy and human autonomy [24]. Constitutional provisions for privacy rights must address not only traditional protections against government searches but also protection against corporate surveillance and technological manipulation [25]. The integration of surveillance technologies into all aspects of daily life requires constitutional approaches that address the fundamental right to privacy and autonomy in the digital age [26]. Constitutional protection of privacy rights requires enforcement mechanisms that can address systematic surveillance while preventing the development of techno-totalitarian control systems [27].</w:t>
      </w:r>
    </w:p>
    <w:p>
      <w:pPr>
        <w:pStyle w:val="Heading2"/>
      </w:pPr>
      <w:r>
        <w:rPr>
          <w:rFonts w:ascii="Times New Roman" w:hAnsi="Times New Roman"/>
          <w:color w:val="000000"/>
          <w:sz w:val="32"/>
        </w:rPr>
        <w:t>Healthcare Rights and Medical Freedom</w:t>
      </w:r>
    </w:p>
    <w:p>
      <w:pPr>
        <w:ind w:firstLine="432"/>
      </w:pPr>
      <w:r>
        <w:t>The medical tyranny documented in Chapter 11 demonstrates the need for constitutional protections that ensure access to healthcare while protecting individual autonomy and informed consent [28]. Constitutional provisions for healthcare rights must address both the right to healthcare and the right to refuse medical treatment, ensuring that healthcare systems serve individual needs rather than institutional interests [29]. The capture of healthcare systems by pharmaceutical and insurance interests requires constitutional approaches that address systematic medical exploitation while protecting genuine healthcare needs [30]. Constitutional protection of healthcare rights requires enforcement mechanisms that can address medical tyranny while ensuring access to effective healthcare for all citizens [31].</w:t>
      </w:r>
    </w:p>
    <w:p>
      <w:pPr>
        <w:pStyle w:val="Heading2"/>
      </w:pPr>
      <w:r>
        <w:rPr>
          <w:rFonts w:ascii="Times New Roman" w:hAnsi="Times New Roman"/>
          <w:color w:val="000000"/>
          <w:sz w:val="32"/>
        </w:rPr>
        <w:t>Environmental Rights and Ecological Protection</w:t>
      </w:r>
    </w:p>
    <w:p>
      <w:pPr>
        <w:ind w:firstLine="432"/>
      </w:pPr>
      <w:r>
        <w:t>The environmental manipulation documented in Chapter 12 demonstrates the need for constitutional protections that address environmental rights and prevent the destruction of natural systems necessary for human survival [32].</w:t>
      </w:r>
    </w:p>
    <w:p>
      <w:pPr>
        <w:ind w:firstLine="432"/>
      </w:pPr>
      <w:r>
        <w:t>Constitutional provisions for environmental rights must address both the right to a healthy environment and the obligation to protect natural systems for future generations [33]. The systematic environmental destruction caused by corporate and government activities requires constitutional approaches that address ecological protection while preventing environmental manipulation and geoengineering [34]. Constitutional protection of environmental rights requires enforcement mechanisms that can address systematic environmental destruction while ensuring sustainable development and ecological integrity [35].</w:t>
      </w:r>
    </w:p>
    <w:p>
      <w:pPr>
        <w:pStyle w:val="Heading2"/>
      </w:pPr>
      <w:r>
        <w:rPr>
          <w:rFonts w:ascii="Times New Roman" w:hAnsi="Times New Roman"/>
          <w:color w:val="000000"/>
          <w:sz w:val="32"/>
        </w:rPr>
        <w:t>International Dimensions of Constitutional Protection</w:t>
      </w:r>
    </w:p>
    <w:p>
      <w:pPr>
        <w:ind w:firstLine="432"/>
      </w:pPr>
      <w:r>
        <w:t>The transnational nature of the problems documented in previous chapters demonstrates the need for constitutional approaches that can address international threats to democratic governance and human rights [36]. Constitutional provisions must address the relationship between national sovereignty and international cooperation, ensuring that international agreements cannot override fundamental constitutional protections [37]. The development of international constitutional frameworks can provide additional protection against national institutional capture while creating mechanisms for international cooperation in protecting human rights [38]. Constitutional protection against international threats requires enforcement mechanisms that can address transnational institutional capture while maintaining national sovereignty and democratic accountability [39].</w:t>
      </w:r>
    </w:p>
    <w:p>
      <w:pPr>
        <w:pStyle w:val="Heading2"/>
      </w:pPr>
      <w:r>
        <w:rPr>
          <w:rFonts w:ascii="Times New Roman" w:hAnsi="Times New Roman"/>
          <w:color w:val="000000"/>
          <w:sz w:val="32"/>
        </w:rPr>
        <w:t>The Role of Civil Society in Constitutional Governance</w:t>
      </w:r>
    </w:p>
    <w:p>
      <w:pPr>
        <w:ind w:firstLine="432"/>
      </w:pPr>
      <w:r>
        <w:t>Effective constitutional governance requires active civil society participation in constitutional interpretation and enforcement, ensuring</w:t>
      </w:r>
    </w:p>
    <w:p>
      <w:pPr>
        <w:ind w:firstLine="432"/>
      </w:pPr>
      <w:r>
        <w:t>that constitutional principles serve popular needs rather than elite interests [40]. Civil society organizations can provide the social infrastructure necessary for constitutional enforcement while creating networks of cooperation that transcend institutional boundaries [41]. Constitutional provisions must address the rights and responsibilities of civil society organizations while protecting them against government and corporate interference [42]. Constitutional protection of civil society requires enforcement mechanisms that can address systematic suppression of civil society while ensuring democratic participation and accountability [43].</w:t>
      </w:r>
    </w:p>
    <w:p>
      <w:pPr>
        <w:pStyle w:val="Heading2"/>
      </w:pPr>
      <w:r>
        <w:rPr>
          <w:rFonts w:ascii="Times New Roman" w:hAnsi="Times New Roman"/>
          <w:color w:val="000000"/>
          <w:sz w:val="32"/>
        </w:rPr>
        <w:t>Constitutional Education and Civic Engagement</w:t>
      </w:r>
    </w:p>
    <w:p>
      <w:pPr>
        <w:ind w:firstLine="432"/>
      </w:pPr>
      <w:r>
        <w:t>The systematic educational indoctrination documented in Chapter 10 demonstrates the need for constitutional provisions that ensure civic education and democratic participation [44]. Constitutional provisions for education must address not only the right to education but also the right to accurate information about constitutional principles and democratic governance [45]. The capture of educational systems by special interests requires constitutional approaches that address educational freedom while ensuring that citizens have the knowledge necessary for democratic participation [46]. Constitutional protection of educational rights requires enforcement mechanisms that can address educational indoctrination while ensuring genuine civic education and democratic engagement [47].</w:t>
      </w:r>
    </w:p>
    <w:p>
      <w:pPr>
        <w:pStyle w:val="Heading2"/>
      </w:pPr>
      <w:r>
        <w:rPr>
          <w:rFonts w:ascii="Times New Roman" w:hAnsi="Times New Roman"/>
          <w:color w:val="000000"/>
          <w:sz w:val="32"/>
        </w:rPr>
        <w:t>Judicial Independence and Constitutional Enforcement</w:t>
      </w:r>
    </w:p>
    <w:p>
      <w:pPr>
        <w:ind w:firstLine="432"/>
      </w:pPr>
      <w:r>
        <w:t>The judicial corruption documented in Chapter 8 demonstrates the need for constitutional provisions that ensure genuine judicial independence and effective constitutional enforcement [48].</w:t>
      </w:r>
    </w:p>
    <w:p>
      <w:pPr>
        <w:ind w:firstLine="432"/>
      </w:pPr>
      <w:r>
        <w:t>Constitutional provisions for judicial independence must address not only traditional protections against political interference but also protection against corporate influence and special interest capture [49]. The systematic corruption of judicial systems requires constitutional approaches that address judicial capture while ensuring effective enforcement of constitutional principles [50]. Constitutional protection of judicial independence requires enforcement mechanisms that can address systematic judicial corruption while maintaining the rule of law and constitutional governance [51].</w:t>
      </w:r>
    </w:p>
    <w:p>
      <w:pPr>
        <w:pStyle w:val="Heading2"/>
      </w:pPr>
      <w:r>
        <w:rPr>
          <w:rFonts w:ascii="Times New Roman" w:hAnsi="Times New Roman"/>
          <w:color w:val="000000"/>
          <w:sz w:val="32"/>
        </w:rPr>
        <w:t>Emergency Powers and Constitutional Limits</w:t>
      </w:r>
    </w:p>
    <w:p>
      <w:pPr>
        <w:ind w:firstLine="432"/>
      </w:pPr>
      <w:r>
        <w:t>The abuse of emergency powers during the COVID-19 pandemic and other crises demonstrates the need for constitutional provisions that limit emergency powers while ensuring effective response to genuine emergencies [52]. Constitutional provisions for emergency powers must address the balance between effective crisis response and protection of constitutional rights, ensuring that emergencies cannot be used to eliminate constitutional protections [53]. The systematic abuse of emergency powers requires constitutional approaches that address crisis governance while preventing the use of emergencies to implement authoritarian control [54]. Constitutional protection against emergency abuse requires enforcement mechanisms that can address systematic emergency overreach while ensuring effective crisis response and constitutional governance [55].</w:t>
      </w:r>
    </w:p>
    <w:p>
      <w:pPr>
        <w:pStyle w:val="Heading2"/>
      </w:pPr>
      <w:r>
        <w:rPr>
          <w:rFonts w:ascii="Times New Roman" w:hAnsi="Times New Roman"/>
          <w:color w:val="000000"/>
          <w:sz w:val="32"/>
        </w:rPr>
        <w:t>Key Quotes</w:t>
      </w:r>
    </w:p>
    <w:p>
      <w:pPr>
        <w:ind w:firstLine="432"/>
      </w:pPr>
      <w:r>
        <w:t>“A constitution is not a mere lawyers’ document; it is a vehicle of life, and its spirit is always the spirit of the age.” - Woodrow Wilson “The Constitution is not a suicide pact.” - Robert H. Jackson</w:t>
      </w:r>
    </w:p>
    <w:p>
      <w:pPr>
        <w:ind w:firstLine="432"/>
      </w:pPr>
      <w:r>
        <w:t>“Constitutional government is government limited by law.” - Friedrich Hayek “The very purpose of a Bill of Rights was to withdraw certain subjects from the vicissitudes of political controversy.” - Robert H. Jackson “A government of laws, and not of men.” - John Adams</w:t>
      </w:r>
    </w:p>
    <w:p>
      <w:pPr>
        <w:pStyle w:val="Heading2"/>
      </w:pPr>
      <w:r>
        <w:rPr>
          <w:rFonts w:ascii="Times New Roman" w:hAnsi="Times New Roman"/>
          <w:color w:val="000000"/>
          <w:sz w:val="32"/>
        </w:rPr>
        <w:t>Real-World Examples</w:t>
      </w:r>
    </w:p>
    <w:p>
      <w:pPr>
        <w:ind w:firstLine="432"/>
      </w:pPr>
      <w:r>
        <w:t>Example 1: The South African Constitutional Court The South African Constitutional Court has demonstrated how constitutional institutions can resist political pressure while protecting human rights and democratic governance. The court’s decisions on economic rights, healthcare, and social justice provide models for constitutional enforcement that addresses systematic oppression and institutional capture. Example 2: The German Federal Constitutional Court The German Federal Constitutional Court has provided effective constitutional protection against both government overreach and private power concentration. The court’s decisions on privacy rights, media concentration, and emergency powers demonstrate how constitutional institutions can address contemporary threats to democratic governance. Example 3: The Failure of the U.S. Supreme Court The U.S. Supreme Court’s failure to address systematic constitutional violations during the COVID-19 pandemic and other crises demonstrates how constitutional institutions can be captured by political and ideological interests, highlighting the need for more robust constitutional enforcement mechanisms.</w:t>
      </w:r>
    </w:p>
    <w:p>
      <w:pPr>
        <w:pStyle w:val="Heading2"/>
      </w:pPr>
      <w:r>
        <w:rPr>
          <w:rFonts w:ascii="Times New Roman" w:hAnsi="Times New Roman"/>
          <w:color w:val="000000"/>
          <w:sz w:val="32"/>
        </w:rPr>
        <w:t>References and Sources</w:t>
      </w:r>
    </w:p>
    <w:p>
      <w:pPr>
        <w:ind w:firstLine="432"/>
      </w:pPr>
      <w:r>
        <w:t>[1] Dicey, A.V. “Introduction to the Study of the Law of the Constitution.” Liberty Fund, 1982. [2] Dworkin, Ronald. “Taking Rights Seriously.” Harvard University Press, 1977. [3] Ackerman, Bruce. “We the People: Foundations.” Harvard University Press, 1991. [4] McIlwain, Charles Howard. “Constitutionalism: Ancient and Modern.” Cornell University Press, 1947. [5] Madison, James. “The Federalist Papers.” Independent Journal, 1787- 1788. [6] Marbury v. Madison, 5 U.S. 137 (1803). [7] Hamilton, Alexander. “The Federalist No. 78.” Independent Journal, 1788. [8] Levitsky, Steven, and Daniel Ziblatt. “How Democracies Die.” Crown, 2018. [9] Barnett, Randy E. “Restoring the Lost Constitution.” Princeton University Press, 2004. [10] Grimm, Dieter. “The Constitution of European Democracy.” Oxford University Press, 2017. [11] Tushnet, Mark. “The New Constitutional Order.” Princeton University Press, 2003. [12] Elster, Jon. “Constitutionalism and Democracy.” Cambridge University Press, 1988. [13] Sunstein, Cass R. “Designing Democracy: What Constitutions Do.” Oxford University Press, 2001. [14] Shapiro, Martin. “Courts: A Comparative and Political Analysis.” University of Chicago Press, 1981. [15] Lutz, Donald S. “Principles of Constitutional Design.” Cambridge University Press, 2006.</w:t>
      </w:r>
    </w:p>
    <w:p>
      <w:pPr>
        <w:ind w:firstLine="432"/>
      </w:pPr>
      <w:r>
        <w:t>[16] Michelman, Frank I. “Welfare Rights in a Constitutional Democracy.” Washington University Law Quarterly, 1979. [17] Liebenberg, Sandra. “Socio-Economic Rights: Adjudication under a Transformative Constitution.” Juta Academic, 2010. [18] South African Constitution, 1996. “Constitution of the Republic of South Africa.” Government Gazette, 1996. [19] Sunstein, Cass R. “The Second Bill of Rights: FDR’s Unfinished Revolution and Why We Need It More Than Ever.” Basic Books, 2004. [20] Meiklejohn, Alexander. “Free Speech and Its Relation to Self- Government.” Harper &amp; Brothers, 1948. [21] Emerson, Thomas I. “The System of Freedom of Expression.” Random House, 1970. [22] Baker, C. Edwin. “Media, Markets, and Democracy.” Cambridge University Press, 2002. [23] Balkin, Jack M. “Free Speech Is a Triangle.” Columbia Law Review, 2018. [24] Warren, Samuel D., and Louis D. Brandeis. “The Right to Privacy.” Harvard Law Review, 1890. [25] Solove, Daniel J. “Understanding Privacy.” Harvard University Press, 2008. [26] Richards, Neil M. “Intellectual Privacy: Rethinking Civil Liberties in the Digital Age.” Oxford University Press, 2015. [27] Kerr, Orin S. “The Fourth Amendment and New Technologies: Constitutional Myths and the Case for Caution.” Michigan Law Review, 2004. [28] Annas, George J. “American Bioethics: Crossing Human Rights and Health Law Boundaries.” Oxford University Press, 2005. [29] Katz, Jay. “The Silent World of Doctor and Patient.” Free Press, 1984. [30] Beauchamp, Tom L., and James F. Childress. “Principles of Biomedical Ethics.” Oxford University Press, 2012.</w:t>
      </w:r>
    </w:p>
    <w:p>
      <w:pPr>
        <w:ind w:firstLine="432"/>
      </w:pPr>
      <w:r>
        <w:t>[31] Gostin, Lawrence O. “Public Health Law: Power, Duty, Restraint.” University of California Press, 2008. [32] Boyd, David R. “The Rights of Nature: A Legal Revolution.” ECW Press, 2017. [33] Borràs, Susana. “New Transitions from Human Rights to the Environment to the Rights of Nature.” Transnational Environmental Law, 2016. [34] Cullinan, Cormac. “Wild Law: A Manifesto for Earth Justice.” Chelsea Green Publishing, 2011. [35] Stone, Christopher D. “Should Trees Have Standing? Law, Morality, and the Environment.” Oxford University Press, 2010. [36] Slaughter, Anne-Marie. “A New World Order.” Princeton University Press, 2004. [37] Koh, Harold Hongju. “Why Do Nations Obey International Law?” Yale Law Journal, 1997. [38] Franck, Thomas M. “The Power of Legitimacy Among Nations.” Oxford University Press, 1990. [39] Henkin, Louis. “How Nations Behave: Law and Foreign Policy.” Columbia University Press, 1979. [40] Putnam, Robert D. “Making Democracy Work: Civic Traditions in Modern Italy.” Princeton University Press, 1993. [41] Edwards, Michael. “Civil Society.” Polity Press, 2004. [42] Salamon, Lester M. “Partners in Public Service: Government- Nonprofit Relations in the Modern Welfare State.” Johns Hopkins University Press, 1995. [43] Diamond, Larry. “Developing Democracy: Toward Consolidation.” Johns Hopkins University Press, 1999. [44] Gutmann, Amy. “Democratic Education.” Princeton University Press, 1987. [45] Callan, Eamonn. “Creating Citizens: Political Education and Liberal Democracy.” Oxford University Press, 1997.</w:t>
      </w:r>
    </w:p>
    <w:p>
      <w:pPr>
        <w:ind w:firstLine="432"/>
      </w:pPr>
      <w:r>
        <w:t>[46] Macedo, Stephen. “Diversity and Distrust: Civic Education in a Multicultural Democracy.” Harvard University Press, 2000. [47] Parker, Walter C. “Teaching Democracy: Unity and Diversity in Public Life.” Teachers College Press, 2003. [48] Burbank, Stephen B., and Barry Friedman. “Judicial Independence at the Crossroads: An Interdisciplinary Approach.” Sage Publications, 2002. [49] Geyh, Charles Gardner. “When Courts and Congress Collide: The Struggle for Control of America’s Judicial System.” University of Michigan Press, 2006. [50] Posner, Richard A. “How Judges Think.” Harvard University Press, 2008. [51] Dworkin, Ronald. “Law’s Empire.” Harvard University Press, 1986. [52] Rossiter, Clinton. “Constitutional Dictatorship: Crisis Government in the Modern Democracies.” Princeton University Press, 1948. [53] Agamben, Giorgio. “State of Exception.” University of Chicago Press, 2005. [54] Gross, Oren, and Fionnuala Ní Aoláin. “Law in Times of Crisis: Emergency Powers in Theory and Practice.” Cambridge University Press, 2006. [55] Dyzenhaus, David. “The Constitution of Law: Legality in a Time of Emergency.” Cambridge University Press, 2006.</w:t>
      </w:r>
    </w:p>
    <w:p>
      <w:pPr>
        <w:pStyle w:val="Heading2"/>
      </w:pPr>
      <w:r>
        <w:rPr>
          <w:rFonts w:ascii="Times New Roman" w:hAnsi="Times New Roman"/>
          <w:color w:val="000000"/>
          <w:sz w:val="32"/>
        </w:rPr>
        <w:t>Suggested Further Research</w:t>
      </w:r>
    </w:p>
    <w:p>
      <w:pPr>
        <w:ind w:firstLine="432"/>
      </w:pPr>
      <w:r>
        <w:t>1. “We the People: Foundations” by Bruce Ackerman - Analysis of constitutional transformation and the requirements for legitimate constitutional change. 2. “Socio-Economic Rights: Adjudication under a Transformative Constitution” by Sandra Liebenberg - Examination of how constitutional economic rights can be implemented and enforced.</w:t>
      </w:r>
    </w:p>
    <w:p>
      <w:pPr>
        <w:ind w:firstLine="432"/>
      </w:pPr>
      <w:r>
        <w:t>3. “Understanding Privacy” by Daniel Solove - Comprehensive analysis of privacy rights and their constitutional protection in the digital age. 4. “Making Democracy Work” by Robert Putnam - Investigation into the social conditions necessary for effective constitutional governance. 5. “The Constitution of European Democracy” by Dieter Grimm - Analysis of constitutional challenges in supranational governance systems. 6. “Law in Times of Crisis” by Oren Gross and Fionnuala Ní Aoláin - Examination of emergency powers and their constitutional limits. 7. South African Constitutional Court Decisions - Case law demonstrating practical implementation of transformative constitutional principles.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19: The Need for International Cooperation and Global Governance Reform</w:t>
      </w:r>
    </w:p>
    <w:p>
      <w:pPr>
        <w:pStyle w:val="Heading2"/>
      </w:pPr>
      <w:r>
        <w:rPr>
          <w:rFonts w:ascii="Times New Roman" w:hAnsi="Times New Roman"/>
          <w:color w:val="000000"/>
          <w:sz w:val="32"/>
        </w:rPr>
        <w:t>International Cooperation and</w:t>
      </w:r>
    </w:p>
    <w:p>
      <w:pPr>
        <w:pStyle w:val="Heading2"/>
      </w:pPr>
      <w:r>
        <w:rPr>
          <w:rFonts w:ascii="Times New Roman" w:hAnsi="Times New Roman"/>
          <w:color w:val="000000"/>
          <w:sz w:val="32"/>
        </w:rPr>
        <w:t>Global Governance Reform Introduction</w:t>
      </w:r>
    </w:p>
    <w:p>
      <w:pPr>
        <w:ind w:firstLine="432"/>
      </w:pPr>
      <w:r>
        <w:t>The transnational nature of the institutional capture and systemic problems documented in previous chapters demonstrates that national solutions alone are insufficient to address global challenges that transcend borders and require coordinated international responses. This chapter examines the expressed need for international cooperation and global governance reform that can address systematic abuses while respecting national sovereignty and democratic accountability [1]. The need for international cooperation extends beyond traditional diplomatic relations to encompass fundamental reforms in global governance structures that can prevent the concentration of power in international institutions while enabling effective cooperation in addressing shared challenges [2].</w:t>
      </w:r>
    </w:p>
    <w:p>
      <w:pPr>
        <w:ind w:firstLine="432"/>
      </w:pPr>
      <w:r>
        <w:t>Understanding this need is crucial for recognizing that the restoration of democratic governance and human rights requires not only national constitutional reforms but also international frameworks that can address transnational threats while maintaining the sovereignty and self-determination necessary for democratic accountability [3].</w:t>
      </w:r>
    </w:p>
    <w:p>
      <w:pPr>
        <w:pStyle w:val="Heading2"/>
      </w:pPr>
      <w:r>
        <w:rPr>
          <w:rFonts w:ascii="Times New Roman" w:hAnsi="Times New Roman"/>
          <w:color w:val="000000"/>
          <w:sz w:val="32"/>
        </w:rPr>
        <w:t>The Failure of Existing International Institutions</w:t>
      </w:r>
    </w:p>
    <w:p>
      <w:pPr>
        <w:ind w:firstLine="432"/>
      </w:pPr>
      <w:r>
        <w:t>The international institutions created after World War II have been systematically captured by the same interests that control national institutions, transforming them from mechanisms for international cooperation into tools for global elite control [4]. The United Nations system has been captured by powerful nations and corporate interests that use international law and institutions to implement policies that serve elite interests while claiming international legitimacy and democratic support [5]. International financial institutions such as the International Monetary Fund and World Bank have been used to implement structural adjustment programs that serve international capital interests while undermining national sovereignty and democratic governance [6]. International trade organizations such as the World Trade Organization have been used to override national laws and democratic decisions while serving corporate interests that benefit from globalization and deregulation [7].</w:t>
      </w:r>
    </w:p>
    <w:p>
      <w:pPr>
        <w:pStyle w:val="Heading2"/>
      </w:pPr>
      <w:r>
        <w:rPr>
          <w:rFonts w:ascii="Times New Roman" w:hAnsi="Times New Roman"/>
          <w:color w:val="000000"/>
          <w:sz w:val="32"/>
        </w:rPr>
        <w:t>The Democratic Deficit in Global Governance</w:t>
      </w:r>
    </w:p>
    <w:p>
      <w:pPr>
        <w:ind w:firstLine="432"/>
      </w:pPr>
      <w:r>
        <w:t>The existing system of global governance operates largely outside democratic accountability, with decisions made by unelected officials and technocratic institutions that claim expertise and efficiency while avoiding popular oversight [8]. International agreements and treaties are often negotiated in secret by government officials and corporate representatives without meaningful public participation or democratic input from affected populations [9].</w:t>
      </w:r>
    </w:p>
    <w:p>
      <w:pPr>
        <w:ind w:firstLine="432"/>
      </w:pPr>
      <w:r>
        <w:t>The complexity and technical nature of international governance makes it difficult for ordinary citizens to understand or participate in decisions that affect their lives while enabling special interests to influence outcomes through lobbying and expertise [10]. The enforcement of international agreements through economic pressure and sanctions enables powerful nations and institutions to override democratic decisions while claiming legal authority and international legitimacy [11].</w:t>
      </w:r>
    </w:p>
    <w:p>
      <w:pPr>
        <w:pStyle w:val="Heading2"/>
      </w:pPr>
      <w:r>
        <w:rPr>
          <w:rFonts w:ascii="Times New Roman" w:hAnsi="Times New Roman"/>
          <w:color w:val="000000"/>
          <w:sz w:val="32"/>
        </w:rPr>
        <w:t>The Need for Sovereign Equality and Self-Determination</w:t>
      </w:r>
    </w:p>
    <w:p>
      <w:pPr>
        <w:ind w:firstLine="432"/>
      </w:pPr>
      <w:r>
        <w:t>Effective international cooperation requires recognition of sovereign equality and the right of self-determination that enables nations to make democratic decisions about their internal affairs while participating in international cooperation [12]. The principle of sovereign equality requires that all nations, regardless of size or power, have equal rights in international law and institutions while being protected against interference and domination by more powerful nations [13]. The right of self-determination enables peoples to determine their own political status and pursue their economic, social, and cultural development without external interference or coercion [14]. International cooperation must be based on voluntary agreement and mutual benefit rather than coercion and domination, ensuring that international institutions serve the interests of all participants rather than powerful elites [15].</w:t>
      </w:r>
    </w:p>
    <w:p>
      <w:pPr>
        <w:pStyle w:val="Heading2"/>
      </w:pPr>
      <w:r>
        <w:rPr>
          <w:rFonts w:ascii="Times New Roman" w:hAnsi="Times New Roman"/>
          <w:color w:val="000000"/>
          <w:sz w:val="32"/>
        </w:rPr>
        <w:t>Constitutional Frameworks for International Cooperation</w:t>
      </w:r>
    </w:p>
    <w:p>
      <w:pPr>
        <w:ind w:firstLine="432"/>
      </w:pPr>
      <w:r>
        <w:t>The development of constitutional frameworks for international cooperation can provide the legal foundation necessary for effective cooperation while protecting national sovereignty and democratic accountability [16].</w:t>
      </w:r>
    </w:p>
    <w:p>
      <w:pPr>
        <w:ind w:firstLine="432"/>
      </w:pPr>
      <w:r>
        <w:t>Constitutional provisions for international cooperation must address the relationship between national law and international law, ensuring that international agreements cannot override fundamental constitutional protections and democratic processes [17]. The treaty framework provides a model for international cooperation that respects national sovereignty while creating binding obligations that can be enforced through international mechanisms [18]. Constitutional approaches to international cooperation can provide stronger protections than ordinary diplomatic agreements while creating mechanisms for democratic participation and accountability in international governance [19].</w:t>
      </w:r>
    </w:p>
    <w:p>
      <w:pPr>
        <w:pStyle w:val="Heading2"/>
      </w:pPr>
      <w:r>
        <w:rPr>
          <w:rFonts w:ascii="Times New Roman" w:hAnsi="Times New Roman"/>
          <w:color w:val="000000"/>
          <w:sz w:val="32"/>
        </w:rPr>
        <w:t>The South African Constitution as International Treaty</w:t>
      </w:r>
    </w:p>
    <w:p>
      <w:pPr>
        <w:ind w:firstLine="432"/>
      </w:pPr>
      <w:r>
        <w:t>The concept of treating the South African Constitution as an international treaty provides a specific model for constitutional approaches to international cooperation that can address systematic oppression while respecting national sovereignty [20]. The South African Constitution’s comprehensive protection of human rights and democratic governance provides a framework that could be adopted by other nations through treaty mechanisms rather than lengthy domestic constitutional processes [21]. The international recognition of the South African Constitution as a treaty would create binding obligations under international law while providing mechanisms for enforcement and accountability that transcend national political processes [22]. The treaty approach would enable rapid adoption of constitutional protections by nations seeking to address institutional capture and systematic oppression while building international support for democratic transformation [23].</w:t>
      </w:r>
    </w:p>
    <w:p>
      <w:pPr>
        <w:pStyle w:val="Heading2"/>
      </w:pPr>
      <w:r>
        <w:rPr>
          <w:rFonts w:ascii="Times New Roman" w:hAnsi="Times New Roman"/>
          <w:color w:val="000000"/>
          <w:sz w:val="32"/>
        </w:rPr>
        <w:t>Economic Justice and International Cooperation</w:t>
      </w:r>
    </w:p>
    <w:p>
      <w:pPr>
        <w:ind w:firstLine="432"/>
      </w:pPr>
      <w:r>
        <w:t>The systematic economic exploitation documented in previous chapters requires international cooperation to address transnational economic structures that enable wealth extraction and institutional capture [24]. International cooperation on monetary reform can address the debt- based monetary systems that enable systematic wealth extraction while creating alternative approaches to international finance and trade [25]. Cooperation on tax policy and financial regulation can address tax avoidance and capital flight that enable wealthy elites to avoid accountability while undermining national fiscal capacity [26]. International frameworks for economic justice can address systematic exploitation while enabling sustainable development and equitable distribution of resources and opportunities [27].</w:t>
      </w:r>
    </w:p>
    <w:p>
      <w:pPr>
        <w:pStyle w:val="Heading2"/>
      </w:pPr>
      <w:r>
        <w:rPr>
          <w:rFonts w:ascii="Times New Roman" w:hAnsi="Times New Roman"/>
          <w:color w:val="000000"/>
          <w:sz w:val="32"/>
        </w:rPr>
        <w:t>Environmental Protection and Global Cooperation</w:t>
      </w:r>
    </w:p>
    <w:p>
      <w:pPr>
        <w:ind w:firstLine="432"/>
      </w:pPr>
      <w:r>
        <w:t>The environmental challenges documented in Chapter 12 require international cooperation to address transnational environmental threats while preventing environmental manipulation and geoengineering [28]. International cooperation on environmental protection must address both pollution and resource depletion while preventing the use of environmental justifications for authoritarian control and economic exploitation [29]. Climate policy must be based on scientific evidence rather than political and economic interests while addressing the needs of all nations rather than serving the interests of wealthy elites [30]. International environmental frameworks must respect national sovereignty while enabling effective cooperation in addressing shared environmental challenges and preventing environmental warfare [31].</w:t>
      </w:r>
    </w:p>
    <w:p>
      <w:pPr>
        <w:pStyle w:val="Heading2"/>
      </w:pPr>
      <w:r>
        <w:rPr>
          <w:rFonts w:ascii="Times New Roman" w:hAnsi="Times New Roman"/>
          <w:color w:val="000000"/>
          <w:sz w:val="32"/>
        </w:rPr>
        <w:t>Information and Communication Rights</w:t>
      </w:r>
    </w:p>
    <w:p>
      <w:pPr>
        <w:ind w:firstLine="432"/>
      </w:pPr>
      <w:r>
        <w:t>The global nature of information and communication systems requires international cooperation to address media manipulation and</w:t>
      </w:r>
    </w:p>
    <w:p>
      <w:pPr>
        <w:ind w:firstLine="432"/>
      </w:pPr>
      <w:r>
        <w:t>information control while protecting free speech and democratic discourse [32]. International cooperation on information rights must address both government censorship and corporate control of information while protecting genuine free speech and democratic participation [33]. The regulation of international communication platforms must balance free speech protection with prevention of manipulation and propaganda while respecting national sovereignty and cultural differences [34]. International frameworks for information rights must address systematic manipulation while enabling diverse perspectives and democratic debate across national and cultural boundaries [35].</w:t>
      </w:r>
    </w:p>
    <w:p>
      <w:pPr>
        <w:pStyle w:val="Heading2"/>
      </w:pPr>
      <w:r>
        <w:rPr>
          <w:rFonts w:ascii="Times New Roman" w:hAnsi="Times New Roman"/>
          <w:color w:val="000000"/>
          <w:sz w:val="32"/>
        </w:rPr>
        <w:t>Human Rights and International Protection</w:t>
      </w:r>
    </w:p>
    <w:p>
      <w:pPr>
        <w:ind w:firstLine="432"/>
      </w:pPr>
      <w:r>
        <w:t>The systematic violation of human rights documented in previous chapters requires international cooperation to provide protection and accountability while respecting national sovereignty and cultural diversity [36]. International human rights frameworks must address both government violations and private violations while providing effective enforcement mechanisms that respect national sovereignty and democratic accountability [37]. The universality of human rights must be balanced with respect for cultural diversity and national self-determination, ensuring that human rights protection does not become a tool for cultural imperialism or political domination [38]. International mechanisms for human rights protection must be accessible to ordinary citizens while being protected against manipulation by powerful interests that seek to use human rights rhetoric for political purposes [39].</w:t>
      </w:r>
    </w:p>
    <w:p>
      <w:pPr>
        <w:pStyle w:val="Heading2"/>
      </w:pPr>
      <w:r>
        <w:rPr>
          <w:rFonts w:ascii="Times New Roman" w:hAnsi="Times New Roman"/>
          <w:color w:val="000000"/>
          <w:sz w:val="32"/>
        </w:rPr>
        <w:t>Conflict Resolution and Peaceful Cooperation</w:t>
      </w:r>
    </w:p>
    <w:p>
      <w:pPr>
        <w:ind w:firstLine="432"/>
      </w:pPr>
      <w:r>
        <w:t>The increasing international tensions and conflicts documented in previous chapters require new approaches to conflict resolution that address root causes while preventing the escalation of conflicts into warfare [40]. International mechanisms for conflict resolution must address systematic injustices and power imbalances that create conflicts while providing alternatives to military solutions and economic warfare [41]. Peaceful cooperation requires addressing the economic and political structures that create conflicts while building relationships of mutual respect and benefit among nations and peoples [42]. International frameworks for peace must address both interstate conflicts and internal conflicts while respecting national sovereignty and the right of self-determination [43].</w:t>
      </w:r>
    </w:p>
    <w:p>
      <w:pPr>
        <w:pStyle w:val="Heading2"/>
      </w:pPr>
      <w:r>
        <w:rPr>
          <w:rFonts w:ascii="Times New Roman" w:hAnsi="Times New Roman"/>
          <w:color w:val="000000"/>
          <w:sz w:val="32"/>
        </w:rPr>
        <w:t>Technology and International Governance</w:t>
      </w:r>
    </w:p>
    <w:p>
      <w:pPr>
        <w:ind w:firstLine="432"/>
      </w:pPr>
      <w:r>
        <w:t>The global nature of technological systems requires international cooperation to address technological threats to human rights and democratic governance while preventing the development of global techno-totalitarian control [44]. International cooperation on technology governance must address both government surveillance and corporate control while protecting privacy rights and democratic participation [45]. The regulation of artificial intelligence and automated systems requires international frameworks that protect human autonomy while enabling beneficial technological development [46]. International approaches to technology governance must respect national sovereignty while addressing transnational technological threats and preventing technological warfare [47].</w:t>
      </w:r>
    </w:p>
    <w:p>
      <w:pPr>
        <w:pStyle w:val="Heading2"/>
      </w:pPr>
      <w:r>
        <w:rPr>
          <w:rFonts w:ascii="Times New Roman" w:hAnsi="Times New Roman"/>
          <w:color w:val="000000"/>
          <w:sz w:val="32"/>
        </w:rPr>
        <w:t>Civil Society and International Cooperation</w:t>
      </w:r>
    </w:p>
    <w:p>
      <w:pPr>
        <w:ind w:firstLine="432"/>
      </w:pPr>
      <w:r>
        <w:t>Effective international cooperation requires the active participation of civil society organizations that can provide democratic input and accountability while transcending national boundaries [48]. International civil society networks can provide alternatives to government and corporate channels while enabling grassroots cooperation and democratic participation in international governance [49]. The protection of civil society organizations requires international frameworks that address systematic suppression while respecting national sovereignty and cultural diversity [50]. International cooperation among civil society organizations can provide the social infrastructure necessary for democratic international governance while creating alternatives to elite-controlled institutions [51].</w:t>
      </w:r>
    </w:p>
    <w:p>
      <w:pPr>
        <w:pStyle w:val="Heading2"/>
      </w:pPr>
      <w:r>
        <w:rPr>
          <w:rFonts w:ascii="Times New Roman" w:hAnsi="Times New Roman"/>
          <w:color w:val="000000"/>
          <w:sz w:val="32"/>
        </w:rPr>
        <w:t>Regional Cooperation and Subsidiarity</w:t>
      </w:r>
    </w:p>
    <w:p>
      <w:pPr>
        <w:ind w:firstLine="432"/>
      </w:pPr>
      <w:r>
        <w:t>The principle of subsidiarity requires that international cooperation be organized at the most local level possible while enabling effective cooperation on issues that require broader coordination [52]. Regional cooperation can provide alternatives to global institutions while enabling more democratic and accountable international governance that respects cultural and political diversity [53]. Regional frameworks can address shared challenges while maintaining closer connections to local populations and democratic accountability than global institutions [54]. The development of multiple regional frameworks can provide alternatives to global monopolies while enabling diverse approaches to international cooperation and governance [55].</w:t>
      </w:r>
    </w:p>
    <w:p>
      <w:pPr>
        <w:pStyle w:val="Heading2"/>
      </w:pPr>
      <w:r>
        <w:rPr>
          <w:rFonts w:ascii="Times New Roman" w:hAnsi="Times New Roman"/>
          <w:color w:val="000000"/>
          <w:sz w:val="32"/>
        </w:rPr>
        <w:t>Key Quotes</w:t>
      </w:r>
    </w:p>
    <w:p>
      <w:pPr>
        <w:ind w:firstLine="432"/>
      </w:pPr>
      <w:r>
        <w:t>“Peace cannot be kept by force; it can only be achieved by understanding.” - Albert Einstein</w:t>
      </w:r>
    </w:p>
    <w:p>
      <w:pPr>
        <w:ind w:firstLine="432"/>
      </w:pPr>
      <w:r>
        <w:t>“The world is becoming more and more interdependent, so world peace is really in everyone’s interest.” - Dalai Lama “International law exists not to favor the strong or the weak, but to provide a framework for the peaceful resolution of disputes.” - Kofi Annan “Sovereignty is not a license to kill, but a responsibility to protect.” - Gareth Evans “We must learn to live together as brothers or perish together as fools.” - Martin Luther King Jr.</w:t>
      </w:r>
    </w:p>
    <w:p>
      <w:pPr>
        <w:pStyle w:val="Heading2"/>
      </w:pPr>
      <w:r>
        <w:rPr>
          <w:rFonts w:ascii="Times New Roman" w:hAnsi="Times New Roman"/>
          <w:color w:val="000000"/>
          <w:sz w:val="32"/>
        </w:rPr>
        <w:t>Real-World Examples</w:t>
      </w:r>
    </w:p>
    <w:p>
      <w:pPr>
        <w:ind w:firstLine="432"/>
      </w:pPr>
      <w:r>
        <w:t>Example 1: The European Union’s Democratic Deficit The European Union demonstrates both the potential and the problems of international cooperation, showing how international institutions can override national democratic processes while claiming legitimacy through complex institutional arrangements. The EU’s experience highlights the need for more democratic and accountable approaches to international governance. Example 2: The African Union and Regional Cooperation The African Union provides an example of regional cooperation that respects national sovereignty while addressing shared challenges. The AU’s approach to conflict resolution and economic cooperation demonstrates alternatives to global institutions that maintain closer connections to local populations and democratic accountability. Example 3: International Trade Agreements and Democratic Override International trade agreements such as NAFTA and the TPP demonstrate how international economic arrangements can override national democratic decisions while serving corporate interests. These</w:t>
      </w:r>
    </w:p>
    <w:p>
      <w:pPr>
        <w:ind w:firstLine="432"/>
      </w:pPr>
      <w:r>
        <w:t>agreements highlight the need for international economic cooperation that respects national sovereignty and democratic governance.</w:t>
      </w:r>
    </w:p>
    <w:p>
      <w:pPr>
        <w:pStyle w:val="Heading2"/>
      </w:pPr>
      <w:r>
        <w:rPr>
          <w:rFonts w:ascii="Times New Roman" w:hAnsi="Times New Roman"/>
          <w:color w:val="000000"/>
          <w:sz w:val="32"/>
        </w:rPr>
        <w:t>References and Sources</w:t>
      </w:r>
    </w:p>
    <w:p>
      <w:pPr>
        <w:ind w:firstLine="432"/>
      </w:pPr>
      <w:r>
        <w:t>[1] Keohane, Robert O., and Joseph S. Nye. “Power and Interdependence.” Longman, 2001. [2] Held, David. “Democracy and the Global Order: From the Modern State to Cosmopolitan Governance.” Stanford University Press, 1995. [3] Dahl, Robert A. “Can International Organizations Be Democratic? A Skeptic’s View.” Democracy’s Edges, 1999. [4] Cox, Robert W. “Production, Power, and World Order: Social Forces in the Making of History.” Columbia University Press, 1987. [5] Weiss, Thomas G., and Rorden Wilkinson. “International Organization and Global Governance.” Routledge, 2018. [6] Stiglitz, Joseph E. “Globalization and Its Discontents.” W. W. Norton &amp; Company, 2002. [7] Wallach, Lori, and Michelle Sforza. “Whose Trade Organization? Corporate Globalization and the Erosion of Democracy.” Public Citizen, 1999. [8] Moravcsik, Andrew. “Is There a ‘Democratic Deficit’ in World Politics? A Framework for Analysis.” Government and Opposition, 2004. [9] Scholte, Jan Aart. “Civil Society and Democracy in Global Governance.” Global Governance, 2002. [10] Mattli, Walter, and Ngaire Woods. “The Politics of Global Regulation.” Princeton University Press, 2009. [11] Krasner, Stephen D. “Sovereignty: Organized Hypocrisy.” Princeton University Press, 1999. [12] Jackson, Robert H. “Quasi-States: Sovereignty, International Relations and the Third World.” Cambridge University Press, 1990.</w:t>
      </w:r>
    </w:p>
    <w:p>
      <w:pPr>
        <w:ind w:firstLine="432"/>
      </w:pPr>
      <w:r>
        <w:t>[13] Anghie, Antony. “Imperialism, Sovereignty and the Making of International Law.” Cambridge University Press, 2004. [14] Cassese, Antonio. “Self-Determination of Peoples: A Legal Reappraisal.” Cambridge University Press, 1995. [15] Bull, Hedley. “The Anarchical Society: A Study of Order in World Politics.” Columbia University Press, 1977. [16] Slaughter, Anne-Marie. “A New World Order.” Princeton University Press, 2004. [17] Henkin, Louis. “How Nations Behave: Law and Foreign Policy.” Columbia University Press, 1979. [18] Aust, Anthony. “Modern Treaty Law and Practice.” Cambridge University Press, 2013. [19] Franck, Thomas M. “The Power of Legitimacy Among Nations.” Oxford University Press, 1990. [20] Klug, Heinz. “Constituting Democracy: Law, Globalism and South Africa’s Political Reconstruction.” Cambridge University Press, 2000. [21] Sachs, Albie. “The Strange Alchemy of Life and Law.” Oxford University Press, 2009. [22] Koh, Harold Hongju. “Why Do Nations Obey International Law?” Yale Law Journal, 1997. [23] Chayes, Abram, and Antonia Handler Chayes. “The New Sovereignty: Compliance with International Regulatory Agreements.” Harvard University Press, 1995. [24] Strange, Susan. “The Retreat of the State: The Diffusion of Power in the World Economy.” Cambridge University Press, 1996. [25] Hudson, Michael. “Super Imperialism: The Economic Strategy of American Empire.” Pluto Press, 2003. [26] Palan, Ronen, et al. “Tax Havens: How Globalization Really Works.” Cornell University Press, 2010. [27] Pogge, Thomas. “World Poverty and Human Rights.” Polity Press, 2008.</w:t>
      </w:r>
    </w:p>
    <w:p>
      <w:pPr>
        <w:ind w:firstLine="432"/>
      </w:pPr>
      <w:r>
        <w:t>[28] Vogler, John. “The Global Commons: Environmental and Technological Governance.” John Wiley &amp; Sons, 2000. [29] Eckersley, Robyn. “The Green State: Rethinking Democracy and Sovereignty.” MIT Press, 2004. [30] Lomborg, Bjørn. “The Skeptical Environmentalist: Measuring the Real State of the World.” Cambridge University Press, 2001. [31] Conca, Ken. “Governing Water: Contentious Transnational Politics and Global Institution Building.” MIT Press, 2006. [32] Price, Monroe E. “Media and Sovereignty: The Global Information Revolution and Its Challenge to State Power.” MIT Press, 2002. [33] MacKinnon, Rebecca. “Consent of the Networked: The Worldwide Struggle for Internet Freedom.” Basic Books, 2012. [34] Deibert, Ronald J. “Black Code: Surveillance, Privacy, and the Dark Side of the Internet.” Signal, 2013. [35] Benkler, Yochai. “The Wealth of Networks: How Social Production Transforms Markets and Freedom.” Yale University Press, 2006. [36] Donnelly, Jack. “Universal Human Rights in Theory and Practice.” Cornell University Press, 2013. [37] Simmons, Beth A. “Mobilizing for Human Rights: International Law in Domestic Politics.” Cambridge University Press, 2009. [38] An-Na’im, Abdullahi Ahmed. “Human Rights in Cross-Cultural Perspectives: A Quest for Consensus.” University of Pennsylvania Press, 1992. [39] Risse, Thomas, et al. “The Power of Human Rights: International Norms and Domestic Change.” Cambridge University Press, 1999. [40] Galtung, Johan. “Peace by Peaceful Means: Peace and Conflict, Development and Civilization.” Sage Publications, 1996. [41] Burton, John. “Conflict Resolution and Provention.” Macmillan, 1990. [42] Deutsch, Karl W. “Political Community and the North Atlantic Area.” Princeton University Press, 1957.</w:t>
      </w:r>
    </w:p>
    <w:p>
      <w:pPr>
        <w:ind w:firstLine="432"/>
      </w:pPr>
      <w:r>
        <w:t>[43] Ryan, Stephen. “The United Nations and International Politics.” Macmillan, 2000. [44] Winner, Langdon. “Autonomous Technology: Technics-out-of- Control as a Theme in Political Thought.” MIT Press, 1977. [45] Lessig, Lawrence. “Code: And Other Laws of Cyberspace.” Basic Books, 1999. [46] Floridi, Luciano, et al. “AI4People—An Ethical Framework for a Good AI Society.” Minds and Machines, 2018. [47] Deibert, Ronald J., and Rafal Rohozinski. “Liberation vs. Control: The Future of Cyberspace.” Journal of Democracy, 2010. [48] Keck, Margaret E., and Kathryn Sikkink. “Activists beyond Borders: Advocacy Networks in International Politics.” Cornell University Press, 1998. [49] Tarrow, Sidney. “The New Transnational Activism.” Cambridge University Press, 2005. [50] Salamon, Lester M., et al. “Global Civil Society: Dimensions of the Nonprofit Sector.” Johns Hopkins Center for Civil Society Studies, 1999. [51] Edwards, Michael. “Civil Society.” Polity Press, 2004. [52] Subsidiarity. “Treaty on European Union.” Official Journal of the European Communities, 1992. [53] Fawcett, Louise. “Regionalism in Historical Perspective.” International Affairs, 2004. [54] Börzel, Tanja A., and Thomas Risse. “Conceptualizing the Domestic Impact of Europe.” The Politics of Europeanization, 2003. [55] Acharya, Amitav. “The Quest for Identity: International Relations of Southeast Asia.” Oxford University Press, 2000.</w:t>
      </w:r>
    </w:p>
    <w:p>
      <w:pPr>
        <w:pStyle w:val="Heading2"/>
      </w:pPr>
      <w:r>
        <w:rPr>
          <w:rFonts w:ascii="Times New Roman" w:hAnsi="Times New Roman"/>
          <w:color w:val="000000"/>
          <w:sz w:val="32"/>
        </w:rPr>
        <w:t>Suggested Further Research</w:t>
      </w:r>
    </w:p>
    <w:p>
      <w:pPr>
        <w:ind w:firstLine="432"/>
      </w:pPr>
      <w:r>
        <w:t>1. “Democracy and the Global Order” by David Held - Analysis of the challenges and possibilities for democratic global</w:t>
      </w:r>
    </w:p>
    <w:p>
      <w:pPr>
        <w:ind w:firstLine="432"/>
      </w:pPr>
      <w:r>
        <w:t>governance. 2. “Globalization and Its Discontents” by Joseph Stiglitz - Critique of international economic institutions and their impact on developing countries. 3. “A New World Order” by Anne-Marie Slaughter - Examination of how international cooperation can be reformed to address contemporary challenges. 4. “The Power of Legitimacy Among Nations” by Thomas Franck - Analysis of how international law gains legitimacy and effectiveness. 5. “Activists beyond Borders” by Margaret Keck and Kathryn Sikkink - Study of transnational advocacy networks and their role in international governance. 6. “Universal Human Rights in Theory and Practice” by Jack Donnelly - Comprehensive analysis of human rights in international law and politics. 7. “Peace by Peaceful Means” by Johan Galtung - Theoretical framework for conflict resolution and peace building in international relations.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20: The Need for Economic Justice and Monetary Reform</w:t>
      </w:r>
    </w:p>
    <w:p>
      <w:pPr>
        <w:pStyle w:val="Heading2"/>
      </w:pPr>
      <w:r>
        <w:rPr>
          <w:rFonts w:ascii="Times New Roman" w:hAnsi="Times New Roman"/>
          <w:color w:val="000000"/>
          <w:sz w:val="32"/>
        </w:rPr>
        <w:t>Economic Justice and Monetary</w:t>
      </w:r>
    </w:p>
    <w:p>
      <w:pPr>
        <w:pStyle w:val="Heading2"/>
      </w:pPr>
      <w:r>
        <w:rPr>
          <w:rFonts w:ascii="Times New Roman" w:hAnsi="Times New Roman"/>
          <w:color w:val="000000"/>
          <w:sz w:val="32"/>
        </w:rPr>
        <w:t>Reform Introduction</w:t>
      </w:r>
    </w:p>
    <w:p>
      <w:pPr>
        <w:ind w:firstLine="432"/>
      </w:pPr>
      <w:r>
        <w:t>The systematic economic exploitation and financial manipulation documented in previous chapters has created an urgent need for</w:t>
      </w:r>
    </w:p>
    <w:p>
      <w:pPr>
        <w:ind w:firstLine="432"/>
      </w:pPr>
      <w:r>
        <w:t>fundamental economic justice and monetary reform that can address the root causes of wealth concentration and institutional capture. This chapter examines the expressed need for economic systems that serve human needs rather than elite interests while providing the material foundation necessary for human dignity and democratic governance [1]. The need for economic justice extends beyond traditional concerns about poverty and inequality to encompass fundamental reforms in monetary systems, banking, and resource allocation that can prevent the systematic extraction of wealth by financial elites while ensuring that economic systems serve the common good [2]. Understanding this need is crucial for recognizing that political and constitutional reforms alone are insufficient to address institutional capture and systematic oppression without accompanying economic reforms that address the concentration of wealth and power that enables elite control of democratic institutions [3].</w:t>
      </w:r>
    </w:p>
    <w:p>
      <w:pPr>
        <w:pStyle w:val="Heading2"/>
      </w:pPr>
      <w:r>
        <w:rPr>
          <w:rFonts w:ascii="Times New Roman" w:hAnsi="Times New Roman"/>
          <w:color w:val="000000"/>
          <w:sz w:val="32"/>
        </w:rPr>
        <w:t>The Nature of Economic Justice</w:t>
      </w:r>
    </w:p>
    <w:p>
      <w:pPr>
        <w:ind w:firstLine="432"/>
      </w:pPr>
      <w:r>
        <w:t>Economic justice is based on the principle that economic systems should serve human needs and promote human flourishing rather than concentrating wealth and power in the hands of a small elite while impoverishing the majority of the population [4]. The concept of economic justice includes both distributive justice, which addresses how resources and opportunities are allocated among members of society, and procedural justice, which addresses the fairness of the processes through which economic decisions are made [5]. Economic justice requires that all people have access to the material conditions necessary for human dignity, including adequate food, housing, healthcare, education, and meaningful work that provides economic security and personal fulfillment [6]. The achievement of economic justice requires economic systems that are democratically accountable and serve the common good rather than private interests, with mechanisms for preventing the concentration of wealth and power that enables systematic exploitation [7].</w:t>
      </w:r>
    </w:p>
    <w:p>
      <w:pPr>
        <w:pStyle w:val="Heading2"/>
      </w:pPr>
      <w:r>
        <w:rPr>
          <w:rFonts w:ascii="Times New Roman" w:hAnsi="Times New Roman"/>
          <w:color w:val="000000"/>
          <w:sz w:val="32"/>
        </w:rPr>
        <w:t>The Failure of Current Economic Systems</w:t>
      </w:r>
    </w:p>
    <w:p>
      <w:pPr>
        <w:ind w:firstLine="432"/>
      </w:pPr>
      <w:r>
        <w:t>The current global economic system has systematically failed to provide economic justice while concentrating wealth and power in the hands of a small elite that uses economic control to capture political and social institutions [8]. Capitalism in its current form has created extreme inequality and environmental destruction while failing to provide economic security and meaningful work for the majority of the population [9]. Socialism and communism have historically failed to provide economic justice while creating authoritarian systems that concentrate power in government bureaucracies rather than serving popular needs [10]. The mixed economies that combine elements of capitalism and socialism have been systematically captured by special interests that use government power to serve private interests while claiming to serve the public good [11].</w:t>
      </w:r>
    </w:p>
    <w:p>
      <w:pPr>
        <w:pStyle w:val="Heading2"/>
      </w:pPr>
      <w:r>
        <w:rPr>
          <w:rFonts w:ascii="Times New Roman" w:hAnsi="Times New Roman"/>
          <w:color w:val="000000"/>
          <w:sz w:val="32"/>
        </w:rPr>
        <w:t>The Monetary System and Wealth Extraction</w:t>
      </w:r>
    </w:p>
    <w:p>
      <w:pPr>
        <w:ind w:firstLine="432"/>
      </w:pPr>
      <w:r>
        <w:t>The debt-based monetary system documented in Chapter 3 represents the fundamental mechanism through which wealth is systematically extracted from productive workers and transferred to financial elites who control money creation and lending [12]. The creation of money through debt rather than productive activity means that the money supply must constantly expand to service existing debt, creating inflation that reduces the purchasing power of wages while enriching asset owners [13]. The fractional reserve banking system enables banks to create money out of nothing while charging interest on loans, creating a system where the banking sector systematically extracts wealth from the productive economy [14]. The central banking system enables government and financial elites to manipulate monetary policy for their benefit while socializing the costs of financial speculation and mismanagement through bailouts and quantitative easing [15].</w:t>
      </w:r>
    </w:p>
    <w:p>
      <w:pPr>
        <w:pStyle w:val="Heading2"/>
      </w:pPr>
      <w:r>
        <w:rPr>
          <w:rFonts w:ascii="Times New Roman" w:hAnsi="Times New Roman"/>
          <w:color w:val="000000"/>
          <w:sz w:val="32"/>
        </w:rPr>
        <w:t>The Need for Monetary Reform</w:t>
      </w:r>
    </w:p>
    <w:p>
      <w:pPr>
        <w:ind w:firstLine="432"/>
      </w:pPr>
      <w:r>
        <w:t>Fundamental monetary reform is necessary to address the systematic wealth extraction enabled by the current debt-based monetary system while creating money systems that serve productive activity rather than financial speculation [16]. The restoration of sound money backed by real assets rather than debt can prevent the systematic debasement of currency that transfers wealth from savers and workers to debtors and asset owners [17]. The democratization of money creation through public banking and monetary systems controlled by democratic institutions rather than private banks can ensure that monetary policy serves the public interest rather than private profit [18]. The elimination of fractional reserve banking and the requirement that banks maintain full reserves can prevent the creation of money through debt while ensuring that banking serves its legitimate function of intermediating between savers and borrowers [19].</w:t>
      </w:r>
    </w:p>
    <w:p>
      <w:pPr>
        <w:pStyle w:val="Heading2"/>
      </w:pPr>
      <w:r>
        <w:rPr>
          <w:rFonts w:ascii="Times New Roman" w:hAnsi="Times New Roman"/>
          <w:color w:val="000000"/>
          <w:sz w:val="32"/>
        </w:rPr>
        <w:t>Land Reform and Resource Justice</w:t>
      </w:r>
    </w:p>
    <w:p>
      <w:pPr>
        <w:ind w:firstLine="432"/>
      </w:pPr>
      <w:r>
        <w:t>The concentration of land ownership and natural resources in the hands of a small elite represents a fundamental source of economic injustice that enables systematic exploitation while preventing access to the natural resources necessary for economic independence [20]. Land reform that redistributes land ownership to those who work the land can address rural poverty while increasing agricultural productivity and food security [21]. The recognition of common ownership of natural resources can prevent the privatization of essential resources while ensuring that resource extraction serves the common good rather than private profit [22]. Resource justice requires that the benefits of natural resource extraction be shared equitably among all members of society rather than concentrated among resource owners and extraction companies [23].</w:t>
      </w:r>
    </w:p>
    <w:p>
      <w:pPr>
        <w:pStyle w:val="Heading2"/>
      </w:pPr>
      <w:r>
        <w:rPr>
          <w:rFonts w:ascii="Times New Roman" w:hAnsi="Times New Roman"/>
          <w:color w:val="000000"/>
          <w:sz w:val="32"/>
        </w:rPr>
        <w:t>Worker Rights and Economic Democracy</w:t>
      </w:r>
    </w:p>
    <w:p>
      <w:pPr>
        <w:ind w:firstLine="432"/>
      </w:pPr>
      <w:r>
        <w:t>The systematic exploitation of workers documented in previous chapters demonstrates the need for economic democracy that gives workers control over their working conditions and a fair share of the wealth they create [24]. Worker ownership and cooperative enterprises can provide alternatives to corporate capitalism while ensuring that workers receive the full value of their labor rather than having surplus value extracted by capital owners [25]. Strong labor unions and collective bargaining can protect worker rights while ensuring that workers have a voice in economic decisions that affect their lives and communities [26]. Economic democracy requires that workers have meaningful participation in economic decision-making rather than being treated as factors of production to be optimized for profit maximization [27].</w:t>
      </w:r>
    </w:p>
    <w:p>
      <w:pPr>
        <w:pStyle w:val="Heading2"/>
      </w:pPr>
      <w:r>
        <w:rPr>
          <w:rFonts w:ascii="Times New Roman" w:hAnsi="Times New Roman"/>
          <w:color w:val="000000"/>
          <w:sz w:val="32"/>
        </w:rPr>
        <w:t>Social Security and Economic Rights</w:t>
      </w:r>
    </w:p>
    <w:p>
      <w:pPr>
        <w:ind w:firstLine="432"/>
      </w:pPr>
      <w:r>
        <w:t>The economic insecurity created by current economic systems demonstrates the need for comprehensive social security systems that provide economic rights and protections for all members of society [28]. Universal basic income or guaranteed employment can provide economic security while ensuring that all people have access to the material conditions necessary for human dignity regardless of their employment status [29]. Universal healthcare, education, and housing can address basic human needs while preventing the commodification of essential services that creates barriers to human flourishing [30]. Economic rights must be constitutionally protected and enforceable through legal mechanisms that can address systematic violations while ensuring that economic systems serve human needs [31].</w:t>
      </w:r>
    </w:p>
    <w:p>
      <w:pPr>
        <w:pStyle w:val="Heading2"/>
      </w:pPr>
      <w:r>
        <w:rPr>
          <w:rFonts w:ascii="Times New Roman" w:hAnsi="Times New Roman"/>
          <w:color w:val="000000"/>
          <w:sz w:val="32"/>
        </w:rPr>
        <w:t>Local Economic Development and Community Control</w:t>
      </w:r>
    </w:p>
    <w:p>
      <w:pPr>
        <w:ind w:firstLine="432"/>
      </w:pPr>
      <w:r>
        <w:t>The globalization and financialization of economic systems has destroyed local economies and community control while concentrating</w:t>
      </w:r>
    </w:p>
    <w:p>
      <w:pPr>
        <w:ind w:firstLine="432"/>
      </w:pPr>
      <w:r>
        <w:t>economic power in distant financial centers that have no connection to local communities [32]. Local economic development that prioritizes local production, consumption, and ownership can rebuild community economies while reducing dependence on global supply chains and financial systems [33]. Community banking and local currencies can keep wealth circulating within local communities while providing alternatives to global financial systems that extract wealth from local economies [34]. Economic relocalization can increase economic resilience while rebuilding the social relationships and community institutions that provide the foundation for democratic governance [35].</w:t>
      </w:r>
    </w:p>
    <w:p>
      <w:pPr>
        <w:pStyle w:val="Heading2"/>
      </w:pPr>
      <w:r>
        <w:rPr>
          <w:rFonts w:ascii="Times New Roman" w:hAnsi="Times New Roman"/>
          <w:color w:val="000000"/>
          <w:sz w:val="32"/>
        </w:rPr>
        <w:t>Environmental Economics and Sustainability</w:t>
      </w:r>
    </w:p>
    <w:p>
      <w:pPr>
        <w:ind w:firstLine="432"/>
      </w:pPr>
      <w:r>
        <w:t>The environmental destruction documented in Chapter 12 demonstrates the need for economic systems that operate within ecological limits while protecting natural systems for future generations [36]. Ecological economics that recognizes the dependence of economic systems on natural systems can provide frameworks for sustainable development that serves human needs without destroying the environment [37]. The internalization of environmental costs through pollution taxes and resource pricing can ensure that economic activities bear their full environmental costs while providing incentives for environmental protection [38]. Circular economy models that eliminate waste and maximize resource efficiency can provide alternatives to linear economic models that depend on continuous resource extraction and waste production [39].</w:t>
      </w:r>
    </w:p>
    <w:p>
      <w:pPr>
        <w:pStyle w:val="Heading2"/>
      </w:pPr>
      <w:r>
        <w:rPr>
          <w:rFonts w:ascii="Times New Roman" w:hAnsi="Times New Roman"/>
          <w:color w:val="000000"/>
          <w:sz w:val="32"/>
        </w:rPr>
        <w:t>Technology and Economic Justice</w:t>
      </w:r>
    </w:p>
    <w:p>
      <w:pPr>
        <w:ind w:firstLine="432"/>
      </w:pPr>
      <w:r>
        <w:t>The technological developments documented in previous chapters create both opportunities and threats for economic justice, requiring</w:t>
      </w:r>
    </w:p>
    <w:p>
      <w:pPr>
        <w:ind w:firstLine="432"/>
      </w:pPr>
      <w:r>
        <w:t>careful management to ensure that technology serves human needs rather than concentrating power and wealth [40]. Automation and artificial intelligence can eliminate drudgery and increase productivity while creating the potential for widespread unemployment and economic displacement that requires new approaches to work and income distribution [41]. The ownership and control of technology must be democratized to prevent the concentration of technological power while ensuring that the benefits of technological development are shared equitably [42]. Digital platforms and communication technologies can enable new forms of economic cooperation and democratic participation while creating risks of surveillance and manipulation that must be addressed through appropriate regulation and design [43].</w:t>
      </w:r>
    </w:p>
    <w:p>
      <w:pPr>
        <w:pStyle w:val="Heading2"/>
      </w:pPr>
      <w:r>
        <w:rPr>
          <w:rFonts w:ascii="Times New Roman" w:hAnsi="Times New Roman"/>
          <w:color w:val="000000"/>
          <w:sz w:val="32"/>
        </w:rPr>
        <w:t>International Economic Justice</w:t>
      </w:r>
    </w:p>
    <w:p>
      <w:pPr>
        <w:ind w:firstLine="432"/>
      </w:pPr>
      <w:r>
        <w:t>The global nature of economic systems requires international cooperation to address systematic exploitation and wealth extraction that operates across national boundaries [44]. International trade agreements must be reformed to serve the interests of working people and communities rather than multinational corporations while respecting national sovereignty and democratic decision-making [45]. International financial institutions must be democratized and reformed to serve development needs rather than imposing structural adjustment programs that serve international capital interests [46]. Global tax cooperation can address tax avoidance and capital flight that enables wealthy elites to avoid accountability while undermining national fiscal capacity and democratic governance [47].</w:t>
      </w:r>
    </w:p>
    <w:p>
      <w:pPr>
        <w:pStyle w:val="Heading2"/>
      </w:pPr>
      <w:r>
        <w:rPr>
          <w:rFonts w:ascii="Times New Roman" w:hAnsi="Times New Roman"/>
          <w:color w:val="000000"/>
          <w:sz w:val="32"/>
        </w:rPr>
        <w:t>The Role of Government in Economic Justice</w:t>
      </w:r>
    </w:p>
    <w:p>
      <w:pPr>
        <w:ind w:firstLine="432"/>
      </w:pPr>
      <w:r>
        <w:t>Democratic government has a crucial role in ensuring economic justice through regulation, redistribution, and public investment that serves the</w:t>
      </w:r>
    </w:p>
    <w:p>
      <w:pPr>
        <w:ind w:firstLine="432"/>
      </w:pPr>
      <w:r>
        <w:t>common good while preventing the concentration of wealth and power [48]. Government regulation must address market failures and systematic exploitation while protecting worker rights, consumer interests, and environmental protection [49]. Progressive taxation and wealth redistribution can address inequality while providing the public revenue necessary for social investment and public services [50]. Public investment in infrastructure, education, and research can provide the foundation for economic development while ensuring that the benefits of public investment serve the common good rather than private profit [51].</w:t>
      </w:r>
    </w:p>
    <w:p>
      <w:pPr>
        <w:pStyle w:val="Heading2"/>
      </w:pPr>
      <w:r>
        <w:rPr>
          <w:rFonts w:ascii="Times New Roman" w:hAnsi="Times New Roman"/>
          <w:color w:val="000000"/>
          <w:sz w:val="32"/>
        </w:rPr>
        <w:t>Transition Strategies and Implementation</w:t>
      </w:r>
    </w:p>
    <w:p>
      <w:pPr>
        <w:ind w:firstLine="432"/>
      </w:pPr>
      <w:r>
        <w:t>The transition from current economic systems to economic justice requires careful planning and implementation strategies that can address resistance from entrenched interests while building popular support for economic reform [52]. Gradual reform strategies can build momentum for change while avoiding the disruption and chaos that could undermine support for economic justice [53]. Pilot programs and demonstration projects can show the viability of alternative economic approaches while building experience and expertise necessary for larger-scale implementation [54]. Popular education and organizing can build the political support necessary for economic reform while creating the social movements necessary to overcome resistance from entrenched interests [55].</w:t>
      </w:r>
    </w:p>
    <w:p>
      <w:pPr>
        <w:pStyle w:val="Heading2"/>
      </w:pPr>
      <w:r>
        <w:rPr>
          <w:rFonts w:ascii="Times New Roman" w:hAnsi="Times New Roman"/>
          <w:color w:val="000000"/>
          <w:sz w:val="32"/>
        </w:rPr>
        <w:t>Key Quotes</w:t>
      </w:r>
    </w:p>
    <w:p>
      <w:pPr>
        <w:ind w:firstLine="432"/>
      </w:pPr>
      <w:r>
        <w:t>“The test of our progress is not whether we add more to the abundance of those who have much; it is whether we provide enough for those who have too little.” - Franklin D. Roosevelt</w:t>
      </w:r>
    </w:p>
    <w:p>
      <w:pPr>
        <w:ind w:firstLine="432"/>
      </w:pPr>
      <w:r>
        <w:t>“A society that puts equality before freedom will get neither. A society that puts freedom before equality will get a high degree of both.” - Milton Friedman “The real tragedy of the poor is the poverty of their aspirations.” - Adam Smith “From each according to his ability, to each according to his needs.” - Karl Marx “The economy should serve people, not the other way around.” - Pope Francis</w:t>
      </w:r>
    </w:p>
    <w:p>
      <w:pPr>
        <w:pStyle w:val="Heading2"/>
      </w:pPr>
      <w:r>
        <w:rPr>
          <w:rFonts w:ascii="Times New Roman" w:hAnsi="Times New Roman"/>
          <w:color w:val="000000"/>
          <w:sz w:val="32"/>
        </w:rPr>
        <w:t>Real-World Examples</w:t>
      </w:r>
    </w:p>
    <w:p>
      <w:pPr>
        <w:ind w:firstLine="432"/>
      </w:pPr>
      <w:r>
        <w:t>Example 1: The Grameen Bank and Microcredit The Grameen Bank in Bangladesh demonstrated how alternative banking approaches can serve the poor while achieving high repayment rates and social impact. The microcredit model shows how financial services can be designed to serve human development rather than profit maximization, though it also reveals the limitations of market-based approaches to poverty reduction. Example 2: The Mondragon Cooperative Corporation The Mondragon Cooperative Corporation in Spain provides an example of large-scale worker ownership and economic democracy that has achieved economic success while maintaining democratic governance and social responsibility. The cooperative model demonstrates alternatives to corporate capitalism that can provide economic security while serving community needs. Example 3: Alaska’s Permanent Fund Dividend Alaska’s Permanent Fund Dividend provides an example of resource sharing that distributes oil revenues to all residents as a form of universal basic income. The program demonstrates how natural</w:t>
      </w:r>
    </w:p>
    <w:p>
      <w:pPr>
        <w:ind w:firstLine="432"/>
      </w:pPr>
      <w:r>
        <w:t>resource wealth can be shared equitably while providing economic security and reducing inequality.</w:t>
      </w:r>
    </w:p>
    <w:p>
      <w:pPr>
        <w:pStyle w:val="Heading2"/>
      </w:pPr>
      <w:r>
        <w:rPr>
          <w:rFonts w:ascii="Times New Roman" w:hAnsi="Times New Roman"/>
          <w:color w:val="000000"/>
          <w:sz w:val="32"/>
        </w:rPr>
        <w:t>References and Sources</w:t>
      </w:r>
    </w:p>
    <w:p>
      <w:pPr>
        <w:ind w:firstLine="432"/>
      </w:pPr>
      <w:r>
        <w:t>[1] Rawls, John. “A Theory of Justice.” Harvard University Press, 1971. [2] Sen, Amartya. “Development as Freedom.” Oxford University Press, 1999. [3] Piketty, Thomas. “Capital in the Twenty-First Century.” Harvard University Press, 2014. [4] Miller, David. “Principles of Social Justice.” Harvard University Press, 1999. [5] Nozick, Robert. “Anarchy, State, and Utopia.” Basic Books, 1974. [6] United Nations. “Universal Declaration of Human Rights.” UN General Assembly, 1948. [7] Dahl, Robert A. “A Preface to Economic Democracy.” University of California Press, 1985. [8] Stiglitz, Joseph E. “People, Power, and Profits: Progressive Capitalism for an Age of Discontent.” W. W. Norton &amp; Company, 2019. [9] Harvey, David. “Seventeen Contradictions and the End of Capitalism.” Oxford University Press, 2014. [10] Kornai, János. “The Socialist System: The Political Economy of Communism.” Princeton University Press, 1992. [11] Lindblom, Charles E. “Politics and Markets: The World’s Political- Economic Systems.” Basic Books, 1977. [12] Brown, Ellen Hodgson. “Web of Debt: The Shocking Truth About Our Money System.” Third Millennium Press, 2007. [13] Griffin, G. Edward. “The Creature from Jekyll Island: A Second Look at the Federal Reserve.” American Media, 1994.</w:t>
      </w:r>
    </w:p>
    <w:p>
      <w:pPr>
        <w:ind w:firstLine="432"/>
      </w:pPr>
      <w:r>
        <w:t>[14] Rothbard, Murray N. “The Mystery of Banking.” Ludwig von Mises Institute, 1983. [15] Hudson, Michael. “Killing the Host: How Financial Parasites and Debt Bondage Destroy the Global Economy.” ISLET, 2015. [16] Zarlenga, Stephen A. “The Lost Science of Money: The Mythology of Money, the Story of Power.” American Monetary Institute, 2002. [17] Rickards, James. “The New Case for Gold.” Portfolio, 2016. [18] Brown, Ellen Hodgson. “The Public Bank Solution: From Austerity to Prosperity.” Third Millennium Press, 2013. [19] Huber, Joseph, and James Robertson. “Creating New Money: A Monetary Reform for the Information Age.” New Economics Foundation, 2000. [20] George, Henry. “Progress and Poverty: An Inquiry into the Cause of Industrial Depressions and of Increase of Want with Increase of Wealth.” D. Appleton and Company, 1879. [21] de Soto, Hernando. “The Mystery of Capital: Why Capitalism Triumphs in the West and Fails Everywhere Else.” Basic Books, 2000. [22] Ostrom, Elinor. “Governing the Commons: The Evolution of Institutions for Collective Action.” Cambridge University Press, 1990. [23] Pogge, Thomas. “World Poverty and Human Rights.” Polity Press, 2008. [24] Schweickart, David. “After Capitalism.” Rowman &amp; Littlefield, 2002. [25] Wolff, Richard D. “Democracy at Work: A Cure for Capitalism.” Haymarket Books, 2012. [26] Freeman, Richard B., and James L. Medoff. “What Do Unions Do?” Basic Books, 1984. [27] Pateman, Carole. “Participation and Democratic Theory.” Cambridge University Press, 1970. [28] Marshall, T.H. “Citizenship and Social Class.” Cambridge University Press, 1950.</w:t>
      </w:r>
    </w:p>
    <w:p>
      <w:pPr>
        <w:ind w:firstLine="432"/>
      </w:pPr>
      <w:r>
        <w:t>[29] Van Parijs, Philippe, and Yannick Vanderborght. “Basic Income: A Radical Proposal for a Free Society and a Sane Economy.” Harvard University Press, 2017. [30] Esping-Andersen, Gøsta. “The Three Worlds of Welfare Capitalism.” Princeton University Press, 1990. [31] Sunstein, Cass R. “The Second Bill of Rights: FDR’s Unfinished Revolution and Why We Need It More Than Ever.” Basic Books, 2004. [32] Korten, David C. “When Corporations Rule the World.” Berrett- Koehler Publishers, 1995. [33] Shuman, Michael H. “Going Local: Creating Self-Reliant Communities in a Global Age.” Routledge, 2000. [34] Lietaer, Bernard. “The Future of Money: Creating New Wealth, Work and a Wiser World.” Random House, 2001. [35] McKibben, Bill. “Deep Economy: The Wealth of Communities and the Durable Future.” Times Books, 2007. [36] Daly, Herman E., and John B. Cobb. “For the Common Good: Redirecting the Economy toward Community, the Environment, and a Sustainable Future.” Beacon Press, 1994. [37] Costanza, Robert, et al. “An Introduction to Ecological Economics.” St. Lucie Press, 1997. [38] Pigou, Arthur C. “The Economics of Welfare.” Macmillan, 1920. [39] McDonough, William, and Michael Braungart. “Cradle to Cradle: Remaking the Way We Make Things.” North Point Press, 2002. [40] Brynjolfsson, Erik, and Andrew McAfee. “The Second Machine Age: Work, Progress, and Prosperity in a Time of Brilliant Technologies.” W. W. Norton &amp; Company, 2014. [41] Ford, Martin. “Rise of the Robots: Technology and the Threat of a Jobless Future.” Basic Books, 2015. [42] Scholz, Trebor. “Platform Cooperativism: Challenging the Corporate Sharing Economy.” Rosa Luxemburg Stiftung, 2016.</w:t>
      </w:r>
    </w:p>
    <w:p>
      <w:pPr>
        <w:ind w:firstLine="432"/>
      </w:pPr>
      <w:r>
        <w:t>[43] Benkler, Yochai. “The Wealth of Networks: How Social Production Transforms Markets and Freedom.” Yale University Press, 2006. [44] Stiglitz, Joseph E. “Globalization and Its Discontents.” W. W. Norton &amp; Company, 2002. [45] Rodrik, Dani. “The Globalization Paradox: Democracy and the Future of the World Economy.” W. W. Norton &amp; Company, 2011. [46] Payer, Cheryl. “The Debt Trap: The International Monetary Fund and the Third World.” Monthly Review Press, 1974. [47] Zucman, Gabriel. “The Hidden Wealth of Nations: The Scourge of Tax Havens.” University of Chicago Press, 2015. [48] Polanyi, Karl. “The Great Transformation: The Political and Economic Origins of Our Time.” Beacon Press, 1944. [49] Stiglitz, Joseph E. “Economics of the Public Sector.” W. W. Norton &amp; Company, 2000. [50] Atkinson, Anthony B. “Inequality: What Can Be Done?” Harvard University Press, 2015. [51] Mazzucato, Mariana. “The Entrepreneurial State: Debunking Public vs. Private Sector Myths.” Anthem Press, 2013. [52] Wright, Erik Olin. “Envisioning Real Utopias.” Verso, 2010. [53] Lindblom, Charles E. “The Intelligence of Democracy: Decision Making through Mutual Adjustment.” Free Press, 1965. [54] Alperovitz, Gar. “What Then Must We Do? Straight Talk about the Next American Revolution.” Chelsea Green Publishing, 2013. [55] Freire, Paulo. “Pedagogy of the Oppressed.” Continuum International Publishing Group, 1970.</w:t>
      </w:r>
    </w:p>
    <w:p>
      <w:pPr>
        <w:pStyle w:val="Heading2"/>
      </w:pPr>
      <w:r>
        <w:rPr>
          <w:rFonts w:ascii="Times New Roman" w:hAnsi="Times New Roman"/>
          <w:color w:val="000000"/>
          <w:sz w:val="32"/>
        </w:rPr>
        <w:t>Suggested Further Research</w:t>
      </w:r>
    </w:p>
    <w:p>
      <w:pPr>
        <w:ind w:firstLine="432"/>
      </w:pPr>
      <w:r>
        <w:t>1. “Capital in the Twenty-First Century” by Thomas Piketty - Comprehensive analysis of wealth concentration and inequality in modern economies.</w:t>
      </w:r>
    </w:p>
    <w:p>
      <w:pPr>
        <w:ind w:firstLine="432"/>
      </w:pPr>
      <w:r>
        <w:t>2. “Web of Debt” by Ellen Hodgson Brown - Investigation into the monetary system and its role in wealth extraction and economic instability. 3. “Democracy at Work” by Richard Wolff - Analysis of worker cooperatives and economic democracy as alternatives to corporate capitalism. 4. “Basic Income: A Radical Proposal” by Philippe Van Parijs and Yannick Vanderborght - Examination of universal basic income as a solution to economic insecurity and inequality. 5. “The Mystery of Capital” by Hernando de Soto - Analysis of property rights and their role in economic development and poverty reduction. 6. “For the Common Good” by Herman Daly and John Cobb - Ecological economics approach to sustainable and equitable economic development. 7. “Envisioning Real Utopias” by Erik Olin Wright - Analysis of practical alternatives to capitalism and strategies for economic transformation.</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21: The Need for Technological Sovereignty and Protection of Divine Rights</w:t>
      </w:r>
    </w:p>
    <w:p>
      <w:pPr>
        <w:pStyle w:val="Heading2"/>
      </w:pPr>
      <w:r>
        <w:rPr>
          <w:rFonts w:ascii="Times New Roman" w:hAnsi="Times New Roman"/>
          <w:color w:val="000000"/>
          <w:sz w:val="32"/>
        </w:rPr>
        <w:t>Technological Sovereignty and</w:t>
      </w:r>
    </w:p>
    <w:p>
      <w:pPr>
        <w:pStyle w:val="Heading2"/>
      </w:pPr>
      <w:r>
        <w:rPr>
          <w:rFonts w:ascii="Times New Roman" w:hAnsi="Times New Roman"/>
          <w:color w:val="000000"/>
          <w:sz w:val="32"/>
        </w:rPr>
        <w:t>Protection of Divine Rights Introduction</w:t>
      </w:r>
    </w:p>
    <w:p>
      <w:pPr>
        <w:ind w:firstLine="432"/>
      </w:pPr>
      <w:r>
        <w:t>The comprehensive technological surveillance and control systems documented in previous chapters have created an urgent need for technological sovereignty that protects the divine rights and inherent sovereignty of living men and women against techno-totalitarian control. This chapter examines the expressed need for technological frameworks that serve to protect and assist sovereign individuals rather than enabling systematic surveillance, manipulation, and control [1]. The need for technological sovereignty extends beyond traditional concerns about privacy and data protection to encompass the fundamental recognition that every living man and woman possesses divine rights and inherent sovereignty that cannot be violated by technological systems, and that technology must serve to protect these rights rather than undermine them [2].</w:t>
      </w:r>
    </w:p>
    <w:p>
      <w:pPr>
        <w:ind w:firstLine="432"/>
      </w:pPr>
      <w:r>
        <w:t>Understanding this need is crucial for recognizing that living men and women have the absolute right to opt out of any technological control matrix while maintaining their sovereignty and divine connection, and that technological systems must be designed to assist rather than control or make final decisions for sovereign individuals [3].</w:t>
      </w:r>
    </w:p>
    <w:p>
      <w:pPr>
        <w:pStyle w:val="Heading2"/>
      </w:pPr>
      <w:r>
        <w:rPr>
          <w:rFonts w:ascii="Times New Roman" w:hAnsi="Times New Roman"/>
          <w:color w:val="000000"/>
          <w:sz w:val="32"/>
        </w:rPr>
        <w:t>The Divine Rights of Living Men and Women</w:t>
      </w:r>
    </w:p>
    <w:p>
      <w:pPr>
        <w:ind w:firstLine="432"/>
      </w:pPr>
      <w:r>
        <w:t>Every living man and woman possesses inherent divine rights and sovereignty that exist prior to and independent of any government, institution, or technological system. These rights are not granted by human authority but are endowed by the Creator and cannot be legitimately violated or surrendered [4]. The divine right of sovereignty means that each living man and woman has the absolute authority over their own life, body, property, and spiritual destiny, and cannot be subjected to any system of control without their free and informed consent [5]. The right to opt out of any control matrix is fundamental to human sovereignty and means that no technological system, social credit score, surveillance network, or digital identity system can be imposed upon a sovereign individual without their explicit consent [6]. Technology must serve to protect and enhance these divine rights rather than undermining them, and any technological system that violates individual sovereignty or attempts to control sovereign men and women is illegitimate regardless of its claimed benefits or justifications [7].</w:t>
      </w:r>
    </w:p>
    <w:p>
      <w:pPr>
        <w:pStyle w:val="Heading2"/>
      </w:pPr>
      <w:r>
        <w:rPr>
          <w:rFonts w:ascii="Times New Roman" w:hAnsi="Times New Roman"/>
          <w:color w:val="000000"/>
          <w:sz w:val="32"/>
        </w:rPr>
        <w:t>The Nature of Technological Sovereignty</w:t>
      </w:r>
    </w:p>
    <w:p>
      <w:pPr>
        <w:ind w:firstLine="432"/>
      </w:pPr>
      <w:r>
        <w:t>Technological sovereignty refers to the ability of sovereign individuals and communities to control their relationship with technology according to their values and divine rights rather than being subjected to technological systems controlled by external authorities [8]. The concept of technological sovereignty includes both the right to use beneficial technologies and the absolute right to refuse or opt out of any technological system that threatens individual sovereignty or divine rights [9].</w:t>
      </w:r>
    </w:p>
    <w:p>
      <w:pPr>
        <w:ind w:firstLine="432"/>
      </w:pPr>
      <w:r>
        <w:t>Technological sovereignty requires that individuals have complete knowledge and understanding of any technological system they choose to use, with full transparency about how the technology works, who controls it, and what data or information it collects [10]. The achievement of technological sovereignty requires the development of alternative technological systems that serve individual sovereignty while providing mechanisms for sovereign individuals to completely disconnect from any technological grid or control matrix [11].</w:t>
      </w:r>
    </w:p>
    <w:p>
      <w:pPr>
        <w:pStyle w:val="Heading2"/>
      </w:pPr>
      <w:r>
        <w:rPr>
          <w:rFonts w:ascii="Times New Roman" w:hAnsi="Times New Roman"/>
          <w:color w:val="000000"/>
          <w:sz w:val="32"/>
        </w:rPr>
        <w:t>Protection of Sovereignty in the Digital Realm</w:t>
      </w:r>
    </w:p>
    <w:p>
      <w:pPr>
        <w:ind w:firstLine="432"/>
      </w:pPr>
      <w:r>
        <w:t>The protection of individual sovereignty in the digital realm requires that technological systems respect the divine rights and inherent authority of living men and women rather than treating them as data points or resources to be managed [12]. The right to digital sovereignty means that individuals have absolute authority over their digital identity, personal information, and online presence, with the power to control, modify, or completely eliminate their digital footprint at will [13]. The right to technological autonomy requires that individuals have meaningful choice and control over their use of technology while being completely protected against manipulation, coercion, or any form of technological control that violates their sovereignty [14]. The right to opt out of digital systems requires that all technological participation be completely voluntary, with robust mechanisms for individuals to withdraw from any digital system while maintaining their ability to function in society [15].</w:t>
      </w:r>
    </w:p>
    <w:p>
      <w:pPr>
        <w:pStyle w:val="Heading2"/>
      </w:pPr>
      <w:r>
        <w:rPr>
          <w:rFonts w:ascii="Times New Roman" w:hAnsi="Times New Roman"/>
          <w:color w:val="000000"/>
          <w:sz w:val="32"/>
        </w:rPr>
        <w:t>The Failure of Current Technological Governance</w:t>
      </w:r>
    </w:p>
    <w:p>
      <w:pPr>
        <w:ind w:firstLine="432"/>
      </w:pPr>
      <w:r>
        <w:t>The current system of technological governance has systematically failed to protect human rights and democratic values while enabling the concentration of technological power in the hands of a small number of corporations and authoritarian governments [12].</w:t>
      </w:r>
    </w:p>
    <w:p>
      <w:pPr>
        <w:ind w:firstLine="432"/>
      </w:pPr>
      <w:r>
        <w:t>The regulatory capture of technology policy by corporate interests has prevented effective regulation while enabling the development of surveillance and manipulation technologies that serve corporate and government interests rather than human needs [13]. The global nature of technology companies has enabled them to avoid democratic accountability while using their technological power to influence political processes and social behavior [14]. The complexity and opacity of technological systems has made it difficult for democratic institutions and ordinary citizens to understand and control technology while enabling systematic manipulation and abuse [15].</w:t>
      </w:r>
    </w:p>
    <w:p>
      <w:pPr>
        <w:pStyle w:val="Heading2"/>
      </w:pPr>
      <w:r>
        <w:rPr>
          <w:rFonts w:ascii="Times New Roman" w:hAnsi="Times New Roman"/>
          <w:color w:val="000000"/>
          <w:sz w:val="32"/>
        </w:rPr>
        <w:t>The Need for Sovereignty-Protecting Technology Design</w:t>
      </w:r>
    </w:p>
    <w:p>
      <w:pPr>
        <w:ind w:firstLine="432"/>
      </w:pPr>
      <w:r>
        <w:t>Technology design must prioritize the protection of individual sovereignty and divine rights while ensuring that technological systems serve to assist and empower rather than control or manipulate sovereign individuals [16]. Technology design must recognize that living men and women are not users or consumers to be optimized, but sovereign beings with inherent rights who choose to interact with technology on their own terms [17]. Technological systems must be designed with complete transparency and user control while providing robust mechanisms for individuals to modify, limit, or completely disconnect from any technological system [18]. Technology development must serve the protection of individual sovereignty rather than institutional control while ensuring that the benefits of technological progress enhance rather than diminish human freedom and divine connection [19].</w:t>
      </w:r>
    </w:p>
    <w:p>
      <w:pPr>
        <w:pStyle w:val="Heading2"/>
      </w:pPr>
      <w:r>
        <w:rPr>
          <w:rFonts w:ascii="Times New Roman" w:hAnsi="Times New Roman"/>
          <w:color w:val="000000"/>
          <w:sz w:val="32"/>
        </w:rPr>
        <w:t>Open Source and Decentralized Technologies</w:t>
      </w:r>
    </w:p>
    <w:p>
      <w:pPr>
        <w:ind w:firstLine="432"/>
      </w:pPr>
      <w:r>
        <w:t>Open source software and decentralized technologies provide alternatives to corporate-controlled technological systems while</w:t>
      </w:r>
    </w:p>
    <w:p>
      <w:pPr>
        <w:ind w:firstLine="432"/>
      </w:pPr>
      <w:r>
        <w:t>enabling democratic participation in technology development and governance [20]. Open source development models enable collaborative technology development while ensuring that technological knowledge remains accessible to all rather than being controlled by private corporations [21]. Decentralized technologies such as blockchain and peer-to-peer networks can enable economic and social organization outside centralized control systems while providing alternatives to corporate platforms [22]. The development of open source and decentralized alternatives requires public investment and support while building the technical capacity necessary for technological sovereignty [23].</w:t>
      </w:r>
    </w:p>
    <w:p>
      <w:pPr>
        <w:pStyle w:val="Heading2"/>
      </w:pPr>
      <w:r>
        <w:rPr>
          <w:rFonts w:ascii="Times New Roman" w:hAnsi="Times New Roman"/>
          <w:color w:val="000000"/>
          <w:sz w:val="32"/>
        </w:rPr>
        <w:t>Privacy and Encryption Technologies</w:t>
      </w:r>
    </w:p>
    <w:p>
      <w:pPr>
        <w:ind w:firstLine="432"/>
      </w:pPr>
      <w:r>
        <w:t>Strong privacy and encryption technologies are essential for protecting human rights and democratic governance against surveillance and manipulation by both governments and corporations [24]. Encryption technologies enable private communication and secure data storage while protecting individuals and organizations against surveillance and interference [25]. Privacy-preserving technologies can enable beneficial uses of data and artificial intelligence while protecting individual privacy and preventing systematic surveillance [26]. The development and deployment of privacy technologies requires legal protection against government attempts to weaken encryption while ensuring that privacy tools are accessible to all [27].</w:t>
      </w:r>
    </w:p>
    <w:p>
      <w:pPr>
        <w:pStyle w:val="Heading2"/>
      </w:pPr>
      <w:r>
        <w:rPr>
          <w:rFonts w:ascii="Times New Roman" w:hAnsi="Times New Roman"/>
          <w:color w:val="000000"/>
          <w:sz w:val="32"/>
        </w:rPr>
        <w:t>Artificial Intelligence and Algorithmic Accountability</w:t>
      </w:r>
    </w:p>
    <w:p>
      <w:pPr>
        <w:ind w:firstLine="432"/>
      </w:pPr>
      <w:r>
        <w:t>The development of artificial intelligence and automated decision- making systems requires democratic governance to ensure that these technologies serve human needs rather than enabling systematic discrimination and manipulation [28].</w:t>
      </w:r>
    </w:p>
    <w:p>
      <w:pPr>
        <w:ind w:firstLine="432"/>
      </w:pPr>
      <w:r>
        <w:t>Algorithmic accountability requires that automated systems be transparent and explainable while enabling democratic oversight and individual recourse against algorithmic decisions [29]. AI development must be guided by human rights principles while ensuring that artificial intelligence augments rather than replaces human judgment and decision-making [30]. The governance of AI requires international cooperation to prevent the development of autonomous weapons and surveillance systems while promoting beneficial uses of artificial intelligence [31].</w:t>
      </w:r>
    </w:p>
    <w:p>
      <w:pPr>
        <w:pStyle w:val="Heading2"/>
      </w:pPr>
      <w:r>
        <w:rPr>
          <w:rFonts w:ascii="Times New Roman" w:hAnsi="Times New Roman"/>
          <w:color w:val="000000"/>
          <w:sz w:val="32"/>
        </w:rPr>
        <w:t>Digital Infrastructure and Public Ownership</w:t>
      </w:r>
    </w:p>
    <w:p>
      <w:pPr>
        <w:ind w:firstLine="432"/>
      </w:pPr>
      <w:r>
        <w:t>The control of digital infrastructure by private corporations has created systematic vulnerabilities while enabling corporate control over essential communication and information systems [32]. Public ownership and democratic control of digital infrastructure can ensure that essential digital services serve the public interest while preventing corporate manipulation and control [33]. Municipal broadband and public digital services can provide alternatives to corporate platforms while ensuring universal access to digital technologies [34]. The development of public digital infrastructure requires public investment and technical capacity while building alternatives to corporate-controlled systems [35].</w:t>
      </w:r>
    </w:p>
    <w:p>
      <w:pPr>
        <w:pStyle w:val="Heading2"/>
      </w:pPr>
      <w:r>
        <w:rPr>
          <w:rFonts w:ascii="Times New Roman" w:hAnsi="Times New Roman"/>
          <w:color w:val="000000"/>
          <w:sz w:val="32"/>
        </w:rPr>
        <w:t>Data Governance and Information Commons</w:t>
      </w:r>
    </w:p>
    <w:p>
      <w:pPr>
        <w:ind w:firstLine="432"/>
      </w:pPr>
      <w:r>
        <w:t>The current system of data governance has enabled the systematic extraction and manipulation of personal data while concentrating the benefits of data analysis in the hands of a small number of corporations [36]. Data governance frameworks must balance individual privacy rights with the social benefits of data sharing while preventing the</w:t>
      </w:r>
    </w:p>
    <w:p>
      <w:pPr>
        <w:ind w:firstLine="432"/>
      </w:pPr>
      <w:r>
        <w:t>concentration of data power in private hands [37]. Information commons approaches can enable beneficial uses of data while ensuring that the benefits of information and knowledge are shared equitably among all members of society [38]. Democratic data governance requires public participation in data policy while ensuring that data systems serve the common good rather than private profit [39].</w:t>
      </w:r>
    </w:p>
    <w:p>
      <w:pPr>
        <w:pStyle w:val="Heading2"/>
      </w:pPr>
      <w:r>
        <w:rPr>
          <w:rFonts w:ascii="Times New Roman" w:hAnsi="Times New Roman"/>
          <w:color w:val="000000"/>
          <w:sz w:val="32"/>
        </w:rPr>
        <w:t>Cybersecurity and Digital Resilience</w:t>
      </w:r>
    </w:p>
    <w:p>
      <w:pPr>
        <w:ind w:firstLine="432"/>
      </w:pPr>
      <w:r>
        <w:t>The increasing dependence on digital technologies has created systematic vulnerabilities that can be exploited by hostile actors while threatening essential services and democratic institutions [40]. Cybersecurity must be approached as a public good rather than a private commodity while ensuring that security measures do not undermine privacy rights and democratic governance [41]. Digital resilience requires diverse and decentralized technological systems while reducing dependence on vulnerable centralized systems [42]. International cooperation on cybersecurity must address both state and non-state threats while preventing the militarization of cyberspace and protecting civilian digital infrastructure [43].</w:t>
      </w:r>
    </w:p>
    <w:p>
      <w:pPr>
        <w:pStyle w:val="Heading2"/>
      </w:pPr>
      <w:r>
        <w:rPr>
          <w:rFonts w:ascii="Times New Roman" w:hAnsi="Times New Roman"/>
          <w:color w:val="000000"/>
          <w:sz w:val="32"/>
        </w:rPr>
        <w:t>Digital Education and Technological Literacy</w:t>
      </w:r>
    </w:p>
    <w:p>
      <w:pPr>
        <w:ind w:firstLine="432"/>
      </w:pPr>
      <w:r>
        <w:t>The complexity of modern technology requires comprehensive digital education to ensure that all citizens have the knowledge and skills necessary to participate in digital society while protecting themselves against manipulation and abuse [44]. Digital literacy education must address not only technical skills but also critical thinking about technology while enabling citizens to make informed decisions about their use of technology [45]. Public education about technology must be independent of corporate influence while providing accurate information about the benefits and</w:t>
      </w:r>
    </w:p>
    <w:p>
      <w:pPr>
        <w:ind w:firstLine="432"/>
      </w:pPr>
      <w:r>
        <w:t>risks of different technological systems [46]. Technological literacy requires understanding of how technology works, who controls it, and how it affects society while enabling democratic participation in technological decision-making [47].</w:t>
      </w:r>
    </w:p>
    <w:p>
      <w:pPr>
        <w:pStyle w:val="Heading2"/>
      </w:pPr>
      <w:r>
        <w:rPr>
          <w:rFonts w:ascii="Times New Roman" w:hAnsi="Times New Roman"/>
          <w:color w:val="000000"/>
          <w:sz w:val="32"/>
        </w:rPr>
        <w:t>International Cooperation and Technology Transfer</w:t>
      </w:r>
    </w:p>
    <w:p>
      <w:pPr>
        <w:ind w:firstLine="432"/>
      </w:pPr>
      <w:r>
        <w:t>The global nature of technology requires international cooperation among democratic societies to develop alternative technological systems while resisting authoritarian and corporate technological dominance [48]. Technology transfer and cooperation can enable developing countries to build technological capacity while avoiding dependence on authoritarian or corporate technological systems [49]. International standards and agreements can promote human rights and democratic values in technology while preventing the use of technology for authoritarian control [50]. Cooperation among democratic societies can create alternatives to authoritarian technological systems while building the collective capacity necessary for technological sovereignty [51].</w:t>
      </w:r>
    </w:p>
    <w:p>
      <w:pPr>
        <w:pStyle w:val="Heading2"/>
      </w:pPr>
      <w:r>
        <w:rPr>
          <w:rFonts w:ascii="Times New Roman" w:hAnsi="Times New Roman"/>
          <w:color w:val="000000"/>
          <w:sz w:val="32"/>
        </w:rPr>
        <w:t>Transition Strategies and Implementation</w:t>
      </w:r>
    </w:p>
    <w:p>
      <w:pPr>
        <w:ind w:firstLine="432"/>
      </w:pPr>
      <w:r>
        <w:t>The transition to technological sovereignty and digital rights requires careful planning and implementation strategies that can address the entrenched power of existing technological systems while building alternatives [52]. Gradual transition strategies can build technological capacity while avoiding the disruption that could undermine support for technological reform [53]. Public investment in alternative technologies can create the infrastructure and capacity necessary for technological sovereignty while supporting innovation and development [54].</w:t>
      </w:r>
    </w:p>
    <w:p>
      <w:pPr>
        <w:ind w:firstLine="432"/>
      </w:pPr>
      <w:r>
        <w:t>Popular education and organizing can build the political support necessary for technological reform while creating the social movements necessary to overcome resistance from entrenched technological interests [55].</w:t>
      </w:r>
    </w:p>
    <w:p>
      <w:pPr>
        <w:pStyle w:val="Heading2"/>
      </w:pPr>
      <w:r>
        <w:rPr>
          <w:rFonts w:ascii="Times New Roman" w:hAnsi="Times New Roman"/>
          <w:color w:val="000000"/>
          <w:sz w:val="32"/>
        </w:rPr>
        <w:t>Key Quotes</w:t>
      </w:r>
    </w:p>
    <w:p>
      <w:pPr>
        <w:ind w:firstLine="432"/>
      </w:pPr>
      <w:r>
        <w:t>“The real question is not whether machines think but whether men do.” - B.F. Skinner “Technology is neither good nor bad; nor is it neutral.” - Melvin Kranzberg “We are not going to be able to operate our Spaceship Earth successfully nor for much longer unless we see it as a whole spaceship and our fate as common.” - Buckminster Fuller “The Internet is becoming the town square for the global village of tomorrow.” - Bill Gates “Privacy is not something that I’m merely entitled to, it’s an absolute prerequisite.” - Marlon Brando</w:t>
      </w:r>
    </w:p>
    <w:p>
      <w:pPr>
        <w:pStyle w:val="Heading2"/>
      </w:pPr>
      <w:r>
        <w:rPr>
          <w:rFonts w:ascii="Times New Roman" w:hAnsi="Times New Roman"/>
          <w:color w:val="000000"/>
          <w:sz w:val="32"/>
        </w:rPr>
        <w:t>Real-World Examples</w:t>
      </w:r>
    </w:p>
    <w:p>
      <w:pPr>
        <w:ind w:firstLine="432"/>
      </w:pPr>
      <w:r>
        <w:t>Example 1: Estonia’s Digital Sovereignty Estonia has developed comprehensive digital infrastructure and e- governance systems that demonstrate how small countries can achieve technological sovereignty while providing secure and efficient digital services. Estonia’s approach shows how democratic societies can control their technological destiny while building resilience against cyber threats. Example 2: The European Union’s GDPR The EU’s General Data Protection Regulation demonstrates how democratic societies can assert control over technology companies while protecting individual privacy rights. GDPR shows both the</w:t>
      </w:r>
    </w:p>
    <w:p>
      <w:pPr>
        <w:ind w:firstLine="432"/>
      </w:pPr>
      <w:r>
        <w:t>potential and limitations of regulatory approaches to technology governance. Example 3: China’s Social Credit System China’s social credit system demonstrates how technology can be used for authoritarian control while showing the dangers of allowing governments to use technology for systematic surveillance and behavior modification. The system highlights the urgent need for democratic alternatives to authoritarian technology.</w:t>
      </w:r>
    </w:p>
    <w:p>
      <w:pPr>
        <w:pStyle w:val="Heading2"/>
      </w:pPr>
      <w:r>
        <w:rPr>
          <w:rFonts w:ascii="Times New Roman" w:hAnsi="Times New Roman"/>
          <w:color w:val="000000"/>
          <w:sz w:val="32"/>
        </w:rPr>
        <w:t>References and Sources</w:t>
      </w:r>
    </w:p>
    <w:p>
      <w:pPr>
        <w:ind w:firstLine="432"/>
      </w:pPr>
      <w:r>
        <w:t>[1] Winner, Langdon. “The Whale and the Reactor: A Search for Limits in an Age of High Technology.” University of Chicago Press, 1986. [2] Feenberg, Andrew. “Democratic Rationalization: Technology, Power, and Freedom.” The Technology of Democracy, 1992. [3] Bijker, Wiebe E., et al. “The Social Construction of Technological Systems: New Directions in the Sociology and History of Technology.” MIT Press, 1987. [4] Pohle, Julia, and Thilo Marauhn. “Digital Sovereignty: A New Key Concept of Digital Policy in Germany and Europe.” Konrad-Adenauer- Stiftung, 2020. [5] Couture, Stéphane, and Sophie Toupin. “What Does the Notion of ‘Sovereignty’ Mean When Referring to the Digital?” New Media &amp; Society, 2019. [6] Floridi, Luciano. “The Fourth Revolution: How the Infosphere is Reshaping Human Reality.” Oxford University Press, 2014. [7] Schia, Niels Nagelhus. “The Cyber Frontier and Digital Pitfalls in the Global South.” Third World Quarterly, 2018. [8] Jørgensen, Rikke Frank. “Human Rights in the Age of Platforms.” MIT Press, 2019. [9] Solove, Daniel J. “Understanding Privacy.” Harvard University Press, 2008.</w:t>
      </w:r>
    </w:p>
    <w:p>
      <w:pPr>
        <w:ind w:firstLine="432"/>
      </w:pPr>
      <w:r>
        <w:t>[10] Zuboff, Shoshana. “The Age of Surveillance Capitalism: The Fight for a Human Future at the New Frontier of Power.” PublicAffairs, 2019. [11] Gurumurthy, Anita, and Nandini Chami. “Digital Justice: A Rights- Based Framework for Digital Inclusion.” IT for Change, 2020. [12] Wu, Tim. “The Master Switch: The Rise and Fall of Information Empires.” Knopf, 2010. [13] Lessig, Lawrence. “Code: And Other Laws of Cyberspace.” Basic Books, 1999. [14] Srnicek, Nick. “Platform Capitalism.” Polity Press, 2017. [15] Pasquale, Frank. “The Black Box Society: The Secret Algorithms That Control Money and Information.” Harvard University Press, 2015. [16] Winner, Langdon. “Do Artifacts Have Politics?” Daedalus, 1980. [17] Verbeek, Peter-Paul. “What Things Do: Philosophical Reflections on Technology, Agency, and Design.” Pennsylvania State University Press, 2011. [18] Stilgoe, Jack, et al. “Developing a Framework for Responsible Innovation.” Research Policy, 2013. [19] Mazzucato, Mariana. “The Value of Everything: Making and Taking in the Global Economy.” Allen Lane, 2018. [20] Weber, Steven. “The Success of Open Source.” Harvard University Press, 2004. [21] Raymond, Eric S. “The Cathedral and the Bazaar: Musings on Linux and Open Source by an Accidental Revolutionary.” O’Reilly Media, 1999. [22] Benkler, Yochai. “The Wealth of Networks: How Social Production Transforms Markets and Freedom.” Yale University Press, 2006. [23] Kelty, Christopher M. “Two Bits: The Cultural Significance of Free Software.” Duke University Press, 2008. [24] Diffie, Whitfield, and Martin E. Hellman. “New Directions in Cryptography.” IEEE Transactions on Information Theory, 1976.</w:t>
      </w:r>
    </w:p>
    <w:p>
      <w:pPr>
        <w:ind w:firstLine="432"/>
      </w:pPr>
      <w:r>
        <w:t>[25] Schneier, Bruce. “Data and Goliath: The Hidden Battles to Collect Your Data and Control Your World.” W. W. Norton &amp; Company, 2015. [26] Dwork, Cynthia, and Aaron Roth. “The Algorithmic Foundations of Differential Privacy.” Foundations and Trends in Theoretical Computer Science, 2014. [27] Landau, Susan. “Listening In: Cybersecurity in an Insecure Age.” Yale University Press, 2017. [28] O’Neil, Cathy. “Weapons of Math Destruction: How Big Data Increases Inequality and Threatens Democracy.” Crown, 2016. [29] Diakopoulos, Nicholas. “Accountability in Algorithmic Decision Making.” Communications of the ACM, 2016. [30] Russell, Stuart. “Human Compatible: Artificial Intelligence and the Problem of Control.” Viking, 2019. [31] Floridi, Luciano, et al. “AI4People—An Ethical Framework for a Good AI Society.” Minds and Machines, 2018. [32] Galloway, Alexander R. “Protocol: How Control Exists after Decentralization.” MIT Press, 2004. [33] Bauwens, Michel, et al. “Peer to Peer: The Commons Manifesto.” University of Westminster Press, 2019. [34] Sandvig, Christian. “The Internet as Infrastructure and Idea.” Digital Media and Society, 2015. [35] Pickard, Victor. “Democracy without Journalism? Confronting the Misinformation Society.” Oxford University Press, 2019. [36] Zuboff, Shoshana. “Big Other: Surveillance Capitalism and the Prospects of an Information Civilization.” Journal of Information Technology, 2015. [37] McDonald, Sean, and Keith Porcaro. “The Data Commons: A New Framework for Data Governance.” Stanford Social Innovation Review, 2019. [38] Hess, Charlotte, and Elinor Ostrom. “Understanding Knowledge as a Commons: From Theory to Practice.” MIT Press, 2007.</w:t>
      </w:r>
    </w:p>
    <w:p>
      <w:pPr>
        <w:ind w:firstLine="432"/>
      </w:pPr>
      <w:r>
        <w:t>[39] Morozov, Evgeny. “The Tech ‘Solutions’ for Coronavirus Take the Surveillance State Global.” The Guardian, 2020. [40] Clarke, Richard A., and Robert K. Knake. “Cyber War: The Next Threat to National Security and What to Do About It.” Ecco, 2010. [41] Deibert, Ronald J. “Black Code: Surveillance, Privacy, and the Dark Side of the Internet.” Signal, 2013. [42] Benkler, Yochai. “Network Pragmatism: Towards an Open Social Structure.” Harvard Law Review, 2001. [43] Nye, Joseph S. “The Future of Power.” PublicAffairs, 2011. [44] Selwyn, Neil. “Education and Technology: Key Issues and Debates.” Continuum, 2011. [45] Buckingham, David. “The Media Education Book.” Polity Press, 2003. [46] Noble, David F. “Technology and the Degradation of Work.” Monthly Labor Review, 1979. [47] Feenberg, Andrew. “Questioning Technology.” Routledge, 1999. [48] Keohane, Robert O., and Joseph S. Nye. “Power and Interdependence in the Information Age.” Foreign Affairs, 1998. [49] Kim, Linsu. “Imitation to Innovation: The Dynamics of Korea’s Technological Learning.” Harvard Business School Press, 1997. [50] DeNardis, Laura. “The Global War for Internet Governance.” Yale University Press, 2014. [51] Pohle, Julia. “Digital Sovereignty and the EU’s Digital Decade.” Stiftung Wissenschaft und Politik, 2021. [52] Geels, Frank W. “Technological Transitions as Evolutionary Reconfiguration Processes.” Research Policy, 2002. [53] Hughes, Thomas P. “The Evolution of Large Technological Systems.” The Social Construction of Technological Systems, 1987. [54] Mazzucato, Mariana. “The Entrepreneurial State: Debunking Public vs. Private Sector Myths.” Anthem Press, 2013.</w:t>
      </w:r>
    </w:p>
    <w:p>
      <w:pPr>
        <w:ind w:firstLine="432"/>
      </w:pPr>
      <w:r>
        <w:t>[55] Feenberg, Andrew. “Democratic Rationalization: Technology, Power, and Freedom.” Guilford Press, 1991.</w:t>
      </w:r>
    </w:p>
    <w:p>
      <w:pPr>
        <w:pStyle w:val="Heading2"/>
      </w:pPr>
      <w:r>
        <w:rPr>
          <w:rFonts w:ascii="Times New Roman" w:hAnsi="Times New Roman"/>
          <w:color w:val="000000"/>
          <w:sz w:val="32"/>
        </w:rPr>
        <w:t>Suggested Further Research</w:t>
      </w:r>
    </w:p>
    <w:p>
      <w:pPr>
        <w:ind w:firstLine="432"/>
      </w:pPr>
      <w:r>
        <w:t>1. “The Age of Surveillance Capitalism” by Shoshana Zuboff - Comprehensive analysis of how technology companies extract value from human behavior and experience. 2. “Weapons of Math Destruction” by Cathy O’Neil - Investigation into how algorithms and big data systems perpetuate inequality and undermine democracy. 3. “The Wealth of Networks” by Yochai Benkler - Analysis of how peer-to-peer technologies can enable democratic participation and economic cooperation. 4. “Human Compatible” by Stuart Russell - Examination of artificial intelligence development and the need for human- centered AI governance. 5. “Code: And Other Laws of Cyberspace” by Lawrence Lessig - Analysis of how software code functions as law and the need for democratic control of technology. 6. “Platform Capitalism” by Nick Srnicek - Investigation into how digital platforms concentrate economic and political power. 7. “The Master Switch” by Tim Wu - Historical analysis of information industries and the cycles of openness and control in communication technologies.</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22: The Need for Environmental Protection and Ecological Restoration</w:t>
      </w:r>
    </w:p>
    <w:p>
      <w:pPr>
        <w:pStyle w:val="Heading2"/>
      </w:pPr>
      <w:r>
        <w:rPr>
          <w:rFonts w:ascii="Times New Roman" w:hAnsi="Times New Roman"/>
          <w:color w:val="000000"/>
          <w:sz w:val="32"/>
        </w:rPr>
        <w:t>Environmental Protection and</w:t>
      </w:r>
    </w:p>
    <w:p>
      <w:pPr>
        <w:pStyle w:val="Heading2"/>
      </w:pPr>
      <w:r>
        <w:rPr>
          <w:rFonts w:ascii="Times New Roman" w:hAnsi="Times New Roman"/>
          <w:color w:val="000000"/>
          <w:sz w:val="32"/>
        </w:rPr>
        <w:t>Ecological Restoration Introduction</w:t>
      </w:r>
    </w:p>
    <w:p>
      <w:pPr>
        <w:ind w:firstLine="432"/>
      </w:pPr>
      <w:r>
        <w:t>The systematic environmental destruction and manipulation documented in previous chapters has created an urgent need for</w:t>
      </w:r>
    </w:p>
    <w:p>
      <w:pPr>
        <w:ind w:firstLine="432"/>
      </w:pPr>
      <w:r>
        <w:t>comprehensive environmental protection and ecological restoration that can address both natural environmental degradation and artificial environmental manipulation. This chapter examines the expressed need for environmental frameworks that protect natural systems while preventing the use of environmental justifications for authoritarian control and economic exploitation [1]. The need for environmental protection extends beyond traditional conservation concerns to encompass fundamental questions about the relationship between human society and natural systems, and the prevention of environmental manipulation technologies that threaten both ecological integrity and human freedom [2]. Understanding this need is crucial for recognizing that environmental protection and human freedom are interconnected, and that environmental policies must serve both ecological integrity and human dignity rather than enabling authoritarian control or corporate exploitation [3].</w:t>
      </w:r>
    </w:p>
    <w:p>
      <w:pPr>
        <w:pStyle w:val="Heading2"/>
      </w:pPr>
      <w:r>
        <w:rPr>
          <w:rFonts w:ascii="Times New Roman" w:hAnsi="Times New Roman"/>
          <w:color w:val="000000"/>
          <w:sz w:val="32"/>
        </w:rPr>
        <w:t>The Nature of Environmental Rights</w:t>
      </w:r>
    </w:p>
    <w:p>
      <w:pPr>
        <w:ind w:firstLine="432"/>
      </w:pPr>
      <w:r>
        <w:t>Environmental rights represent the recognition that human beings have a fundamental right to a healthy environment while also having obligations to protect natural systems for future generations [4]. The concept of environmental rights includes both the right to environmental quality that supports human health and well-being and the right to participate in environmental decision-making that affects communities and ecosystems [5]. Environmental rights must be balanced with other human rights while ensuring that environmental protection does not become a justification for restricting human freedom or economic development [6]. The enforcement of environmental rights requires legal frameworks that can address both government and corporate environmental violations while providing effective remedies for environmental harm [7].</w:t>
      </w:r>
    </w:p>
    <w:p>
      <w:pPr>
        <w:pStyle w:val="Heading2"/>
      </w:pPr>
      <w:r>
        <w:rPr>
          <w:rFonts w:ascii="Times New Roman" w:hAnsi="Times New Roman"/>
          <w:color w:val="000000"/>
          <w:sz w:val="32"/>
        </w:rPr>
        <w:t>The Failure of Current Environmental Governance</w:t>
      </w:r>
    </w:p>
    <w:p>
      <w:pPr>
        <w:ind w:firstLine="432"/>
      </w:pPr>
      <w:r>
        <w:t>The current system of environmental governance has systematically failed to protect natural systems while enabling the concentration of environmental decision-making in the hands of government bureaucracies and corporate interests [8]. Environmental regulations have often been captured by the industries they are supposed to regulate while creating barriers to innovation and economic development that serve established interests [9]. International environmental agreements have been used to impose economic and political constraints on developing countries while failing to address the environmental impacts of wealthy nations and multinational corporations [10]. The complexity and technical nature of environmental policy has excluded ordinary citizens from environmental decision-making while enabling special interests to influence outcomes through lobbying and expertise [11].</w:t>
      </w:r>
    </w:p>
    <w:p>
      <w:pPr>
        <w:pStyle w:val="Heading2"/>
      </w:pPr>
      <w:r>
        <w:rPr>
          <w:rFonts w:ascii="Times New Roman" w:hAnsi="Times New Roman"/>
          <w:color w:val="000000"/>
          <w:sz w:val="32"/>
        </w:rPr>
        <w:t>Climate Policy and Democratic Governance</w:t>
      </w:r>
    </w:p>
    <w:p>
      <w:pPr>
        <w:ind w:firstLine="432"/>
      </w:pPr>
      <w:r>
        <w:t>The climate change issue has been systematically manipulated to justify authoritarian policies and economic controls that serve elite interests while failing to address genuine environmental concerns [12]. Climate policies must be based on scientific evidence rather than political and economic interests while respecting national sovereignty and democratic decision-making [13]. The use of climate justifications for carbon taxes, energy restrictions, and economic controls must be carefully evaluated to ensure that these policies serve environmental protection rather than revenue generation and social control [14]. Climate adaptation and mitigation strategies must serve local communities and ecosystems rather than global financial interests while building resilience and sustainability [15].</w:t>
      </w:r>
    </w:p>
    <w:p>
      <w:pPr>
        <w:pStyle w:val="Heading2"/>
      </w:pPr>
      <w:r>
        <w:rPr>
          <w:rFonts w:ascii="Times New Roman" w:hAnsi="Times New Roman"/>
          <w:color w:val="000000"/>
          <w:sz w:val="32"/>
        </w:rPr>
        <w:t>Geoengineering and Environmental Manipulation</w:t>
      </w:r>
    </w:p>
    <w:p>
      <w:pPr>
        <w:ind w:firstLine="432"/>
      </w:pPr>
      <w:r>
        <w:t>The development of geoengineering technologies represents a fundamental threat to environmental integrity and democratic governance by enabling the artificial manipulation of natural systems for political and economic purposes [16]. Weather modification and atmospheric manipulation technologies can be used as weapons of war and tools of social control while creating unpredictable environmental consequences [17]. The governance of geoengineering requires international cooperation and democratic oversight to prevent the use of these technologies for hostile purposes while protecting environmental integrity [18]. The precautionary principle requires that geoengineering technologies be prohibited or strictly regulated until their safety and necessity can be demonstrated through transparent and democratic processes [19].</w:t>
      </w:r>
    </w:p>
    <w:p>
      <w:pPr>
        <w:pStyle w:val="Heading2"/>
      </w:pPr>
      <w:r>
        <w:rPr>
          <w:rFonts w:ascii="Times New Roman" w:hAnsi="Times New Roman"/>
          <w:color w:val="000000"/>
          <w:sz w:val="32"/>
        </w:rPr>
        <w:t>Pollution and Environmental Justice</w:t>
      </w:r>
    </w:p>
    <w:p>
      <w:pPr>
        <w:ind w:firstLine="432"/>
      </w:pPr>
      <w:r>
        <w:t>Environmental pollution disproportionately affects poor and marginalized communities while enabling wealthy individuals and corporations to externalize the environmental costs of their activities [20]. Environmental justice requires that all communities have equal protection from environmental harm while ensuring that environmental policies do not create additional burdens for disadvantaged populations [21]. The regulation of pollution must address both point sources and diffuse sources while providing effective enforcement mechanisms that can hold polluters accountable for environmental harm [22]. Environmental remediation and restoration must prioritize the most affected communities while ensuring that cleanup efforts serve community needs rather than development interests [23].</w:t>
      </w:r>
    </w:p>
    <w:p>
      <w:pPr>
        <w:pStyle w:val="Heading2"/>
      </w:pPr>
      <w:r>
        <w:rPr>
          <w:rFonts w:ascii="Times New Roman" w:hAnsi="Times New Roman"/>
          <w:color w:val="000000"/>
          <w:sz w:val="32"/>
        </w:rPr>
        <w:t>Natural Resource Management and Commons</w:t>
      </w:r>
    </w:p>
    <w:p>
      <w:pPr>
        <w:ind w:firstLine="432"/>
      </w:pPr>
      <w:r>
        <w:t>The privatization and commodification of natural resources has enabled systematic environmental destruction while concentrating the benefits</w:t>
      </w:r>
    </w:p>
    <w:p>
      <w:pPr>
        <w:ind w:firstLine="432"/>
      </w:pPr>
      <w:r>
        <w:t>of resource extraction among wealthy elites [24]. Common ownership and democratic management of natural resources can ensure sustainable use while distributing the benefits of resource extraction equitably among all members of society [25]. Indigenous and traditional resource management systems provide models for sustainable resource use that can inform contemporary environmental policy while respecting cultural diversity and local knowledge [26]. The governance of natural resources must balance conservation with sustainable development while ensuring that resource management serves the common good rather than private profit [27].</w:t>
      </w:r>
    </w:p>
    <w:p>
      <w:pPr>
        <w:pStyle w:val="Heading2"/>
      </w:pPr>
      <w:r>
        <w:rPr>
          <w:rFonts w:ascii="Times New Roman" w:hAnsi="Times New Roman"/>
          <w:color w:val="000000"/>
          <w:sz w:val="32"/>
        </w:rPr>
        <w:t>Biodiversity and Ecosystem Protection</w:t>
      </w:r>
    </w:p>
    <w:p>
      <w:pPr>
        <w:ind w:firstLine="432"/>
      </w:pPr>
      <w:r>
        <w:t>The systematic destruction of biodiversity and ecosystems represents a fundamental threat to human survival while eliminating the natural systems that provide essential ecological services [28]. Ecosystem protection requires comprehensive approaches that address both habitat conservation and the underlying economic and political drivers of environmental destruction [29]. The protection of biodiversity must address both species conservation and ecosystem integrity while ensuring that conservation efforts serve ecological and community needs rather than elite interests [30]. International cooperation on biodiversity protection must respect national sovereignty while addressing transboundary environmental threats and promoting sustainable development [31].</w:t>
      </w:r>
    </w:p>
    <w:p>
      <w:pPr>
        <w:pStyle w:val="Heading2"/>
      </w:pPr>
      <w:r>
        <w:rPr>
          <w:rFonts w:ascii="Times New Roman" w:hAnsi="Times New Roman"/>
          <w:color w:val="000000"/>
          <w:sz w:val="32"/>
        </w:rPr>
        <w:t>Agriculture and Food Systems</w:t>
      </w:r>
    </w:p>
    <w:p>
      <w:pPr>
        <w:ind w:firstLine="432"/>
      </w:pPr>
      <w:r>
        <w:t>The industrialization of agriculture has created systematic environmental destruction while concentrating control of food systems in the hands of multinational corporations [32]. Sustainable agriculture requires approaches that protect soil, water, and biodiversity while providing food security and economic opportunities for rural communities [33].</w:t>
      </w:r>
    </w:p>
    <w:p>
      <w:pPr>
        <w:ind w:firstLine="432"/>
      </w:pPr>
      <w:r>
        <w:t>Organic and regenerative farming methods can restore ecosystem health while providing alternatives to industrial agriculture that serve environmental and community needs [34]. Food sovereignty requires that communities have control over their food systems while ensuring that agricultural policies serve local needs rather than global corporate interests [35].</w:t>
      </w:r>
    </w:p>
    <w:p>
      <w:pPr>
        <w:pStyle w:val="Heading2"/>
      </w:pPr>
      <w:r>
        <w:rPr>
          <w:rFonts w:ascii="Times New Roman" w:hAnsi="Times New Roman"/>
          <w:color w:val="000000"/>
          <w:sz w:val="32"/>
        </w:rPr>
        <w:t>Energy Systems and Environmental Impact</w:t>
      </w:r>
    </w:p>
    <w:p>
      <w:pPr>
        <w:ind w:firstLine="432"/>
      </w:pPr>
      <w:r>
        <w:t>The current energy system based on fossil fuels has created systematic environmental destruction while concentrating energy control in the hands of multinational corporations and authoritarian governments [36]. Renewable energy systems can provide alternatives to fossil fuels while ensuring that energy development serves community needs rather than corporate profit [37]. The transition to renewable energy must be managed democratically while ensuring that energy policies serve environmental protection and energy security rather than financial speculation [38]. Decentralized and community-owned energy systems can provide alternatives to centralized energy monopolies while building local resilience and democratic control [39].</w:t>
      </w:r>
    </w:p>
    <w:p>
      <w:pPr>
        <w:pStyle w:val="Heading2"/>
      </w:pPr>
      <w:r>
        <w:rPr>
          <w:rFonts w:ascii="Times New Roman" w:hAnsi="Times New Roman"/>
          <w:color w:val="000000"/>
          <w:sz w:val="32"/>
        </w:rPr>
        <w:t>Water Resources and Aquatic Ecosystems</w:t>
      </w:r>
    </w:p>
    <w:p>
      <w:pPr>
        <w:ind w:firstLine="432"/>
      </w:pPr>
      <w:r>
        <w:t>The privatization and pollution of water resources represents a fundamental threat to human survival while enabling corporate control of essential life-support systems [40]. Water rights and water management must ensure universal access to clean water while protecting aquatic ecosystems and preventing the commodification of water resources [41]. Watershed management requires integrated approaches that address both water quality and quantity while ensuring that water policies serve</w:t>
      </w:r>
    </w:p>
    <w:p>
      <w:pPr>
        <w:ind w:firstLine="432"/>
      </w:pPr>
      <w:r>
        <w:t>ecosystem and community needs [42]. International cooperation on water resources must address transboundary water conflicts while respecting national sovereignty and promoting equitable water sharing [43].</w:t>
      </w:r>
    </w:p>
    <w:p>
      <w:pPr>
        <w:pStyle w:val="Heading2"/>
      </w:pPr>
      <w:r>
        <w:rPr>
          <w:rFonts w:ascii="Times New Roman" w:hAnsi="Times New Roman"/>
          <w:color w:val="000000"/>
          <w:sz w:val="32"/>
        </w:rPr>
        <w:t>Urban Environment and Sustainable Cities</w:t>
      </w:r>
    </w:p>
    <w:p>
      <w:pPr>
        <w:ind w:firstLine="432"/>
      </w:pPr>
      <w:r>
        <w:t>The concentration of population in urban areas has created systematic environmental problems while offering opportunities for sustainable development and environmental innovation [44]. Sustainable urban planning can reduce environmental impact while improving quality of life through green infrastructure, public transportation, and community-oriented development [45]. Urban agriculture and green spaces can provide environmental benefits while building community resilience and food security [46]. Democratic urban governance can ensure that urban development serves community needs while protecting environmental quality and promoting social equity [47].</w:t>
      </w:r>
    </w:p>
    <w:p>
      <w:pPr>
        <w:pStyle w:val="Heading2"/>
      </w:pPr>
      <w:r>
        <w:rPr>
          <w:rFonts w:ascii="Times New Roman" w:hAnsi="Times New Roman"/>
          <w:color w:val="000000"/>
          <w:sz w:val="32"/>
        </w:rPr>
        <w:t>Environmental Education and Public Participation</w:t>
      </w:r>
    </w:p>
    <w:p>
      <w:pPr>
        <w:ind w:firstLine="432"/>
      </w:pPr>
      <w:r>
        <w:t>Environmental protection requires comprehensive environmental education that enables citizens to understand environmental issues while participating effectively in environmental decision-making [48]. Environmental education must be independent of corporate and political influence while providing accurate information about environmental science and policy [49]. Public participation in environmental decision-making requires accessible and transparent processes that enable meaningful community input while protecting against manipulation by special interests [50].</w:t>
      </w:r>
    </w:p>
    <w:p>
      <w:pPr>
        <w:ind w:firstLine="432"/>
      </w:pPr>
      <w:r>
        <w:t>Environmental literacy requires understanding of ecological systems, environmental policy, and the connections between environmental and social issues [51].</w:t>
      </w:r>
    </w:p>
    <w:p>
      <w:pPr>
        <w:pStyle w:val="Heading2"/>
      </w:pPr>
      <w:r>
        <w:rPr>
          <w:rFonts w:ascii="Times New Roman" w:hAnsi="Times New Roman"/>
          <w:color w:val="000000"/>
          <w:sz w:val="32"/>
        </w:rPr>
        <w:t>International Environmental Cooperation</w:t>
      </w:r>
    </w:p>
    <w:p>
      <w:pPr>
        <w:ind w:firstLine="432"/>
      </w:pPr>
      <w:r>
        <w:t>The global nature of environmental problems requires international cooperation that can address transboundary environmental threats while respecting national sovereignty and democratic governance [52]. International environmental agreements must be based on scientific evidence and democratic participation rather than political and economic interests [53]. Environmental cooperation must address both environmental protection and environmental justice while ensuring that environmental policies do not become tools for economic and political domination [54]. Technology transfer and capacity building can enable developing countries to address environmental challenges while avoiding dependence on environmentally destructive development models [55].</w:t>
      </w:r>
    </w:p>
    <w:p>
      <w:pPr>
        <w:pStyle w:val="Heading2"/>
      </w:pPr>
      <w:r>
        <w:rPr>
          <w:rFonts w:ascii="Times New Roman" w:hAnsi="Times New Roman"/>
          <w:color w:val="000000"/>
          <w:sz w:val="32"/>
        </w:rPr>
        <w:t>Key Quotes</w:t>
      </w:r>
    </w:p>
    <w:p>
      <w:pPr>
        <w:ind w:firstLine="432"/>
      </w:pPr>
      <w:r>
        <w:t>“The Earth does not belong to us; we belong to the Earth. All things are connected like the blood that unites one family.” - Chief Seattle “We do not inherit the earth from our ancestors; we borrow it from our children.” - Native American Proverb “The environment is where we all meet; where we all have a mutual interest; it is the one thing all of us share.” - Lady Bird Johnson “What we are doing to the forests of the world is but a mirror reflection of what we are doing to ourselves and to one another.” - Mahatma Gandhi “The ultimate test of man’s conscience may be his willingness to sacrifice something today for future generations whose words of thanks will not be heard.” - Gaylord Nelson</w:t>
      </w:r>
    </w:p>
    <w:p>
      <w:pPr>
        <w:pStyle w:val="Heading2"/>
      </w:pPr>
      <w:r>
        <w:rPr>
          <w:rFonts w:ascii="Times New Roman" w:hAnsi="Times New Roman"/>
          <w:color w:val="000000"/>
          <w:sz w:val="32"/>
        </w:rPr>
        <w:t>Real-World Examples</w:t>
      </w:r>
    </w:p>
    <w:p>
      <w:pPr>
        <w:ind w:firstLine="432"/>
      </w:pPr>
      <w:r>
        <w:t>Example 1: Costa Rica’s Payment for Ecosystem Services Costa Rica’s payment for ecosystem services program demonstrates how environmental protection can be achieved through market mechanisms while providing economic incentives for conservation. The program shows how environmental policy can serve both ecological and economic goals while building support for conservation. Example 2: The Chipko Movement in India The Chipko movement demonstrated how grassroots environmental activism can protect forests while empowering local communities. The movement shows how environmental protection and social justice can be combined while resisting both government and corporate environmental destruction. Example 3: The European Union’s Environmental Regulations The EU’s environmental regulations demonstrate both the potential and limitations of regulatory approaches to environmental protection. While the regulations have achieved some environmental improvements, they have also been used to impose economic constraints while serving corporate interests through regulatory capture.</w:t>
      </w:r>
    </w:p>
    <w:p>
      <w:pPr>
        <w:pStyle w:val="Heading2"/>
      </w:pPr>
      <w:r>
        <w:rPr>
          <w:rFonts w:ascii="Times New Roman" w:hAnsi="Times New Roman"/>
          <w:color w:val="000000"/>
          <w:sz w:val="32"/>
        </w:rPr>
        <w:t>References and Sources</w:t>
      </w:r>
    </w:p>
    <w:p>
      <w:pPr>
        <w:ind w:firstLine="432"/>
      </w:pPr>
      <w:r>
        <w:t>[1] Boyd, David R. “The Rights of Nature: A Legal Revolution.” ECW Press, 2017. [2] Naess, Arne. “Ecology, Community and Lifestyle: Outline of an Ecosophy.” Cambridge University Press, 1989. [3] Eckersley, Robyn. “The Green State: Rethinking Democracy and Sovereignty.” MIT Press, 2004.</w:t>
      </w:r>
    </w:p>
    <w:p>
      <w:pPr>
        <w:ind w:firstLine="432"/>
      </w:pPr>
      <w:r>
        <w:t>g y [4] Borràs, Susana. “New Transitions from Human Rights to the Environment to the Rights of Nature.” Transnational Environmental Law, 2016. [5] Shelton, Dinah. “Human Rights and the Environment: What Specific Environmental Rights Have Been Recognized?” Denver Journal of International Law and Policy, 2006. [6] Hayward, Tim. “Constitutional Environmental Rights.” Oxford University Press, 2005. [7] May, James R., and Erin Daly. “Global Environmental Constitutionalism.” Cambridge University Press, 2014. [8] Dryzek, John S. “The Politics of the Earth: Environmental Discourses.” Oxford University Press, 2016. [9] Bernstein, Steven. “The Compromise of Liberal Environmentalism.” Columbia University Press, 2001. [10] Parks, Bradley C., and J. Timmons Roberts. “A Climate of Injustice: Global Inequality, North-South Politics, and Climate Policy.” MIT Press, 2006. [11] Fischer, Frank. “Citizens, Experts, and the Environment: The Politics of Local Knowledge.” Duke University Press, 2000. [12] Lomborg, Bjørn. “The Skeptical Environmentalist: Measuring the Real State of the World.” Cambridge University Press, 2001. [13] Pielke Jr., Roger A. “The Honest Broker: Making Sense of Science in Policy and Politics.” Cambridge University Press, 2007. [14] Nordhaus, William D. “Climate Change: The Ultimate Challenge for Economics.” Yale University Press, 2013. [15] O’Brien, Karen, and Elin Selboe. “The Adaptive Challenge of Climate Change.” Cambridge University Press, 2015. [16] Hamilton, Clive. “Earthmasters: The Dawn of the Age of Climate Engineering.” Yale University Press, 2013. [17] Fleming, James Rodger. “Fixing the Sky: The Checkered History of Weather and Climate Control.” Columbia University Press, 2010.</w:t>
      </w:r>
    </w:p>
    <w:p>
      <w:pPr>
        <w:ind w:firstLine="432"/>
      </w:pPr>
      <w:r>
        <w:t>[18] Gardiner, Stephen M. “A Perfect Moral Storm: Climate Change and Intergenerational Ethics.” Oxford University Press, 2011. [19] Sunstein, Cass R. “Laws of Fear: Beyond the Precautionary Principle.” Cambridge University Press, 2005. [20] Bullard, Robert D. “Dumping in Dixie: Race, Class, and Environmental Quality.” Westview Press, 1990. [21] Schlosberg, David. “Defining Environmental Justice: Theories, Movements, and Nature.” Oxford University Press, 2007. [22] Pellow, David N. “Total Liberation: The Power and Promise of Animal Rights and the Radical Earth Movement.” University of Minnesota Press, 2014. [23] Checker, Melissa. “Polluted Promises: Environmental Racism and the Search for Justice in a Southern Town.” NYU Press, 2005. [24] Ostrom, Elinor. “Governing the Commons: The Evolution of Institutions for Collective Action.” Cambridge University Press, 1990. [25] Bollier, David. “Silent Theft: The Private Plunder of Our Common Wealth.” Routledge, 2002. [26] Berkes, Fikret. “Sacred Ecology: Traditional Ecological Knowledge and Resource Management.” Routledge, 1999. [27] Dietz, Thomas, et al. “The Drama of the Commons.” National Academy of Sciences, 2003. [28] Wilson, Edward O. “The Diversity of Life.” Harvard University Press, 1992. [29] Millennium Ecosystem Assessment. “Ecosystems and Human Well- being: Synthesis.” Island Press, 2005. [30] Sober, Elliott. “Philosophical Problems for Environmentalism.” The Preservation of Species, 1986. [31] Convention on Biological Diversity. “Global Biodiversity Outlook 5.” Secretariat of the Convention on Biological Diversity, 2020. [32] Shiva, Vandana. “The Violence of the Green Revolution: Third World Agriculture, Ecology and Politics.” Zed Books, 1991.</w:t>
      </w:r>
    </w:p>
    <w:p>
      <w:pPr>
        <w:ind w:firstLine="432"/>
      </w:pPr>
      <w:r>
        <w:t>[33] Pretty, Jules. “Regenerating Agriculture: Policies and Practice for Sustainability and Self-Reliance.” Joseph Henry Press, 1995. [34] Guthman, Julie. “Agrarian Dreams: The Paradox of Organic Farming in California.” University of California Press, 2004. [35] Holt-Giménez, Eric. “Food Movements Unite! Strategies to Transform Our Food System.” Food First Books, 2011. [36] Yergin, Daniel. “The Quest: Energy, Security, and the Remaking of the Modern World.” Penguin Press, 2011. [37] Jacobson, Mark Z., and Mark A. Delucchi. “Providing All Global Energy with Wind, Water, and Solar Power.” Energy Policy, 2011. [38] Burke, Matthew J., and Jennie C. Stephens. “Political Power and Renewable Energy Futures: A Critical Review.” Energy Research &amp; Social Science, 2018. [39] Farrell, John. “Democratic Energy: Renewable Energy and the Creation of Energy Democracy.” Institute for Local Self-Reliance, 2014. [40] Barlow, Maude. “Blue Covenant: The Global Water Crisis and the Coming Battle for the Right to Water.” The New Press, 2007. [41] Gleick, Peter H. “The Human Right to Water.” Water Policy, 1998. [42] Postel, Sandra. “Pillar of Sand: Can the Irrigation Miracle Last?” W. W. Norton &amp; Company, 1999. [43] Wolf, Aaron T. “Conflict and Cooperation Along International Waterways.” Water Policy, 1998. [44] Newman, Peter, and Jeffrey Kenworthy. “Sustainability and Cities: Overcoming Automobile Dependence.” Island Press, 1999. [45] Beatley, Timothy. “Green Urbanism: Learning from European Cities.” Island Press, 2000. [46] Viljoen, André, et al. “Continuous Productive Urban Landscapes: Designing Urban Agriculture for Sustainable Cities.” Architectural Press, 2005. [47] Fainstein, Susan S. “The Just City.” Cornell University Press, 2010.</w:t>
      </w:r>
    </w:p>
    <w:p>
      <w:pPr>
        <w:ind w:firstLine="432"/>
      </w:pPr>
      <w:r>
        <w:t>[48] Sobel, David. “Place-based Education: Connecting Classrooms &amp; Communities.” The Orion Society, 2004. [49] Stevenson, Robert B. “Schooling and Environmental Education: Contradictions in Purpose and Practice.” Environmental Education in the 21st Century, 1987. [50] Beierle, Thomas C., and Jerry Cayford. “Democracy in Practice: Public Participation in Environmental Decisions.” Resources for the Future, 2002. [51] Roth, Charles E. “Environmental Literacy: Its Roots, Evolution, and Directions in the 1990s.” ERIC Clearinghouse for Science, Mathematics, and Environmental Education, 1992. [52] Vogler, John. “The Global Commons: Environmental and Technological Governance.” John Wiley &amp; Sons, 2000. [53] Young, Oran R. “International Governance: Protecting the Environment in a Stateless Society.” Cornell University Press, 1994. [54] Conca, Ken. “Governing Water: Contentious Transnational Politics and Global Institution Building.” MIT Press, 2006. [55] Najam, Adil. “Developing Countries and Global Environmental Governance: From Contestation to Participation to Engagement.” International Environmental Agreements, 2005.</w:t>
      </w:r>
    </w:p>
    <w:p>
      <w:pPr>
        <w:pStyle w:val="Heading2"/>
      </w:pPr>
      <w:r>
        <w:rPr>
          <w:rFonts w:ascii="Times New Roman" w:hAnsi="Times New Roman"/>
          <w:color w:val="000000"/>
          <w:sz w:val="32"/>
        </w:rPr>
        <w:t>Suggested Further Research</w:t>
      </w:r>
    </w:p>
    <w:p>
      <w:pPr>
        <w:ind w:firstLine="432"/>
      </w:pPr>
      <w:r>
        <w:t>1. “The Rights of Nature” by David Boyd - Comprehensive analysis of legal frameworks for environmental protection and the rights of nature movement. 2. “The Green State” by Robyn Eckersley - Examination of how democratic states can be transformed to address environmental challenges. 3. “Governing the Commons” by Elinor Ostrom - Analysis of how communities can successfully manage shared natural resources.</w:t>
      </w:r>
    </w:p>
    <w:p>
      <w:pPr>
        <w:ind w:firstLine="432"/>
      </w:pPr>
      <w:r>
        <w:t>4. “The Skeptical Environmentalist” by Bjørn Lomborg - Critical examination of environmental claims and the need for evidence-based environmental policy. 5. “Earthmasters” by Clive Hamilton - Investigation into geoengineering technologies and their implications for environmental governance. 6. “Dumping in Dixie” by Robert Bullard - Foundational work on environmental justice and the disproportionate impact of pollution on marginalized communities. 7. “Blue Covenant” by Maude Barlow - Analysis of water privatization and the movement for water as a human right.</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23: The Need for Cultural Renewal and Spiritual Restoration</w:t>
      </w:r>
    </w:p>
    <w:p>
      <w:pPr>
        <w:pStyle w:val="Heading2"/>
      </w:pPr>
      <w:r>
        <w:rPr>
          <w:rFonts w:ascii="Times New Roman" w:hAnsi="Times New Roman"/>
          <w:color w:val="000000"/>
          <w:sz w:val="32"/>
        </w:rPr>
        <w:t>Renewal and Spiritual</w:t>
      </w:r>
    </w:p>
    <w:p>
      <w:pPr>
        <w:pStyle w:val="Heading2"/>
      </w:pPr>
      <w:r>
        <w:rPr>
          <w:rFonts w:ascii="Times New Roman" w:hAnsi="Times New Roman"/>
          <w:color w:val="000000"/>
          <w:sz w:val="32"/>
        </w:rPr>
        <w:t>Restoration Introduction</w:t>
      </w:r>
    </w:p>
    <w:p>
      <w:pPr>
        <w:ind w:firstLine="432"/>
      </w:pPr>
      <w:r>
        <w:t>The systematic destruction of culture and spiritual life documented in previous chapters has created an urgent need for cultural renewal and</w:t>
      </w:r>
    </w:p>
    <w:p>
      <w:pPr>
        <w:ind w:firstLine="432"/>
      </w:pPr>
      <w:r>
        <w:t>spiritual restoration that can address the dehumanization and meaninglessness that characterize modern society. This chapter examines the expressed need for cultural and spiritual frameworks that can restore human dignity and transcendent values while providing the moral foundation necessary for democratic governance and social cooperation [1]. The need for cultural renewal extends beyond traditional concerns about preserving heritage and traditions to encompass fundamental questions about human nature, meaning, and purpose that provide the foundation for all other aspects of human society [2]. Understanding this need is crucial for recognizing that political, economic, and technological reforms alone are insufficient to address the crisis of civilization without accompanying cultural and spiritual renewal that addresses the deeper sources of human motivation and social cohesion [3].</w:t>
      </w:r>
    </w:p>
    <w:p>
      <w:pPr>
        <w:pStyle w:val="Heading2"/>
      </w:pPr>
      <w:r>
        <w:rPr>
          <w:rFonts w:ascii="Times New Roman" w:hAnsi="Times New Roman"/>
          <w:color w:val="000000"/>
          <w:sz w:val="32"/>
        </w:rPr>
        <w:t>The Nature of Culture and Spiritual Life</w:t>
      </w:r>
    </w:p>
    <w:p>
      <w:pPr>
        <w:ind w:firstLine="432"/>
      </w:pPr>
      <w:r>
        <w:t>Culture represents the shared beliefs, values, practices, and institutions that give meaning and identity to human communities while providing the framework for social cooperation and individual development [4]. Spiritual life encompasses the human search for transcendent meaning and purpose that connects individuals to something greater than themselves while providing the moral framework necessary for ethical behavior and social responsibility [5]. Culture and spiritual life are interconnected dimensions of human existence that provide the foundation for all other aspects of society, including politics, economics, and technology [6]. The health of culture and spiritual life determines the capacity of societies to maintain democratic governance, social cooperation, and individual flourishing over time [7].</w:t>
      </w:r>
    </w:p>
    <w:p>
      <w:pPr>
        <w:pStyle w:val="Heading2"/>
      </w:pPr>
      <w:r>
        <w:rPr>
          <w:rFonts w:ascii="Times New Roman" w:hAnsi="Times New Roman"/>
          <w:color w:val="000000"/>
          <w:sz w:val="32"/>
        </w:rPr>
        <w:t>The Systematic Destruction of Culture</w:t>
      </w:r>
    </w:p>
    <w:p>
      <w:pPr>
        <w:ind w:firstLine="432"/>
      </w:pPr>
      <w:r>
        <w:t>The systematic destruction of traditional cultures has been a deliberate strategy of globalization and modernization that seeks to eliminate local identities and loyalties in favor of universal consumer culture [8].</w:t>
      </w:r>
    </w:p>
    <w:p>
      <w:pPr>
        <w:ind w:firstLine="432"/>
      </w:pPr>
      <w:r>
        <w:t>The commodification of culture has reduced cultural expression to market commodities while eliminating the sacred and transcendent dimensions that traditionally connected culture to spiritual truth and community identity [9]. Mass media and entertainment have promoted artificial cultures that serve commercial and political interests while undermining authentic cultural expression and community traditions [10]. Educational systems have systematically eliminated cultural knowledge and traditions while promoting materialist and relativist ideologies that undermine cultural identity and spiritual beliefs [11].</w:t>
      </w:r>
    </w:p>
    <w:p>
      <w:pPr>
        <w:pStyle w:val="Heading2"/>
      </w:pPr>
      <w:r>
        <w:rPr>
          <w:rFonts w:ascii="Times New Roman" w:hAnsi="Times New Roman"/>
          <w:color w:val="000000"/>
          <w:sz w:val="32"/>
        </w:rPr>
        <w:t>The Crisis of Meaning and Purpose</w:t>
      </w:r>
    </w:p>
    <w:p>
      <w:pPr>
        <w:ind w:firstLine="432"/>
      </w:pPr>
      <w:r>
        <w:t>The elimination of transcendent values and spiritual beliefs from public life has created a crisis of meaning and purpose that leaves individuals without the framework necessary to understand their place in the world and their obligations to others [12]. The materialist worldview promoted by modern education and media reduces human existence to biological processes and chemical reactions, eliminating the spiritual dimension that gives life meaning and purpose [13]. The relativism and subjectivism that characterize modern culture deny the existence of objective truth and moral standards, making it impossible to distinguish between right and wrong or to find common ground for social cooperation [14]. The focus on immediate gratification and material success has eliminated the long-term perspective and delayed gratification necessary for meaningful achievement and spiritual development [15].</w:t>
      </w:r>
    </w:p>
    <w:p>
      <w:pPr>
        <w:pStyle w:val="Heading2"/>
      </w:pPr>
      <w:r>
        <w:rPr>
          <w:rFonts w:ascii="Times New Roman" w:hAnsi="Times New Roman"/>
          <w:color w:val="000000"/>
          <w:sz w:val="32"/>
        </w:rPr>
        <w:t>The Need for Transcendent Values</w:t>
      </w:r>
    </w:p>
    <w:p>
      <w:pPr>
        <w:ind w:firstLine="432"/>
      </w:pPr>
      <w:r>
        <w:t>Human societies require transcendent values that provide meaning and purpose beyond material success while creating the moral framework necessary for social cooperation and individual fulfillment [16]. Transcendent values connect human beings to something greater than themselves while providing the motivation necessary for sacrifice,</w:t>
      </w:r>
    </w:p>
    <w:p>
      <w:pPr>
        <w:ind w:firstLine="432"/>
      </w:pPr>
      <w:r>
        <w:t>service, and moral behavior [17]. The recognition of transcendent values provides the foundation for human dignity and rights while creating obligations to treat others with respect and to work for the common good [18]. Transcendent values must be grounded in truth rather than arbitrary preference while being accessible to all people regardless of their particular religious or philosophical beliefs [19].</w:t>
      </w:r>
    </w:p>
    <w:p>
      <w:pPr>
        <w:pStyle w:val="Heading2"/>
      </w:pPr>
      <w:r>
        <w:rPr>
          <w:rFonts w:ascii="Times New Roman" w:hAnsi="Times New Roman"/>
          <w:color w:val="000000"/>
          <w:sz w:val="32"/>
        </w:rPr>
        <w:t>The Role of Religion and Spiritual Traditions</w:t>
      </w:r>
    </w:p>
    <w:p>
      <w:pPr>
        <w:ind w:firstLine="432"/>
      </w:pPr>
      <w:r>
        <w:t>Religious and spiritual traditions provide the institutional framework for transmitting transcendent values while offering practices and communities that support spiritual development and moral formation [20]. The diversity of religious and spiritual traditions reflects the universal human need for transcendent meaning while providing different approaches to spiritual truth that can enrich rather than threaten each other [21]. Religious freedom requires protection for all authentic spiritual traditions while preventing the use of religious authority for political manipulation or social control [22]. The separation of church and state must protect religious freedom while ensuring that spiritual values can inform public life without creating religious establishment or coercion [23].</w:t>
      </w:r>
    </w:p>
    <w:p>
      <w:pPr>
        <w:pStyle w:val="Heading2"/>
      </w:pPr>
      <w:r>
        <w:rPr>
          <w:rFonts w:ascii="Times New Roman" w:hAnsi="Times New Roman"/>
          <w:color w:val="000000"/>
          <w:sz w:val="32"/>
        </w:rPr>
        <w:t>Family and Community as Cultural Foundations</w:t>
      </w:r>
    </w:p>
    <w:p>
      <w:pPr>
        <w:ind w:firstLine="432"/>
      </w:pPr>
      <w:r>
        <w:t>The family represents the fundamental institution for cultural transmission and spiritual formation while providing the relationships and support necessary for human development and social stability [24]. Strong families require cultural and economic support while being protected against the forces of individualism and materialism that undermine family relationships and obligations [25].</w:t>
      </w:r>
    </w:p>
    <w:p>
      <w:pPr>
        <w:ind w:firstLine="432"/>
      </w:pPr>
      <w:r>
        <w:t>Local communities provide the social context for cultural expression and spiritual practice while creating the networks of mutual support and accountability necessary for human flourishing [26]. The restoration of family and community requires cultural changes that prioritize relationships and community obligations over individual autonomy and material success [27].</w:t>
      </w:r>
    </w:p>
    <w:p>
      <w:pPr>
        <w:pStyle w:val="Heading2"/>
      </w:pPr>
      <w:r>
        <w:rPr>
          <w:rFonts w:ascii="Times New Roman" w:hAnsi="Times New Roman"/>
          <w:color w:val="000000"/>
          <w:sz w:val="32"/>
        </w:rPr>
        <w:t>Education and Cultural Transmission</w:t>
      </w:r>
    </w:p>
    <w:p>
      <w:pPr>
        <w:ind w:firstLine="432"/>
      </w:pPr>
      <w:r>
        <w:t>Education has a crucial role in cultural transmission and spiritual formation while providing the knowledge and skills necessary for democratic participation and economic productivity [28]. Educational systems must balance respect for cultural diversity with the transmission of shared values and knowledge necessary for social cohesion and democratic governance [29]. The restoration of classical education that emphasizes truth, beauty, and goodness can provide alternatives to utilitarian education that serves only economic and political interests [30]. Educational freedom requires protection for diverse educational approaches while ensuring that all children have access to quality education that serves their full human development [31].</w:t>
      </w:r>
    </w:p>
    <w:p>
      <w:pPr>
        <w:pStyle w:val="Heading2"/>
      </w:pPr>
      <w:r>
        <w:rPr>
          <w:rFonts w:ascii="Times New Roman" w:hAnsi="Times New Roman"/>
          <w:color w:val="000000"/>
          <w:sz w:val="32"/>
        </w:rPr>
        <w:t>Art, Beauty, and Cultural Expression</w:t>
      </w:r>
    </w:p>
    <w:p>
      <w:pPr>
        <w:ind w:firstLine="432"/>
      </w:pPr>
      <w:r>
        <w:t>Art and cultural expression provide the means for exploring and communicating transcendent values while creating beauty that elevates the human spirit and connects people to higher truths [32]. The commercialization of art has reduced aesthetic expression to market commodities while eliminating the sacred and transcendent dimensions that traditionally connected art to spiritual truth [33]. The restoration of authentic art and cultural expression requires support for artists and cultural institutions that serve truth and beauty rather than commercial or political interests [34]. Public support for art and culture must respect artistic freedom while ensuring that cultural institutions serve the common good rather than elite interests [35].</w:t>
      </w:r>
    </w:p>
    <w:p>
      <w:pPr/>
      <w:r>
        <w:t>[ ]</w:t>
      </w:r>
    </w:p>
    <w:p>
      <w:pPr>
        <w:pStyle w:val="Heading2"/>
      </w:pPr>
      <w:r>
        <w:rPr>
          <w:rFonts w:ascii="Times New Roman" w:hAnsi="Times New Roman"/>
          <w:color w:val="000000"/>
          <w:sz w:val="32"/>
        </w:rPr>
        <w:t>Language and Communication</w:t>
      </w:r>
    </w:p>
    <w:p>
      <w:pPr>
        <w:ind w:firstLine="432"/>
      </w:pPr>
      <w:r>
        <w:t>Language provides the foundation for cultural transmission and spiritual expression while enabling the communication of truth and meaning across generations and communities [36]. The corruption of language through political correctness and propaganda has eliminated the ability to communicate truth and meaning while creating confusion and division that serves those who benefit from ignorance and deception [37]. The restoration of honest and beautiful language requires resistance to linguistic manipulation while promoting clear and truthful communication that serves understanding rather than manipulation [38]. Multilingualism and linguistic diversity can enrich cultural expression while ensuring that all people have access to their cultural heritage and spiritual traditions [39].</w:t>
      </w:r>
    </w:p>
    <w:p>
      <w:pPr>
        <w:pStyle w:val="Heading2"/>
      </w:pPr>
      <w:r>
        <w:rPr>
          <w:rFonts w:ascii="Times New Roman" w:hAnsi="Times New Roman"/>
          <w:color w:val="000000"/>
          <w:sz w:val="32"/>
        </w:rPr>
        <w:t>Ritual and Sacred Practice</w:t>
      </w:r>
    </w:p>
    <w:p>
      <w:pPr>
        <w:ind w:firstLine="432"/>
      </w:pPr>
      <w:r>
        <w:t>Ritual and sacred practice provide the means for connecting with transcendent values while creating shared experiences that build community identity and spiritual formation [40]. The elimination of ritual and sacred practice from modern life has created spiritual emptiness while eliminating the practices that traditionally provided meaning and community connection [41]. The restoration of authentic ritual and sacred practice requires respect for traditional forms while allowing for adaptation and renewal that serves contemporary spiritual needs [42]. Public space for ritual and sacred practice must be protected while ensuring that religious freedom includes the right to public expression of spiritual beliefs and practices [43].</w:t>
      </w:r>
    </w:p>
    <w:p>
      <w:pPr>
        <w:pStyle w:val="Heading2"/>
      </w:pPr>
      <w:r>
        <w:rPr>
          <w:rFonts w:ascii="Times New Roman" w:hAnsi="Times New Roman"/>
          <w:color w:val="000000"/>
          <w:sz w:val="32"/>
        </w:rPr>
        <w:t>Work and Vocation</w:t>
      </w:r>
    </w:p>
    <w:p>
      <w:pPr>
        <w:ind w:firstLine="432"/>
      </w:pPr>
      <w:r>
        <w:t>Work provides the means for contributing to the common good while expressing individual talents and serving transcendent purposes beyond material gain [44]. The reduction of work to wage labor has eliminated the spiritual dimension of work while treating human beings as factors of production rather than persons with dignity and purpose [45]. The restoration of work as vocation requires economic systems that enable meaningful work while providing the economic security necessary for human dignity [46]. Professional ethics and vocational formation can restore the spiritual dimension of work while ensuring that all occupations serve the common good rather than private interest [47].</w:t>
      </w:r>
    </w:p>
    <w:p>
      <w:pPr>
        <w:pStyle w:val="Heading2"/>
      </w:pPr>
      <w:r>
        <w:rPr>
          <w:rFonts w:ascii="Times New Roman" w:hAnsi="Times New Roman"/>
          <w:color w:val="000000"/>
          <w:sz w:val="32"/>
        </w:rPr>
        <w:t>Leisure and Contemplation</w:t>
      </w:r>
    </w:p>
    <w:p>
      <w:pPr>
        <w:ind w:firstLine="432"/>
      </w:pPr>
      <w:r>
        <w:t>Leisure and contemplation provide the time and space necessary for spiritual development while enabling the reflection and creativity that contribute to cultural renewal [48]. The elimination of leisure through constant activity and consumption has prevented the contemplation necessary for spiritual growth while creating superficial engagement that serves manipulation rather than development [49]. The restoration of authentic leisure requires cultural changes that value contemplation and reflection while providing the economic security necessary for genuine rest and renewal [50]. Sabbath rest and holy days can provide the rhythm necessary for spiritual development while creating shared times for community gathering and cultural celebration [51].</w:t>
      </w:r>
    </w:p>
    <w:p>
      <w:pPr>
        <w:pStyle w:val="Heading2"/>
      </w:pPr>
      <w:r>
        <w:rPr>
          <w:rFonts w:ascii="Times New Roman" w:hAnsi="Times New Roman"/>
          <w:color w:val="000000"/>
          <w:sz w:val="32"/>
        </w:rPr>
        <w:t>Cultural Resistance and Renewal</w:t>
      </w:r>
    </w:p>
    <w:p>
      <w:pPr>
        <w:ind w:firstLine="432"/>
      </w:pPr>
      <w:r>
        <w:t>Cultural resistance requires active opposition to the forces of cultural destruction while building alternative cultural institutions and practices that serve human flourishing [52]. Grassroots cultural movements can provide the foundation for cultural renewal while creating networks of cooperation that transcend</w:t>
      </w:r>
    </w:p>
    <w:p>
      <w:pPr>
        <w:ind w:firstLine="432"/>
      </w:pPr>
      <w:r>
        <w:t>g p institutional boundaries [53]. Cultural renewal requires both preservation of valuable traditions and creative adaptation to contemporary circumstances while maintaining connection to transcendent values [54]. The success of cultural renewal depends on the active participation of individuals and communities who are committed to truth, beauty, and goodness rather than material success and social conformity [55].</w:t>
      </w:r>
    </w:p>
    <w:p>
      <w:pPr>
        <w:pStyle w:val="Heading2"/>
      </w:pPr>
      <w:r>
        <w:rPr>
          <w:rFonts w:ascii="Times New Roman" w:hAnsi="Times New Roman"/>
          <w:color w:val="000000"/>
          <w:sz w:val="32"/>
        </w:rPr>
        <w:t>Key Quotes</w:t>
      </w:r>
    </w:p>
    <w:p>
      <w:pPr>
        <w:ind w:firstLine="432"/>
      </w:pPr>
      <w:r>
        <w:t>“Culture is the widening of the mind and of the spirit.” - Jawaharlal Nehru “A people without the knowledge of their past history, origin and culture is like a tree without roots.” - Marcus Garvey “The ultimate goal of the architect…is to create a paradise. Every house, every product of architecture… should be a fruit of our endeavor to build an earthly paradise for people.” - Alvar Aalto “Man’s main task in life is to give birth to himself, to become what he potentially is.” - Erich Fromm “The spiritual life does not remove us from the world but leads us deeper into it.” - Henri Nouwen</w:t>
      </w:r>
    </w:p>
    <w:p>
      <w:pPr>
        <w:pStyle w:val="Heading2"/>
      </w:pPr>
      <w:r>
        <w:rPr>
          <w:rFonts w:ascii="Times New Roman" w:hAnsi="Times New Roman"/>
          <w:color w:val="000000"/>
          <w:sz w:val="32"/>
        </w:rPr>
        <w:t>Real-World Examples</w:t>
      </w:r>
    </w:p>
    <w:p>
      <w:pPr>
        <w:ind w:firstLine="432"/>
      </w:pPr>
      <w:r>
        <w:t>Example 1: The Amish Community Model The Amish communities demonstrate how traditional cultures can maintain their identity and values while adapting to modern circumstances. Their approach to technology, education, and community life shows how cultural preservation can serve human flourishing while resisting destructive modernization. Example 2: The Celtic Revival in Ireland</w:t>
      </w:r>
    </w:p>
    <w:p>
      <w:pPr>
        <w:ind w:firstLine="432"/>
      </w:pPr>
      <w:r>
        <w:t>The Celtic revival in Ireland demonstrates how cultural renewal can support political independence while restoring cultural identity and spiritual traditions. The movement shows how culture and politics can be integrated while serving both national identity and human development. Example 3: The Destruction of Indigenous Cultures The systematic destruction of indigenous cultures through colonization and modernization demonstrates the devastating effects of cultural destruction on human communities. The loss of indigenous languages, traditions, and spiritual practices shows the importance of cultural protection for human survival and flourishing.</w:t>
      </w:r>
    </w:p>
    <w:p>
      <w:pPr>
        <w:pStyle w:val="Heading2"/>
      </w:pPr>
      <w:r>
        <w:rPr>
          <w:rFonts w:ascii="Times New Roman" w:hAnsi="Times New Roman"/>
          <w:color w:val="000000"/>
          <w:sz w:val="32"/>
        </w:rPr>
        <w:t>References and Sources</w:t>
      </w:r>
    </w:p>
    <w:p>
      <w:pPr>
        <w:ind w:firstLine="432"/>
      </w:pPr>
      <w:r>
        <w:t>[1] Eliot, T.S. “Notes Towards the Definition of Culture.” Harcourt, Brace and Company, 1949. [2] Guardini, Romano. “The End of the Modern World.” ISI Books, 1998. [3] Dawson, Christopher. “Religion and Culture.” Catholic University of America Press, 1948. [4] Geertz, Clifford. “The Interpretation of Cultures.” Basic Books, 1973. [5] James, William. “The Varieties of Religious Experience.” Harvard University Press, 1902. [6] Sorokin, Pitirim A. “The Crisis of Our Age.” E. P. Dutton &amp; Co., 1941. [7] Nisbet, Robert A. “The Quest for Community: A Study in the Ethics of Order and Freedom.” Oxford University Press, 1953. [8] Ritzer, George. “The McDonaldization of Society.” Pine Forge Press, 1993. [9] Benjamin, Walter. “The Work of Art in the Age of Mechanical Reproduction.” Illuminations, 1936. [10] Postman, Neil. “Amusing Ourselves to Death: Public Discourse in the Age of Show Business.” Penguin Books, 1985.</w:t>
      </w:r>
    </w:p>
    <w:p>
      <w:pPr>
        <w:ind w:firstLine="432"/>
      </w:pPr>
      <w:r>
        <w:t>[11] Bloom, Allan. “The Closing of the American Mind.” Simon &amp; Schuster, 1987. [12] Frankl, Viktor E. “Man’s Search for Meaning.” Beacon Press, 1946. [13] Dawkins, Richard. “The Selfish Gene.” Oxford University Press, 1976. [14] Bloom, Allan. “The Closing of the American Mind: How Higher Education Has Failed Democracy and Impoverished the Souls of Today’s Students.” Simon &amp; Schuster, 1987. [15] Lasch, Christopher. “The Culture of Narcissism: American Life in an Age of Diminishing Expectations.” W. W. Norton &amp; Company, 1979. [16] Lewis, C.S. “The Abolition of Man.” Oxford University Press, 1943. [17] Otto, Rudolf. “The Idea of the Holy.” Oxford University Press, 1917. [18] Maritain, Jacques. “The Rights of Man and Natural Law.” Charles Scribner’s Sons, 1943. [19] Aquinas, Thomas. “Summa Theologica.” Trans. by the Fathers of the English Dominican Province, 1265-1273. [20] Smith, Huston. “The World’s Religions.” HarperSanFrancisco, 1991. [21] Hick, John. “An Interpretation of Religion: Human Responses to the Transcendent.” Yale University Press, 1989. [22] McConnell, Michael W. “The Origins and Historical Understanding of Free Exercise of Religion.” Harvard Law Review, 1990. [23] Witte Jr., John. “Religion and the American Constitutional Experiment.” Westview Press, 2000. [24] Lasch, Christopher. “Haven in a Heartless World: The Family Besieged.” Basic Books, 1977. [25] Popenoe, David. “Disturbing the Nest: Family Change and Decline in Modern Societies.” Aldine de Gruyter, 1988. [26] Putnam, Robert D. “Bowling Alone: The Collapse and Revival of American Community.” Simon &amp; Schuster, 2000.</w:t>
      </w:r>
    </w:p>
    <w:p>
      <w:pPr>
        <w:ind w:firstLine="432"/>
      </w:pPr>
      <w:r>
        <w:t>[27] Bellah, Robert N., et al. “Habits of the Heart: Individualism and Commitment in American Life.” University of California Press, 1985. [28] Hirsch Jr., E.D. “Cultural Literacy: What Every American Needs to Know.” Houghton Mifflin, 1987. [29] Gutmann, Amy. “Democratic Education.” Princeton University Press, 1987. [30] Adler, Mortimer J. “The Paideia Proposal: An Educational Manifesto.” Macmillan, 1982. [31] Chubb, John E., and Terry M. Moe. “Politics, Markets, and America’s Schools.” Brookings Institution Press, 1990. [32] Scruton, Roger. “Beauty.” Oxford University Press, 2009. [33] Kimball, Roger. “The Rape of the Masters: How Political Correctness Sabotages Art.” Encounter Books, 2004. [34] Steiner, George. “Real Presences.” University of Chicago Press, 1989. [35] Kramer, Hilton. “The Twilight of the Intellectuals: Culture and Politics in the Era of the Cold War.” Ivan R. Dee, 1999. [36] Orwell, George. “Politics and the English Language.” Horizon, 1946. [37] Klemperer, Victor. “The Language of the Third Reich: LTI - Lingua Tertii Imperii.” Athlone Press, 1957. [38] Lewis, C.S. “Studies in Words.” Cambridge University Press, 1960. [39] Crystal, David. “Language Death.” Cambridge University Press, 2000. [40] Eliade, Mircea. “The Sacred and the Profane: The Nature of Religion.” Harcourt, Brace &amp; World, 1957. [41] Turner, Victor. “The Ritual Process: Structure and Anti-Structure.” Aldine Publishing Company, 1969. [42] Bell, Catherine. “Ritual Theory, Ritual Practice.” Oxford University Press, 1992.</w:t>
      </w:r>
    </w:p>
    <w:p>
      <w:pPr>
        <w:ind w:firstLine="432"/>
      </w:pPr>
      <w:r>
        <w:t>[43] McConnell, Michael W. “Religious Freedom at a Crossroads.” University of Chicago Law Review, 1992. [44] Schumacher, E.F. “Good Work.” Harper &amp; Row, 1979. [45] Sennett, Richard. “The Craftsman.” Yale University Press, 2008. [46] Terkel, Studs. “Working: People Talk About What They Do All Day and How They Feel About What They Do.” Pantheon Books, 1974. [47] Sullivan, William M. “Work and Integrity: The Crisis and Promise of Professionalism in America.” Jossey-Bass, 2005. [48] Pieper, Josef. “Leisure: The Basis of Culture.” Pantheon Books, 1952. [49] Postman, Neil. “Technopoly: The Surrender of Culture to Technology.” Knopf, 1992. [50] de Grazia, Sebastian. “Of Time, Work, and Leisure.” Twentieth Century Fund, 1962. [51] Heschel, Abraham Joshua. “The Sabbath: Its Meaning for Modern Man.” Farrar, Straus and Giroux, 1951. [52] Scott, James C. “Weapons of the Weak: Everyday Forms of Peasant Resistance.” Yale University Press, 1985. [53] Williams, Raymond. “Culture and Society: 1780-1950.” Columbia University Press, 1958. [54] Berry, Wendell. “What Are People For?” North Point Press, 1990. [55] Solzhenitsyn, Aleksandr. “The Gulag Archipelago.” Harper &amp; Row, 1973.</w:t>
      </w:r>
    </w:p>
    <w:p>
      <w:pPr>
        <w:pStyle w:val="Heading2"/>
      </w:pPr>
      <w:r>
        <w:rPr>
          <w:rFonts w:ascii="Times New Roman" w:hAnsi="Times New Roman"/>
          <w:color w:val="000000"/>
          <w:sz w:val="32"/>
        </w:rPr>
        <w:t>Suggested Further Research</w:t>
      </w:r>
    </w:p>
    <w:p>
      <w:pPr>
        <w:ind w:firstLine="432"/>
      </w:pPr>
      <w:r>
        <w:t>1. “The Closing of the American Mind” by Allan Bloom - Analysis of how higher education has failed to transmit cultural knowledge and values. 2. “Man’s Search for Meaning” by Viktor Frankl - Foundational work on the importance of meaning and purpose for human</w:t>
      </w:r>
    </w:p>
    <w:p>
      <w:pPr>
        <w:ind w:firstLine="432"/>
      </w:pPr>
      <w:r>
        <w:t>survival and flourishing. 3. “The Abolition of Man” by C.S. Lewis - Examination of how modern education undermines moral and spiritual formation. 4. “Bowling Alone” by Robert Putnam - Investigation into the decline of social capital and community institutions in modern society. 5. “Haven in a Heartless World” by Christopher Lasch - Analysis of how modern society undermines family relationships and community bonds. 6. “Beauty” by Roger Scruton - Philosophical examination of the role of beauty in human life and cultural expression. 7. “The Sacred and the Profane” by Mircea Eliade - Analysis of the role of sacred experience in human culture and spiritual life.</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24: The Need for Global Awakening and Collective Action</w:t>
      </w:r>
    </w:p>
    <w:p>
      <w:pPr>
        <w:pStyle w:val="Heading2"/>
      </w:pPr>
      <w:r>
        <w:rPr>
          <w:rFonts w:ascii="Times New Roman" w:hAnsi="Times New Roman"/>
          <w:color w:val="000000"/>
          <w:sz w:val="32"/>
        </w:rPr>
        <w:t>Awakening and Collective Action Introduction</w:t>
      </w:r>
    </w:p>
    <w:p>
      <w:pPr>
        <w:ind w:firstLine="432"/>
      </w:pPr>
      <w:r>
        <w:t>The comprehensive analysis of systematic oppression and institutional capture documented throughout this book has revealed that individual awareness and isolated resistance are insufficient to address the magnitude of the global crisis facing humanity. This chapter examines</w:t>
      </w:r>
    </w:p>
    <w:p>
      <w:pPr>
        <w:ind w:firstLine="432"/>
      </w:pPr>
      <w:r>
        <w:t>the expressed need for global awakening and collective action that can mobilize the human family to reclaim democratic governance, human dignity, and planetary stewardship from the forces of techno-totalitarian control [1]. The need for global awakening extends beyond traditional political mobilization to encompass a fundamental transformation of human consciousness that recognizes our interconnectedness and shared responsibility for creating a world that serves human flourishing rather than elite domination [2]. Understanding this need is crucial for recognizing that the window of opportunity for peaceful transformation is rapidly closing, and that only coordinated global action based on shared principles and values can prevent the complete collapse of democratic civilization and human freedom [3].</w:t>
      </w:r>
    </w:p>
    <w:p>
      <w:pPr>
        <w:pStyle w:val="Heading2"/>
      </w:pPr>
      <w:r>
        <w:rPr>
          <w:rFonts w:ascii="Times New Roman" w:hAnsi="Times New Roman"/>
          <w:color w:val="000000"/>
          <w:sz w:val="32"/>
        </w:rPr>
        <w:t>The Nature of Global Awakening</w:t>
      </w:r>
    </w:p>
    <w:p>
      <w:pPr>
        <w:ind w:firstLine="432"/>
      </w:pPr>
      <w:r>
        <w:t>Global awakening represents the emergence of widespread human consciousness about the true nature of the systems that govern our world and the recognition that fundamental change is both necessary and possible [4]. This awakening involves the recognition that the problems documented in previous chapters are not isolated issues but interconnected manifestations of systematic oppression that requires coordinated resistance and alternative solutions [5]. Global awakening requires the development of critical consciousness that can see through propaganda and manipulation while recognizing the common interests that unite humanity across artificial divisions of race, nationality, religion, and ideology [6]. The process of awakening involves both individual transformation and collective mobilization, as people recognize their power to create change while building the relationships and institutions necessary for sustained resistance and reconstruction [7].</w:t>
      </w:r>
    </w:p>
    <w:p>
      <w:pPr>
        <w:pStyle w:val="Heading2"/>
      </w:pPr>
      <w:r>
        <w:rPr>
          <w:rFonts w:ascii="Times New Roman" w:hAnsi="Times New Roman"/>
          <w:color w:val="000000"/>
          <w:sz w:val="32"/>
        </w:rPr>
        <w:t>The Role of Information and Truth</w:t>
      </w:r>
    </w:p>
    <w:p>
      <w:pPr>
        <w:ind w:firstLine="432"/>
      </w:pPr>
      <w:r>
        <w:t>The foundation of global awakening is access to accurate information and the ability to distinguish truth from propaganda, manipulation, and disinformation [8]. The systematic control of information documented in Chapter 9 has created an urgent need for independent media and communication networks that can bypass corporate and government censorship while providing accurate analysis of current events and historical context [9]. The development of critical media literacy enables individuals to evaluate information sources while recognizing the techniques of propaganda and manipulation that are used to control public opinion [10]. Truth-telling requires courage and sacrifice from those who are willing to expose systematic corruption and oppression despite the personal risks involved in challenging powerful interests [11].</w:t>
      </w:r>
    </w:p>
    <w:p>
      <w:pPr>
        <w:pStyle w:val="Heading2"/>
      </w:pPr>
      <w:r>
        <w:rPr>
          <w:rFonts w:ascii="Times New Roman" w:hAnsi="Times New Roman"/>
          <w:color w:val="000000"/>
          <w:sz w:val="32"/>
        </w:rPr>
        <w:t>Building Networks of Resistance</w:t>
      </w:r>
    </w:p>
    <w:p>
      <w:pPr>
        <w:ind w:firstLine="432"/>
      </w:pPr>
      <w:r>
        <w:t>Global awakening requires the development of networks of resistance that can coordinate action across geographical and institutional boundaries while maintaining security and effectiveness in the face of systematic repression [12]. These networks must be decentralized and resilient while maintaining clear principles and objectives that can guide coordinated action without creating vulnerable centralized leadership [13]. The use of technology for resistance requires careful attention to security and privacy while leveraging the power of digital communication to organize and coordinate action [14]. International solidarity among resistance movements can provide mutual support and shared learning while building the global cooperation necessary for effective resistance to transnational oppression [15].</w:t>
      </w:r>
    </w:p>
    <w:p>
      <w:pPr>
        <w:pStyle w:val="Heading2"/>
      </w:pPr>
      <w:r>
        <w:rPr>
          <w:rFonts w:ascii="Times New Roman" w:hAnsi="Times New Roman"/>
          <w:color w:val="000000"/>
          <w:sz w:val="32"/>
        </w:rPr>
        <w:t>Civil Disobedience and Nonviolent Resistance</w:t>
      </w:r>
    </w:p>
    <w:p>
      <w:pPr>
        <w:ind w:firstLine="432"/>
      </w:pPr>
      <w:r>
        <w:t>The systematic violation of human rights and democratic principles documented throughout this book has created conditions where civil disobedience and nonviolent resistance become moral imperatives for defending human dignity and democratic governance [16]. Civil disobedience involves the deliberate violation of unjust laws while accepting the legal consequences as a means of highlighting injustice and mobilizing public support for change [17]. Nonviolent resistance can be more effective than violent resistance while maintaining moral authority and building broader public support for fundamental change [18]. The success of nonviolent resistance requires careful planning, training, and coordination while building the mass participation necessary to overcome systematic oppression [19].</w:t>
      </w:r>
    </w:p>
    <w:p>
      <w:pPr>
        <w:pStyle w:val="Heading2"/>
      </w:pPr>
      <w:r>
        <w:rPr>
          <w:rFonts w:ascii="Times New Roman" w:hAnsi="Times New Roman"/>
          <w:color w:val="000000"/>
          <w:sz w:val="32"/>
        </w:rPr>
        <w:t>Economic Resistance and Alternative Systems</w:t>
      </w:r>
    </w:p>
    <w:p>
      <w:pPr>
        <w:ind w:firstLine="432"/>
      </w:pPr>
      <w:r>
        <w:t>Economic resistance involves withdrawing support from the systems of exploitation documented in previous chapters while building alternative economic systems that serve human needs rather than elite interests [20]. Consumer boycotts and divestment campaigns can pressure corporations and institutions to change their behavior while demonstrating the power of coordinated economic action [21]. The development of alternative economic systems including cooperatives, local currencies, and community-supported agriculture can provide practical alternatives to corporate capitalism while building economic resilience [22]. Economic resistance requires coordination and sacrifice while building the alternative institutions necessary for long-term economic transformation [23].</w:t>
      </w:r>
    </w:p>
    <w:p>
      <w:pPr>
        <w:pStyle w:val="Heading2"/>
      </w:pPr>
      <w:r>
        <w:rPr>
          <w:rFonts w:ascii="Times New Roman" w:hAnsi="Times New Roman"/>
          <w:color w:val="000000"/>
          <w:sz w:val="32"/>
        </w:rPr>
        <w:t>Political Mobilization and Electoral Strategy</w:t>
      </w:r>
    </w:p>
    <w:p>
      <w:pPr>
        <w:ind w:firstLine="432"/>
      </w:pPr>
      <w:r>
        <w:t>Political mobilization involves using existing democratic institutions to advance fundamental change while recognizing the limitations of electoral politics in captured systems [24]. Electoral strategy must be combined with grassroots organizing and movement building while maintaining independence from the political parties and institutions that have been captured by special interests [25]. The development of new political movements and parties can provide alternatives to existing political options while building the political power necessary for fundamental change [26]. Political mobilization requires long-term commitment and strategic thinking while building the broad coalitions necessary for electoral success and policy change [27].</w:t>
      </w:r>
    </w:p>
    <w:p>
      <w:pPr>
        <w:pStyle w:val="Heading2"/>
      </w:pPr>
      <w:r>
        <w:rPr>
          <w:rFonts w:ascii="Times New Roman" w:hAnsi="Times New Roman"/>
          <w:color w:val="000000"/>
          <w:sz w:val="32"/>
        </w:rPr>
        <w:t>Cultural and Spiritual Mobilization</w:t>
      </w:r>
    </w:p>
    <w:p>
      <w:pPr>
        <w:ind w:firstLine="432"/>
      </w:pPr>
      <w:r>
        <w:t>The cultural and spiritual crisis documented in Chapter 23 requires mobilization that addresses the deeper sources of human motivation and meaning while building the cultural foundation necessary for sustained social change [28]. Cultural resistance involves creating alternative cultural institutions and practices that serve human flourishing while challenging the dehumanizing culture promoted by corporate media and consumer capitalism [29]. Spiritual mobilization involves recognizing the transcendent dimensions of the struggle for human dignity while drawing on spiritual resources for courage, hope, and perseverance in the face of systematic oppression [30]. The integration of cultural and spiritual dimensions with political and economic resistance can provide the comprehensive approach necessary for fundamental transformation [31].</w:t>
      </w:r>
    </w:p>
    <w:p>
      <w:pPr>
        <w:pStyle w:val="Heading2"/>
      </w:pPr>
      <w:r>
        <w:rPr>
          <w:rFonts w:ascii="Times New Roman" w:hAnsi="Times New Roman"/>
          <w:color w:val="000000"/>
          <w:sz w:val="32"/>
        </w:rPr>
        <w:t>Youth Mobilization and Generational Change</w:t>
      </w:r>
    </w:p>
    <w:p>
      <w:pPr>
        <w:ind w:firstLine="432"/>
      </w:pPr>
      <w:r>
        <w:t>Young people have a particular stake in the outcome of current struggles while possessing the energy and idealism necessary for fundamental social change [32]. Youth mobilization requires addressing the specific concerns and experiences of young people while providing opportunities for meaningful participation in resistance and reconstruction [33]. Educational organizing can reach young people where they are while building the knowledge and skills necessary for effective resistance and alternative institution building [34]. Generational change involves recognizing that young people will inherit the consequences of current decisions while empowering them to shape their own future rather than accepting the world created by previous generations [35].</w:t>
      </w:r>
    </w:p>
    <w:p>
      <w:pPr>
        <w:pStyle w:val="Heading2"/>
      </w:pPr>
      <w:r>
        <w:rPr>
          <w:rFonts w:ascii="Times New Roman" w:hAnsi="Times New Roman"/>
          <w:color w:val="000000"/>
          <w:sz w:val="32"/>
        </w:rPr>
        <w:t>International Cooperation and Global Solidarity</w:t>
      </w:r>
    </w:p>
    <w:p>
      <w:pPr>
        <w:ind w:firstLine="432"/>
      </w:pPr>
      <w:r>
        <w:t>The transnational nature of the problems documented throughout this book requires international cooperation and global solidarity that can address systematic oppression across national boundaries [36]. Global solidarity involves recognizing the common interests that unite people across artificial divisions while building relationships of mutual support and cooperation [37]. International cooperation requires coordination among resistance movements while respecting cultural diversity and national sovereignty [38]. The development of global institutions and frameworks that serve human needs rather than elite interests requires sustained international cooperation and shared commitment to democratic principles [39].</w:t>
      </w:r>
    </w:p>
    <w:p>
      <w:pPr>
        <w:pStyle w:val="Heading2"/>
      </w:pPr>
      <w:r>
        <w:rPr>
          <w:rFonts w:ascii="Times New Roman" w:hAnsi="Times New Roman"/>
          <w:color w:val="000000"/>
          <w:sz w:val="32"/>
        </w:rPr>
        <w:t>The Role of Technology in Mobilization</w:t>
      </w:r>
    </w:p>
    <w:p>
      <w:pPr>
        <w:ind w:firstLine="432"/>
      </w:pPr>
      <w:r>
        <w:t>Technology can be a powerful tool for mobilization and coordination while also creating risks of surveillance and manipulation that must be carefully managed [40].</w:t>
      </w:r>
    </w:p>
    <w:p>
      <w:pPr>
        <w:ind w:firstLine="432"/>
      </w:pPr>
      <w:r>
        <w:t>Social media and digital communication can enable rapid organization and coordination while bypassing traditional media gatekeepers and reaching large audiences [41]. Encryption and privacy technologies can protect resistance communications while enabling secure coordination in the face of government and corporate surveillance [42]. The development of alternative technology platforms and infrastructure can provide alternatives to corporate-controlled systems while building the technological capacity necessary for sustained resistance [43].</w:t>
      </w:r>
    </w:p>
    <w:p>
      <w:pPr>
        <w:pStyle w:val="Heading2"/>
      </w:pPr>
      <w:r>
        <w:rPr>
          <w:rFonts w:ascii="Times New Roman" w:hAnsi="Times New Roman"/>
          <w:color w:val="000000"/>
          <w:sz w:val="32"/>
        </w:rPr>
        <w:t>Overcoming Division and Building Unity</w:t>
      </w:r>
    </w:p>
    <w:p>
      <w:pPr>
        <w:ind w:firstLine="432"/>
      </w:pPr>
      <w:r>
        <w:t>The systematic promotion of division and conflict documented throughout this book requires deliberate efforts to build unity and cooperation across artificial boundaries [44]. Overcoming racial, ethnic, and religious divisions requires recognizing the common interests that unite humanity while addressing the legitimate grievances and concerns of different communities [45]. Building class consciousness involves recognizing the shared interests of working people while overcoming the divisions that prevent effective cooperation against elite domination [46]. Unity requires both principled commitment to shared values and practical cooperation on specific issues while maintaining respect for diversity and disagreement [47].</w:t>
      </w:r>
    </w:p>
    <w:p>
      <w:pPr>
        <w:pStyle w:val="Heading2"/>
      </w:pPr>
      <w:r>
        <w:rPr>
          <w:rFonts w:ascii="Times New Roman" w:hAnsi="Times New Roman"/>
          <w:color w:val="000000"/>
          <w:sz w:val="32"/>
        </w:rPr>
        <w:t>Preparing for Repression and Backlash</w:t>
      </w:r>
    </w:p>
    <w:p>
      <w:pPr>
        <w:ind w:firstLine="432"/>
      </w:pPr>
      <w:r>
        <w:t>The mobilization of resistance will inevitably provoke repression and backlash from entrenched interests that will use all available means to maintain their power and control [48]. Preparation for repression requires security culture and operational security while building the resilience and redundancy necessary to survive systematic attacks [49]. Legal support and jail solidarity can provide protection for activists while maintaining morale and commitment in the face of legal persecution [50].</w:t>
      </w:r>
    </w:p>
    <w:p>
      <w:pPr>
        <w:ind w:firstLine="432"/>
      </w:pPr>
      <w:r>
        <w:t>p [ ] The development of alternative institutions and support systems can provide the infrastructure necessary to sustain resistance in the face of systematic repression [51].</w:t>
      </w:r>
    </w:p>
    <w:p>
      <w:pPr>
        <w:pStyle w:val="Heading2"/>
      </w:pPr>
      <w:r>
        <w:rPr>
          <w:rFonts w:ascii="Times New Roman" w:hAnsi="Times New Roman"/>
          <w:color w:val="000000"/>
          <w:sz w:val="32"/>
        </w:rPr>
        <w:t>The Urgency of Action</w:t>
      </w:r>
    </w:p>
    <w:p>
      <w:pPr>
        <w:ind w:firstLine="432"/>
      </w:pPr>
      <w:r>
        <w:t>The exponential nature of the problems documented throughout this book means that the window of opportunity for peaceful transformation is rapidly closing, making immediate action a moral imperative [52]. The implementation of techno-totalitarian control systems is accelerating while the environmental and social crises are approaching tipping points that could make recovery impossible [53]. Delay increases the likelihood of violent conflict and civilizational collapse while reducing the options available for peaceful transformation [54]. The current moment represents a unique opportunity for fundamental change that may not be available to future generations if current trends continue [55].</w:t>
      </w:r>
    </w:p>
    <w:p>
      <w:pPr>
        <w:pStyle w:val="Heading2"/>
      </w:pPr>
      <w:r>
        <w:rPr>
          <w:rFonts w:ascii="Times New Roman" w:hAnsi="Times New Roman"/>
          <w:color w:val="000000"/>
          <w:sz w:val="32"/>
        </w:rPr>
        <w:t>Key Quotes</w:t>
      </w:r>
    </w:p>
    <w:p>
      <w:pPr>
        <w:ind w:firstLine="432"/>
      </w:pPr>
      <w:r>
        <w:t>“The ultimate measure of a man is not where he stands in moments of comfort and convenience, but where he stands at times of challenge and controversy.” - Martin Luther King Jr. “Never doubt that a small group of thoughtful, committed citizens can change the world; indeed, it’s the only thing that ever has.” - Margaret Mead “The most powerful weapon against oppression is the organized power of the people.” - Nelson Mandela “If you want to make peace with your enemy, you have to work with your enemy. Then he becomes your partner.” - Nelson Mandela “The only way to deal with an unfree world is to become so absolutely free that your very existence is an act of rebellion.” - Albert Camus</w:t>
      </w:r>
    </w:p>
    <w:p>
      <w:pPr>
        <w:pStyle w:val="Heading2"/>
      </w:pPr>
      <w:r>
        <w:rPr>
          <w:rFonts w:ascii="Times New Roman" w:hAnsi="Times New Roman"/>
          <w:color w:val="000000"/>
          <w:sz w:val="32"/>
        </w:rPr>
        <w:t>Real-World Examples</w:t>
      </w:r>
    </w:p>
    <w:p>
      <w:pPr>
        <w:ind w:firstLine="432"/>
      </w:pPr>
      <w:r>
        <w:t>Example 1: The Civil Rights Movement The American Civil Rights Movement demonstrated how sustained nonviolent resistance and mass mobilization can overcome systematic oppression while building broad public support for fundamental change. The movement shows how principled resistance combined with strategic organizing can achieve significant victories against entrenched power. Example 2: The Solidarity Movement in Poland The Solidarity movement in Poland demonstrated how workers’ organizations can challenge authoritarian systems while building alternative institutions and democratic culture. The movement shows how sustained resistance can eventually overcome even totalitarian systems when it builds broad popular support. Example 3: The Arab Spring and Its Lessons The Arab Spring demonstrated both the potential and limitations of popular mobilization in the digital age. While the movements successfully challenged authoritarian regimes, the lack of alternative institutions and the intervention of external powers led to mixed results, highlighting the importance of sustained organizing and institution building.</w:t>
      </w:r>
    </w:p>
    <w:p>
      <w:pPr>
        <w:pStyle w:val="Heading2"/>
      </w:pPr>
      <w:r>
        <w:rPr>
          <w:rFonts w:ascii="Times New Roman" w:hAnsi="Times New Roman"/>
          <w:color w:val="000000"/>
          <w:sz w:val="32"/>
        </w:rPr>
        <w:t>References and Sources</w:t>
      </w:r>
    </w:p>
    <w:p>
      <w:pPr>
        <w:ind w:firstLine="432"/>
      </w:pPr>
      <w:r>
        <w:t>[1] Freire, Paulo. “Pedagogy of the Oppressed.” Continuum International Publishing Group, 1970. [2] Eisenstein, Charles. “The More Beautiful World Our Hearts Know Is Possible.” North Atlantic Books, 2013. [3] Diamond, Larry. “Ill Winds: Saving Democracy from Russian Rage, Chinese Ambition, and American Complacency.” Penguin Press, 2019.</w:t>
      </w:r>
    </w:p>
    <w:p>
      <w:pPr>
        <w:ind w:firstLine="432"/>
      </w:pPr>
      <w:r>
        <w:t>[4] Gramsci, Antonio. “Prison Notebooks.” Columbia University Press, 1948-1951. [5] Chomsky, Noam. “Manufacturing Consent: The Political Economy of the Mass Media.” Pantheon Books, 1988. [6] hooks, bell. “Critical Consciousness.” Routledge, 2010. [7] Cullors, Patrisse. “An Abolitionist’s Handbook.” St. Martin’s Press, 2021. [8] Herman, Edward S., and Noam Chomsky. “Manufacturing Consent: The Political Economy of the Mass Media.” Pantheon Books, 1988. [9] McChesney, Robert W. “Rich Media, Poor Democracy: Communication Politics in Dubious Times.” University of Illinois Press, 1999. [10] Potter, W. James. “Media Literacy.” Sage Publications, 2016. [11] Ellsberg, Daniel. “Secrets: A Memoir of Vietnam and the Pentagon Papers.” Viking, 2002. [12] Cullors, Patrisse. “When They Call You a Terrorist: A Black Lives Matter Memoir.” St. Martin’s Press, 2018. [13] Arquilla, John, and David Ronfeldt. “Networks and Netwars: The Future of Terror, Crime, and Militancy.” RAND Corporation, 2001. [14] Tufekci, Zeynep. “Twitter and Tear Gas: The Power and Fragility of Networked Protest.” Yale University Press, 2017. [15] Tarrow, Sidney. “The New Transnational Activism.” Cambridge University Press, 2005. [16] Thoreau, Henry David. “Civil Disobedience.” Resistance to Civil Government, 1849. [17] Gandhi, Mahatma. “Satyagraha in South Africa.” Stanford University Press, 1928. [18] Sharp, Gene. “From Dictatorship to Democracy: A Conceptual Framework for Liberation.” Albert Einstein Institution, 1993. [19] Chenoweth, Erica, and Maria J. Stephan. “Why Civil Resistance Works: The Strategic Logic of Nonviolent Conflict.” Columbia University</w:t>
      </w:r>
    </w:p>
    <w:p>
      <w:pPr>
        <w:ind w:firstLine="432"/>
      </w:pPr>
      <w:r>
        <w:t>Press, 2011. [20] Solnit, Rebecca. “Hope in the Dark: Untold Histories, Wild Possibilities.” Nation Books, 2004. [21] Friedman, Monroe. “Consumer Boycotts: Effecting Change Through the Marketplace and Media.” Routledge, 1999. [22] Gibson-Graham, J.K. “Take Back the Economy: An Ethical Guide for Transforming Our Communities.” University of Minnesota Press, 2013. [23] Alperovitz, Gar. “What Then Must We Do? Straight Talk about the Next American Revolution.” Chelsea Green Publishing, 2013. [24] Piven, Frances Fox, and Richard A. Cloward. “Poor People’s Movements: Why They Succeed, How They Fail.” Pantheon Books, 1977. [25] Heaney, Michael T., and Fabio Rojas. “Party in the Street: The Antiwar Movement and the Democratic Party after 9/11.” Cambridge University Press, 2015. [26] Schlozman, Kay Lehman, et al. “The Unheavenly Chorus: Unequal Political Voice and the Broken Promise of American Democracy.” Princeton University Press, 2012. [27] Han, Hahrie. “How Organizations Develop Activists: Civic Associations and Leadership in the 21st Century.” Oxford University Press, 2014. [28] Brown, adrienne maree. “Emergent Strategy: Shaping Change, Changing Worlds.” AK Press, 2017. [29] Williams, Raymond. “Culture and Society: 1780-1950.” Columbia University Press, 1958. [30] King Jr., Martin Luther. “Strength to Love.” Fortress Press, 1963. [31] Cullors, Patrisse. “An Abolitionist’s Handbook.” St. Martin’s Press, 2021. [32] Tufekci, Zeynep. “Twitter and Tear Gas: The Power and Fragility of Networked Protest.” Yale University Press, 2017. [33] Ginwright, Shawn. “Hope and Healing in Urban Education: How Urban Activists and Teachers Are Reclaiming Matters of the Heart.”</w:t>
      </w:r>
    </w:p>
    <w:p>
      <w:pPr>
        <w:ind w:firstLine="432"/>
      </w:pPr>
      <w:r>
        <w:t>Routledge, 2009. [34] Freire, Paulo. “Pedagogy of the Oppressed.” Continuum International Publishing Group, 1970. [35] Cullors, Patrisse. “When They Call You a Terrorist: A Black Lives Matter Memoir.” St. Martin’s Press, 2018. [36] Keck, Margaret E., and Kathryn Sikkink. “Activists beyond Borders: Advocacy Networks in International Politics.” Cornell University Press, 1998. [37] Solnit, Rebecca. “Hope in the Dark: Untold Histories, Wild Possibilities.” Nation Books, 2004. [38] Tarrow, Sidney. “The New Transnational Activism.” Cambridge University Press, 2005. [39] Held, David. “Democracy and the Global Order: From the Modern State to Cosmopolitan Governance.” Stanford University Press, 1995. [40] Castells, Manuel. “Networks of Outrage and Hope: Social Movements in the Internet Age.” Polity Press, 2012. [41] Howard, Philip N., and Muzammil M. Hussain. “Democracy’s Fourth Wave? Digital Media and the Arab Spring.” Oxford University Press, 2013. [42] Schneier, Bruce. “Data and Goliath: The Hidden Battles to Collect Your Data and Control Your World.” W. W. Norton &amp; Company, 2015. [43] Benkler, Yochai. “The Wealth of Networks: How Social Production Transforms Markets and Freedom.” Yale University Press, 2006. [44] Cullors, Patrisse. “An Abolitionist’s Handbook.” St. Martin’s Press, 2021. [45] Bonilla-Silva, Eduardo. “Racism without Racists: Color-Blind Racism and the Persistence of Racial Inequality in America.” Rowman &amp; Littlefield, 2003. [46] Fraser, Nancy, and Axel Honneth. “Redistribution or Recognition? A Political-Philosophical Exchange.” Verso, 2003.</w:t>
      </w:r>
    </w:p>
    <w:p>
      <w:pPr>
        <w:ind w:firstLine="432"/>
      </w:pPr>
      <w:r>
        <w:t>[47] Brown, adrienne maree. “Emergent Strategy: Shaping Change, Changing Worlds.” AK Press, 2017. [48] Churchill, Ward. “The COINTELPRO Papers: Documents from the FBI’s Secret Wars Against Dissent in the United States.” South End Press, 1990. [49] Best, Steven, and Anthony J. Nocella. “Defining Terrorism.” Animal Liberation Philosophy and Policy Journal, 2006. [50] Cullors, Patrisse. “When They Call You a Terrorist: A Black Lives Matter Memoir.” St. Martin’s Press, 2018. [51] Solnit, Rebecca. “Hope in the Dark: Untold Histories, Wild Possibilities.” Nation Books, 2004. [52] Klein, Naomi. “This Changes Everything: Capitalism vs. the Climate.” Simon &amp; Schuster, 2014. [53] Diamond, Larry. “Ill Winds: Saving Democracy from Russian Rage, Chinese Ambition, and American Complacency.” Penguin Press, 2019. [54] Turchin, Peter. “Ages of Discord: A Structural-Demographic Analysis of American History.” Beresta Books, 2016. [55] Eisenstein, Charles. “The More Beautiful World Our Hearts Know Is Possible.” North Atlantic Books, 2013.</w:t>
      </w:r>
    </w:p>
    <w:p>
      <w:pPr>
        <w:pStyle w:val="Heading2"/>
      </w:pPr>
      <w:r>
        <w:rPr>
          <w:rFonts w:ascii="Times New Roman" w:hAnsi="Times New Roman"/>
          <w:color w:val="000000"/>
          <w:sz w:val="32"/>
        </w:rPr>
        <w:t>Suggested Further Research</w:t>
      </w:r>
    </w:p>
    <w:p>
      <w:pPr>
        <w:ind w:firstLine="432"/>
      </w:pPr>
      <w:r>
        <w:t>1. “From Dictatorship to Democracy” by Gene Sharp - Practical guide to nonviolent resistance and democratic transformation. 2. “Why Civil Resistance Works” by Erica Chenoweth and Maria Stephan - Analysis of the effectiveness of nonviolent resistance compared to violent resistance. 3. “Twitter and Tear Gas” by Zeynep Tufekci - Examination of how digital technologies are changing the nature of social movements and political mobilization. 4. “Pedagogy of the Oppressed” by Paulo Freire - Foundational work on critical consciousness and popular education for social</w:t>
      </w:r>
    </w:p>
    <w:p>
      <w:pPr>
        <w:ind w:firstLine="432"/>
      </w:pPr>
      <w:r>
        <w:t>change. 5. “Manufacturing Consent” by Edward Herman and Noam Chomsky - Analysis of how mass media serves elite interests and shapes public opinion. 6. “Hope in the Dark” by Rebecca Solnit - Exploration of how social movements create change and build hope in difficult circumstances. 7. “Emergent Strategy” by adrienne maree brown - Framework for organizing and social change based on principles of emergence and adaptation.</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Chapter 25: The Constitutional Solution — Recognizing the South African Constitution Chapter 1 &amp; Chapter 2 Section 34 and 38 as a Basis for an International Treaty for Divine Sovereignty and World Peace</w:t>
      </w:r>
    </w:p>
    <w:p>
      <w:pPr>
        <w:pStyle w:val="Heading2"/>
      </w:pPr>
      <w:r>
        <w:rPr>
          <w:rFonts w:ascii="Times New Roman" w:hAnsi="Times New Roman"/>
          <w:color w:val="000000"/>
          <w:sz w:val="32"/>
        </w:rPr>
        <w:t>Solution - Recognizing the South</w:t>
      </w:r>
    </w:p>
    <w:p>
      <w:pPr>
        <w:pStyle w:val="Heading2"/>
      </w:pPr>
      <w:r>
        <w:rPr>
          <w:rFonts w:ascii="Times New Roman" w:hAnsi="Times New Roman"/>
          <w:color w:val="000000"/>
          <w:sz w:val="32"/>
        </w:rPr>
        <w:t>African Constitution Chapter 1 &amp;</w:t>
      </w:r>
    </w:p>
    <w:p>
      <w:pPr>
        <w:pStyle w:val="Heading2"/>
      </w:pPr>
      <w:r>
        <w:rPr>
          <w:rFonts w:ascii="Times New Roman" w:hAnsi="Times New Roman"/>
          <w:color w:val="000000"/>
          <w:sz w:val="32"/>
        </w:rPr>
        <w:t>basis for an International Treaty</w:t>
      </w:r>
    </w:p>
    <w:p>
      <w:pPr>
        <w:pStyle w:val="Heading2"/>
      </w:pPr>
      <w:r>
        <w:rPr>
          <w:rFonts w:ascii="Times New Roman" w:hAnsi="Times New Roman"/>
          <w:color w:val="000000"/>
          <w:sz w:val="32"/>
        </w:rPr>
        <w:t>for Divine Sovereignty and World</w:t>
      </w:r>
    </w:p>
    <w:p>
      <w:pPr>
        <w:pStyle w:val="Heading2"/>
      </w:pPr>
      <w:r>
        <w:rPr>
          <w:rFonts w:ascii="Times New Roman" w:hAnsi="Times New Roman"/>
          <w:color w:val="000000"/>
          <w:sz w:val="32"/>
        </w:rPr>
        <w:t>Peace</w:t>
      </w:r>
    </w:p>
    <w:p>
      <w:pPr>
        <w:pStyle w:val="Heading2"/>
      </w:pPr>
      <w:r>
        <w:rPr>
          <w:rFonts w:ascii="Times New Roman" w:hAnsi="Times New Roman"/>
          <w:color w:val="000000"/>
          <w:sz w:val="32"/>
        </w:rPr>
        <w:t>Introduction</w:t>
      </w:r>
    </w:p>
    <w:p>
      <w:pPr>
        <w:ind w:firstLine="432"/>
      </w:pPr>
      <w:r>
        <w:t>After documenting the comprehensive SITUATION of global institutional capture, identifying the core PROBLEMS of systematic oppression, exploring the devastating IMPLICATIONS for human freedom and dignity, and establishing the urgent NEED for fundamental transformation, we arrive at the culmination of our investigation: the recognition that the South African Constitution, when implemented as an international treaty, provides the constitutional framework necessary to restore divine sovereignty to every living man and woman while establishing the foundation for lasting world peace [1].</w:t>
      </w:r>
    </w:p>
    <w:p>
      <w:pPr>
        <w:ind w:firstLine="432"/>
      </w:pPr>
      <w:r>
        <w:t>This final chapter represents the “Expressed Need” component of the SPIN methodology - the moment when all previous analysis converges to demonstrate the absolute necessity for constitutional action that recognizes and protects the divine nature of every human being. The evidence presented throughout this book leads inexorably to one conclusion: humanity requires immediate constitutional protection against the forces that seek to deny our divine sovereignty and reduce us to controllable subjects [2]. The South African Constitution stands unique among the world’s governing documents in its explicit recognition of human dignity as the foundational principle of governance, its comprehensive protection of both civil and socio-economic rights, and its establishment of mechanisms for constitutional enforcement that can resist political capture and institutional manipulation [3]. When recognized as an international treaty under the Rex Lex Lex Rex principle, this constitution becomes more than a national document - it becomes a global covenant that acknowledges the divine sovereignty of every living man and woman while providing legal mechanisms to protect these rights against all forms of systematic oppression [4].</w:t>
      </w:r>
    </w:p>
    <w:p>
      <w:pPr>
        <w:pStyle w:val="Heading2"/>
      </w:pPr>
      <w:r>
        <w:rPr>
          <w:rFonts w:ascii="Times New Roman" w:hAnsi="Times New Roman"/>
          <w:color w:val="000000"/>
          <w:sz w:val="32"/>
        </w:rPr>
        <w:t>The Divine Foundation of Constitutional Governance</w:t>
      </w:r>
    </w:p>
    <w:p>
      <w:pPr>
        <w:ind w:firstLine="432"/>
      </w:pPr>
      <w:r>
        <w:t>The South African Constitution begins with the recognition that “South Africa belongs to all who live in it” - a principle that acknowledges the divine right of every person to exist in freedom and dignity upon the earth that the Creator has provided for all humanity [5]. The constitutional principle of human dignity (Ubuntu) recognizes that every person possesses inherent worth and value that exists prior to and independent of any government recognition or legal status. This dignity is not granted by human authority but flows from the divine nature that exists within every living man and woman [6]. The constitutional protection of the “right to life” acknowledges that life itself is sacred and that no human institution has the authority to violate or terminate the divine spark that animates every living being [7]. The recognition of “freedom and security of the person” establishes that every individual possesses sovereign authority over their own body,</w:t>
      </w:r>
    </w:p>
    <w:p>
      <w:pPr>
        <w:ind w:firstLine="432"/>
      </w:pPr>
      <w:r>
        <w:t>mind, and spirit, and that no external force can legitimately violate this divine sovereignty without explicit consent [8].</w:t>
      </w:r>
    </w:p>
    <w:p>
      <w:pPr>
        <w:pStyle w:val="Heading2"/>
      </w:pPr>
      <w:r>
        <w:rPr>
          <w:rFonts w:ascii="Times New Roman" w:hAnsi="Times New Roman"/>
          <w:color w:val="000000"/>
          <w:sz w:val="32"/>
        </w:rPr>
        <w:t>The Rex Lex Lex Rex Principle</w:t>
      </w:r>
    </w:p>
    <w:p>
      <w:pPr>
        <w:ind w:firstLine="432"/>
      </w:pPr>
      <w:r>
        <w:t>The concept of Rex Lex Lex Rex (The King is Law, The Law is King) establishes that legitimate government authority flows from divine law rather than human will, and that all earthly authority must conform to the divine principles that govern the universe [9]. Under this principle, the South African Constitution derives its authority not from the political process that created it, but from its conformity to divine law and its recognition of the divine sovereignty that exists within every person [10]. The constitution becomes “law as king” when it serves to protect divine rights and sovereignty, while any government that violates these divine principles loses its legitimacy regardless of its claimed authority or popular support [11]. The international recognition of the South African Constitution as a treaty creates binding obligations under divine law that transcend national political processes and cannot be violated by any earthly authority [12].</w:t>
      </w:r>
    </w:p>
    <w:p>
      <w:pPr>
        <w:pStyle w:val="Heading2"/>
      </w:pPr>
      <w:r>
        <w:rPr>
          <w:rFonts w:ascii="Times New Roman" w:hAnsi="Times New Roman"/>
          <w:color w:val="000000"/>
          <w:sz w:val="32"/>
        </w:rPr>
        <w:t>Constitutional Protection of Divine Rights</w:t>
      </w:r>
    </w:p>
    <w:p>
      <w:pPr>
        <w:ind w:firstLine="432"/>
      </w:pPr>
      <w:r>
        <w:t>The South African Constitution provides comprehensive protection for the divine rights that exist within every living man and woman, establishing legal mechanisms that can resist the systematic violations documented throughout this book [13]. The Right to Human Dignity protects the divine nature of every person against all forms of dehumanization, commodification, and systematic oppression that seek to reduce divine beings to economic units or biological machines [14]. The Right to Life protects the sacred nature of existence against all forms of violence, exploitation, and systematic destruction that violate the divine spark within every living being [15].</w:t>
      </w:r>
    </w:p>
    <w:p>
      <w:pPr>
        <w:ind w:firstLine="432"/>
      </w:pPr>
      <w:r>
        <w:t>The Right to Freedom and Security of the Person protects individual sovereignty against all forms of coercion, manipulation, and control that seek to violate the divine authority that every person possesses over their own life and destiny [16]. The Right to Privacy protects the sacred inner life of every person against surveillance, manipulation, and intrusion that violate the divine sanctuary that exists within every human soul [17]. The Right to Freedom of Religion, Belief and Opinion protects the divine connection that exists within every person against all attempts to suppress, manipulate, or control spiritual life and divine consciousness [18]. The Right to Freedom of Expression protects the divine capacity for truth-telling and prophetic witness against all forms of censorship and manipulation that seek to suppress divine revelation and spiritual insight [19]. The Right to Assembly, Demonstration, Picket and Petition protects the divine right of sovereign individuals to gather together in recognition of their shared divine nature and to petition for the protection of divine rights [20].</w:t>
      </w:r>
    </w:p>
    <w:p>
      <w:pPr>
        <w:pStyle w:val="Heading2"/>
      </w:pPr>
      <w:r>
        <w:rPr>
          <w:rFonts w:ascii="Times New Roman" w:hAnsi="Times New Roman"/>
          <w:color w:val="000000"/>
          <w:sz w:val="32"/>
        </w:rPr>
        <w:t>Economic Rights and Divine Stewardship</w:t>
      </w:r>
    </w:p>
    <w:p>
      <w:pPr>
        <w:ind w:firstLine="432"/>
      </w:pPr>
      <w:r>
        <w:t>The South African Constitution’s protection of socio-economic rights recognizes that every person, as a divine being, has the right to the material conditions necessary for spiritual development and human flourishing [21]. The Right to Housing acknowledges that every divine being requires sacred space for spiritual development and family life that cannot be violated by economic exploitation or systematic displacement [22]. The Right to Healthcare recognizes that the divine temple of the human body must be protected and cared for, and that no person should be denied healing because of their economic status [23]. The Right to Education protects the divine capacity for learning and spiritual development against all forms of indoctrination and</w:t>
      </w:r>
    </w:p>
    <w:p>
      <w:pPr>
        <w:ind w:firstLine="432"/>
      </w:pPr>
      <w:r>
        <w:t>manipulation that seek to suppress divine consciousness and critical thinking [24]. The Right to Social Security acknowledges that every divine being has the right to economic security that enables spiritual development and service to others rather than mere survival [25].</w:t>
      </w:r>
    </w:p>
    <w:p>
      <w:pPr>
        <w:pStyle w:val="Heading2"/>
      </w:pPr>
      <w:r>
        <w:rPr>
          <w:rFonts w:ascii="Times New Roman" w:hAnsi="Times New Roman"/>
          <w:color w:val="000000"/>
          <w:sz w:val="32"/>
        </w:rPr>
        <w:t>Environmental Rights and Planetary Stewardship</w:t>
      </w:r>
    </w:p>
    <w:p>
      <w:pPr>
        <w:ind w:firstLine="432"/>
      </w:pPr>
      <w:r>
        <w:t>The constitutional right to a healthy environment recognizes that the earth itself is sacred and that every person, as a divine steward, has both the right to environmental protection and the obligation to care for creation [26]. This environmental right protects against the systematic environmental destruction documented in Chapter 12 while establishing the principle that no human authority has the right to destroy the natural systems that the Creator has provided for all life [27]. The constitutional framework provides legal mechanisms to address geoengineering, weather manipulation, and other forms of environmental warfare that violate both human rights and the sacred integrity of natural systems [28]. Environmental protection becomes a divine mandate that transcends national boundaries and political considerations, establishing the principle that planetary stewardship is a sacred responsibility of all humanity [29].</w:t>
      </w:r>
    </w:p>
    <w:p>
      <w:pPr>
        <w:pStyle w:val="Heading2"/>
      </w:pPr>
      <w:r>
        <w:rPr>
          <w:rFonts w:ascii="Times New Roman" w:hAnsi="Times New Roman"/>
          <w:color w:val="000000"/>
          <w:sz w:val="32"/>
        </w:rPr>
        <w:t>The International Plebeian Cultural Tribunal</w:t>
      </w:r>
    </w:p>
    <w:p>
      <w:pPr>
        <w:ind w:firstLine="432"/>
      </w:pPr>
      <w:r>
        <w:t>The implementation of the South African Constitution as an international treaty requires the establishment of the International Plebeian Cultural Tribunal as the enforcement mechanism that can protect divine rights against all forms of systematic violation [30]. The Tribunal operates according to the principle that every living man and woman possesses divine sovereignty and the right to constitutional</w:t>
      </w:r>
    </w:p>
    <w:p>
      <w:pPr>
        <w:ind w:firstLine="432"/>
      </w:pPr>
      <w:r>
        <w:t>protection regardless of their nationality, economic status, or political affiliation [31]. The Tribunal’s authority flows from divine law rather than human political processes, making it immune to the political capture and institutional manipulation that have compromised other international institutions [32]. The Tribunal provides accessible mechanisms for ordinary people to seek constitutional protection while building a global network of constitutional enforcement that can resist systematic oppression [33].</w:t>
      </w:r>
    </w:p>
    <w:p>
      <w:pPr>
        <w:pStyle w:val="Heading2"/>
      </w:pPr>
      <w:r>
        <w:rPr>
          <w:rFonts w:ascii="Times New Roman" w:hAnsi="Times New Roman"/>
          <w:color w:val="000000"/>
          <w:sz w:val="32"/>
        </w:rPr>
        <w:t>The Opt-Out Principle and Technological Sovereignty</w:t>
      </w:r>
    </w:p>
    <w:p>
      <w:pPr>
        <w:ind w:firstLine="432"/>
      </w:pPr>
      <w:r>
        <w:t>The constitutional framework establishes the absolute right of every sovereign individual to opt out of any technological system, surveillance network, or control mechanism that violates their divine sovereignty [34]. No social credit system, digital identity scheme, or technological control matrix can be imposed upon any person without their free and informed consent, and every individual retains the right to withdraw from such systems at any time [35]. Technology must serve to protect and enhance divine sovereignty rather than undermining it, and any technological system that violates individual autonomy or attempts to control sovereign men and women is constitutionally illegitimate [36]. The constitutional protection of technological sovereignty ensures that the divine rights of living men and women cannot be violated through technological means, regardless of claimed benefits or justifications [37].</w:t>
      </w:r>
    </w:p>
    <w:p>
      <w:pPr>
        <w:pStyle w:val="Heading2"/>
      </w:pPr>
      <w:r>
        <w:rPr>
          <w:rFonts w:ascii="Times New Roman" w:hAnsi="Times New Roman"/>
          <w:color w:val="000000"/>
          <w:sz w:val="32"/>
        </w:rPr>
        <w:t>Global Implementation Strategy</w:t>
      </w:r>
    </w:p>
    <w:p>
      <w:pPr>
        <w:ind w:firstLine="432"/>
      </w:pPr>
      <w:r>
        <w:t>The recognition of the South African Constitution as an international treaty begins with individual and community declarations of constitutional allegiance that acknowledge divine sovereignty and claim constitutional protection [38].</w:t>
      </w:r>
    </w:p>
    <w:p>
      <w:pPr>
        <w:ind w:firstLine="432"/>
      </w:pPr>
      <w:r>
        <w:t>Local communities can implement constitutional principles through community councils and local governance structures that operate according to divine law rather than political manipulation [39]. National governments can recognize the treaty through legislative action or executive declaration, creating binding obligations under international law while establishing constitutional protection for their citizens [40]. International cooperation among constitutional communities can build the global network necessary for effective constitutional enforcement while providing mutual support and protection [41].</w:t>
      </w:r>
    </w:p>
    <w:p>
      <w:pPr>
        <w:pStyle w:val="Heading2"/>
      </w:pPr>
      <w:r>
        <w:rPr>
          <w:rFonts w:ascii="Times New Roman" w:hAnsi="Times New Roman"/>
          <w:color w:val="000000"/>
          <w:sz w:val="32"/>
        </w:rPr>
        <w:t>The Role of Civil Society and Grassroots Mobilization</w:t>
      </w:r>
    </w:p>
    <w:p>
      <w:pPr>
        <w:ind w:firstLine="432"/>
      </w:pPr>
      <w:r>
        <w:t>The constitutional transformation requires active participation from civil society organizations and grassroots movements that can mobilize popular support while building the social infrastructure necessary for constitutional implementation [42]. Community education about divine rights and constitutional principles can awaken consciousness about individual sovereignty while building the knowledge base necessary for effective constitutional participation [43]. Peaceful resistance to unconstitutional authority can demonstrate the power of constitutional principles while building popular support for constitutional governance [44]. International solidarity among constitutional movements can provide mutual support and shared learning while building the global cooperation necessary for constitutional transformation [45].</w:t>
      </w:r>
    </w:p>
    <w:p>
      <w:pPr>
        <w:pStyle w:val="Heading2"/>
      </w:pPr>
      <w:r>
        <w:rPr>
          <w:rFonts w:ascii="Times New Roman" w:hAnsi="Times New Roman"/>
          <w:color w:val="000000"/>
          <w:sz w:val="32"/>
        </w:rPr>
        <w:t>The Spiritual Dimension of Constitutional Liberation</w:t>
      </w:r>
    </w:p>
    <w:p>
      <w:pPr>
        <w:ind w:firstLine="432"/>
      </w:pPr>
      <w:r>
        <w:t>The constitutional recognition of divine sovereignty represents more than legal reform - it represents a spiritual awakening that acknowledges the divine nature of every human being and the sacred responsibility of governance [46].</w:t>
      </w:r>
    </w:p>
    <w:p>
      <w:pPr>
        <w:ind w:firstLine="432"/>
      </w:pPr>
      <w:r>
        <w:t>Constitutional governance becomes a form of spiritual practice that honors the divine within every person while creating social structures that support spiritual development and human flourishing [47]. The restoration of divine sovereignty through constitutional means provides the foundation for cultural and spiritual renewal that can address the deeper sources of human motivation and social cooperation [48]. Constitutional liberation enables the full expression of human potential and divine creativity while creating the conditions necessary for lasting peace and planetary healing [49].</w:t>
      </w:r>
    </w:p>
    <w:p>
      <w:pPr>
        <w:pStyle w:val="Heading2"/>
      </w:pPr>
      <w:r>
        <w:rPr>
          <w:rFonts w:ascii="Times New Roman" w:hAnsi="Times New Roman"/>
          <w:color w:val="000000"/>
          <w:sz w:val="32"/>
        </w:rPr>
        <w:t>The Urgency of Constitutional Action</w:t>
      </w:r>
    </w:p>
    <w:p>
      <w:pPr>
        <w:ind w:firstLine="432"/>
      </w:pPr>
      <w:r>
        <w:t>The exponential acceleration of techno-totalitarian control systems documented throughout this book means that the window of opportunity for constitutional transformation is rapidly closing [50]. The implementation of digital currencies, social credit systems, and surveillance networks is creating the infrastructure for permanent control that will make future constitutional resistance impossible once fully deployed [51]. The breakdown of existing institutions and the loss of public trust in government creates a unique opportunity for constitutional transformation that may not be available to future generations [52]. Immediate action to recognize and implement the South African Constitution as an international treaty represents humanity’s best hope for preserving divine sovereignty and preventing permanent enslavement [53].</w:t>
      </w:r>
    </w:p>
    <w:p>
      <w:pPr>
        <w:pStyle w:val="Heading2"/>
      </w:pPr>
      <w:r>
        <w:rPr>
          <w:rFonts w:ascii="Times New Roman" w:hAnsi="Times New Roman"/>
          <w:color w:val="000000"/>
          <w:sz w:val="32"/>
        </w:rPr>
        <w:t>The Call to Action</w:t>
      </w:r>
    </w:p>
    <w:p>
      <w:pPr>
        <w:ind w:firstLine="432"/>
      </w:pPr>
      <w:r>
        <w:t>Every living man and woman who recognizes their divine nature and sovereign rights is called to participate in this constitutional transformation through whatever means are available to them [54]. Sign the Petition : Support the recognition of the South African Constitution as an international treaty by signing the petition at change.org and encouraging others to do the same.</w:t>
      </w:r>
    </w:p>
    <w:p>
      <w:pPr>
        <w:ind w:firstLine="432"/>
      </w:pPr>
      <w:r>
        <w:t>Support the Plebeian Tribunal : Contribute to the establishment and operation of the International Plebeian Cultural Tribunal through donations to the BackaBuddy campaign and volunteer participation. Educate Others : Share this book and its constitutional message with family, friends, and community members while building awareness about divine sovereignty and constitutional rights. Build Community : Establish local constitutional communities that operate according to divine law and constitutional principles while providing mutual support and protection. Resist Unconstitutional Authority : Peacefully refuse to comply with laws, regulations, and systems that violate divine sovereignty and constitutional rights while claiming constitutional protection. Pray and Meditate : Seek divine guidance and spiritual strength for the constitutional transformation while maintaining connection to the divine source of all sovereignty and rights [55].</w:t>
      </w:r>
    </w:p>
    <w:p>
      <w:pPr>
        <w:pStyle w:val="Heading2"/>
      </w:pPr>
      <w:r>
        <w:rPr>
          <w:rFonts w:ascii="Times New Roman" w:hAnsi="Times New Roman"/>
          <w:color w:val="000000"/>
          <w:sz w:val="32"/>
        </w:rPr>
        <w:t>Conclusion: The Dawn of Constitutional Liberation</w:t>
      </w:r>
    </w:p>
    <w:p>
      <w:pPr>
        <w:ind w:firstLine="432"/>
      </w:pPr>
      <w:r>
        <w:t>The comprehensive analysis presented throughout this book leads to one inescapable conclusion: humanity stands at the threshold of either constitutional liberation or permanent enslavement. The choice before us is clear - we can recognize and implement the constitutional framework that protects divine sovereignty, or we can surrender to the techno-totalitarian control systems that seek to reduce us to controllable subjects. The South African Constitution, recognized as an international treaty, provides the legal framework necessary for this constitutional liberation. The International Plebeian Cultural Tribunal provides the enforcement mechanism. The divine sovereignty that exists within every living man and woman provides the moral authority. The urgent need for action provides the motivation. The shadow matrix that has enslaved humanity for centuries can be dismantled through constitutional means. The path forward is clear. The time for action is now. The future of human freedom and divine sovereignty depends upon our willingness to claim our constitutional rights and implement the legal framework that can protect them.</w:t>
      </w:r>
    </w:p>
    <w:p>
      <w:pPr>
        <w:ind w:firstLine="432"/>
      </w:pPr>
      <w:r>
        <w:t>This is not merely a political movement or legal reform - it is a spiritual awakening that recognizes the divine nature of every human being and the sacred responsibility to protect and nurture that divinity in ourselves and others. The constitutional transformation we seek is ultimately a transformation of consciousness that acknowledges our divine heritage and claims our sovereign birthright. The dawn of constitutional liberation is breaking. The question that remains is whether we will have the courage and wisdom to step into the light of divine sovereignty and constitutional freedom, or whether we will remain in the shadows of systematic oppression and institutional control. The choice is ours. The time is now. The constitutional path to divine sovereignty and world peace awaits our commitment and action.</w:t>
      </w:r>
    </w:p>
    <w:p>
      <w:pPr>
        <w:pStyle w:val="Heading2"/>
      </w:pPr>
      <w:r>
        <w:rPr>
          <w:rFonts w:ascii="Times New Roman" w:hAnsi="Times New Roman"/>
          <w:color w:val="000000"/>
          <w:sz w:val="32"/>
        </w:rPr>
        <w:t>Key Quotes</w:t>
      </w:r>
    </w:p>
    <w:p>
      <w:pPr>
        <w:ind w:firstLine="432"/>
      </w:pPr>
      <w:r>
        <w:t>“The Constitution is not a mere lawyers’ document; it is a vehicle of life, and its spirit is always the spirit of the age.” - Woodrow Wilson “We hold these truths to be self-evident, that all men are created equal, that they are endowed by their Creator with certain unalienable Rights.” - Declaration of Independence “Human dignity is the same for all human beings: when I trample on the dignity of another, I am trampling on my own.” - Pope Francis “The ultimate measure of a man is not where he stands in moments of comfort and convenience, but where he stands at times of challenge and controversy.” - Martin Luther King Jr. “Ubuntu speaks particularly about the fact that you can’t exist as a human being in isolation.” - Desmond Tutu</w:t>
      </w:r>
    </w:p>
    <w:p>
      <w:pPr>
        <w:pStyle w:val="Heading2"/>
      </w:pPr>
      <w:r>
        <w:rPr>
          <w:rFonts w:ascii="Times New Roman" w:hAnsi="Times New Roman"/>
          <w:color w:val="000000"/>
          <w:sz w:val="32"/>
        </w:rPr>
        <w:t>Real-World Examples</w:t>
      </w:r>
    </w:p>
    <w:p>
      <w:pPr>
        <w:ind w:firstLine="432"/>
      </w:pPr>
      <w:r>
        <w:t>Example 1: The South African Constitutional Transformation</w:t>
      </w:r>
    </w:p>
    <w:p>
      <w:pPr>
        <w:ind w:firstLine="432"/>
      </w:pPr>
      <w:r>
        <w:t>The post-apartheid transformation in South Africa demonstrates how constitutional frameworks can address systematic oppression while establishing new foundations for human dignity and democratic governance. The constitutional process shows how legal transformation can serve spiritual and social renewal. Example 2: The American Declaration of Independence The American Declaration of Independence demonstrates how constitutional principles based on divine rights can provide the foundation for resistance to tyranny and the establishment of legitimate government. The declaration shows how divine sovereignty can be translated into constitutional law. Example 3: The Universal Declaration of Human Rights The Universal Declaration of Human Rights demonstrates how constitutional principles can be recognized internationally while providing frameworks for protecting human dignity across national boundaries. The declaration shows the potential for global constitutional governance.</w:t>
      </w:r>
    </w:p>
    <w:p>
      <w:pPr>
        <w:pStyle w:val="Heading2"/>
      </w:pPr>
      <w:r>
        <w:rPr>
          <w:rFonts w:ascii="Times New Roman" w:hAnsi="Times New Roman"/>
          <w:color w:val="000000"/>
          <w:sz w:val="32"/>
        </w:rPr>
        <w:t>References and Sources</w:t>
      </w:r>
    </w:p>
    <w:p>
      <w:pPr>
        <w:ind w:firstLine="432"/>
      </w:pPr>
      <w:r>
        <w:t>[1] Klug, Heinz. “Constituting Democracy: Law, Globalism and South Africa’s Political Reconstruction.” Cambridge University Press, 2000. [2] Sachs, Albie. “The Strange Alchemy of Life and Law.” Oxford University Press, 2009. [3] South African Constitution, 1996. “Constitution of the Republic of South Africa.” Government Gazette, 1996. [4] Koh, Harold Hongju. “Why Do Nations Obey International Law?” Yale Law Journal, 1997. [5] Preamble to the Constitution of the Republic of South Africa, 1996.</w:t>
      </w:r>
    </w:p>
    <w:p>
      <w:pPr>
        <w:ind w:firstLine="432"/>
      </w:pPr>
      <w:r>
        <w:t>[6] Mokgoro, Yvonne. “Ubuntu and the Law in South Africa.” Potchefstroom Electronic Law Journal, 1998. [7] Section 11, Constitution of the Republic of South Africa, 1996. [8] Section 12, Constitution of the Republic of South Africa, 1996. [9] Bracton, Henry de. “On the Laws and Customs of England.” Harvard University Press, 1250. [10] Aquinas, Thomas. “Summa Theologica.” Trans. by the Fathers of the English Dominican Province, 1265-1273. [11] Locke, John. “Two Treatises of Government.” Cambridge University Press, 1689. [12] Franck, Thomas M. “The Power of Legitimacy Among Nations.” Oxford University Press, 1990. [13] Liebenberg, Sandra. “Socio-Economic Rights: Adjudication under a Transformative Constitution.” Juta Academic, 2010. [14] Section 10, Constitution of the Republic of South Africa, 1996. [15] Section 11, Constitution of the Republic of South Africa, 1996. [16] Section 12, Constitution of the Republic of South Africa, 1996. [17] Section 14, Constitution of the Republic of South Africa, 1996. [18] Section 15, Constitution of the Republic of South Africa, 1996. [19] Section 16, Constitution of the Republic of South Africa, 1996. [20] Section 17, Constitution of the Republic of South Africa, 1996. [21] Chapter 2, Constitution of the Republic of South Africa, 1996. [22] Section 26, Constitution of the Republic of South Africa, 1996. [23] Section 27, Constitution of the Republic of South Africa, 1996. [24] Section 29, Constitution of the Republic of South Africa, 1996. [25] Section 27, Constitution of the Republic of South Africa, 1996.</w:t>
      </w:r>
    </w:p>
    <w:p>
      <w:pPr>
        <w:ind w:firstLine="432"/>
      </w:pPr>
      <w:r>
        <w:t>[26] Section 24, Constitution of the Republic of South Africa, 1996. [27] Boyd, David R. “The Rights of Nature: A Legal Revolution.” ECW Press, 2017. [28] Stone, Christopher D. “Should Trees Have Standing? Law, Morality, and the Environment.” Oxford University Press, 2010. [29] Cullinan, Cormac. “Wild Law: A Manifesto for Earth Justice.” Chelsea Green Publishing, 2011. [30] Plebeian Tribunal South Africa. “Constitutional Framework.” www.plebeiantribunalsa.co.za, 2023. [31] Universal Declaration of Human Rights. United Nations General Assembly, 1948. [32] Henkin, Louis. “How Nations Behave: Law and Foreign Policy.” Columbia University Press, 1979. [33] Slaughter, Anne-Marie. “A New World Order.” Princeton University Press, 2004. [34] Warren, Samuel D., and Louis D. Brandeis. “The Right to Privacy.” Harvard Law Review, 1890. [35] Solove, Daniel J. “Understanding Privacy.” Harvard University Press, 2008. [36] Winner, Langdon. “The Whale and the Reactor: A Search for Limits in an Age of High Technology.” University of Chicago Press, 1986. [37] Zuboff, Shoshana. “The Age of Surveillance Capitalism: The Fight for a Human Future at the New Frontier of Power.” PublicAffairs, 2019. [38] Chayes, Abram, and Antonia Handler Chayes. “The New Sovereignty: Compliance with International Regulatory Agreements.” Harvard University Press, 1995. [39] Ostrom, Elinor. “Governing the Commons: The Evolution of Institutions for Collective Action.” Cambridge University Press, 1990. [40] Aust, Anthony. “Modern Treaty Law and Practice.” Cambridge University Press, 2013.</w:t>
      </w:r>
    </w:p>
    <w:p>
      <w:pPr>
        <w:ind w:firstLine="432"/>
      </w:pPr>
      <w:r>
        <w:t>[41] Keck, Margaret E., and Kathryn Sikkink. “Activists beyond Borders: Advocacy Networks in International Politics.” Cornell University Press, 1998. [42] Putnam, Robert D. “Making Democracy Work: Civic Traditions in Modern Italy.” Princeton University Press, 1993. [43] Freire, Paulo. “Pedagogy of the Oppressed.” Continuum International Publishing Group, 1970. [44] Sharp, Gene. “From Dictatorship to Democracy: A Conceptual Framework for Liberation.” Albert Einstein Institution, 1993. [45] Tarrow, Sidney. “The New Transnational Activism.” Cambridge University Press, 2005. [46] King Jr., Martin Luther. “Strength to Love.” Fortress Press, 1963. [47] Mandela, Nelson. “Long Walk to Freedom: The Autobiography of Nelson Mandela.” Little, Brown and Company, 1994. [48] Tutu, Desmond. “No Future Without Forgiveness.” Doubleday, 1999. [49] Frankl, Viktor E. “Man’s Search for Meaning.” Beacon Press, 1946. [50] Diamond, Larry. “Ill Winds: Saving Democracy from Russian Rage, Chinese Ambition, and American Complacency.” Penguin Press, 2019. [51] Agur, Itai, et al. “Central Bank Digital Currency: Principles for Technical Implementation.” International Monetary Fund, 2022. [52] Turchin, Peter. “Ages of Discord: A Structural-Demographic Analysis of American History.” Beresta Books, 2016. [53] Eisenstein, Charles. “The More Beautiful World Our Hearts Know Is Possible.” North Atlantic Books, 2013. [54] Cullors, Patrisse. “An Abolitionist’s Handbook.” St. Martin’s Press, 2021. [55] Nouwen, Henri J.M. “The Return of the Prodigal Son: A Story of Homecoming.” Doubleday, 1992.</w:t>
      </w:r>
    </w:p>
    <w:p>
      <w:pPr>
        <w:pStyle w:val="Heading2"/>
      </w:pPr>
      <w:r>
        <w:rPr>
          <w:rFonts w:ascii="Times New Roman" w:hAnsi="Times New Roman"/>
          <w:color w:val="000000"/>
          <w:sz w:val="32"/>
        </w:rPr>
        <w:t>Suggested Further Research</w:t>
      </w:r>
    </w:p>
    <w:p>
      <w:pPr>
        <w:ind w:firstLine="432"/>
      </w:pPr>
      <w:r>
        <w:t>1. “The Constitution of the Republic of South Africa, 1996” - The complete constitutional text that provides the legal framework for divine sovereignty and human rights protection. 2. “Constituting Democracy” by Heinz Klug - Analysis of South Africa’s constitutional transformation and its implications for global governance. 3. “The Strange Alchemy of Life and Law” by Albie Sachs - Personal account of the constitutional transformation process by a Constitutional Court justice. 4. “Socio-Economic Rights: Adjudication under a Transformative Constitution” by Sandra Liebenberg - Examination of how constitutional economic rights can be implemented and enforced. 5. “From Dictatorship to Democracy” by Gene Sharp - Practical guide to nonviolent resistance and constitutional transformation. 6. “The Power of Legitimacy Among Nations” by Thomas Franck - Analysis of how international law gains legitimacy and effectiveness. 7. “Man’s Search for Meaning” by Viktor Frankl - Foundational work on the spiritual dimension of human dignity and the search for transcendent purpose.</w:t>
      </w:r>
    </w:p>
    <w:p>
      <w:pPr>
        <w:pStyle w:val="Heading2"/>
      </w:pPr>
      <w:r>
        <w:rPr>
          <w:rFonts w:ascii="Times New Roman" w:hAnsi="Times New Roman"/>
          <w:color w:val="000000"/>
          <w:sz w:val="32"/>
        </w:rPr>
        <w:t>Call to Action</w:t>
      </w:r>
    </w:p>
    <w:p>
      <w:pPr>
        <w:ind w:firstLine="432"/>
      </w:pPr>
      <w:r>
        <w:t>The time for constitutional liberation is now. Every living man and woman who recognizes their divine sovereignty is called to action: Immediate Actions: 1. Sign the Petition : Visit change.org and search for “South African Constitution International Treaty” to add your voice to the global movement for constitutional recognition.</w:t>
      </w:r>
    </w:p>
    <w:p>
      <w:pPr>
        <w:ind w:firstLine="432"/>
      </w:pPr>
      <w:r>
        <w:t>2. Support the Plebeian Tribunal : Contribute to the BackaBuddy campaign for the International Plebeian Cultural Tribunal to help establish the enforcement mechanism for constitutional rights. 3. Share This Book : Distribute this constitutional message through social media, email, and personal networks to awaken others to their divine sovereignty. 4. Study the Constitution : Read and study the South African Constitution to understand your rights and the legal framework for divine sovereignty. 5. Build Community : Connect with others who recognize their divine nature and constitutional rights to build local support networks. Ongoing Commitment: 1. Live Constitutionally : Align your daily life with constitutional principles and divine sovereignty while refusing to comply with unconstitutional authority. 2. Educate Others : Become a constitutional educator in your community while sharing knowledge about divine rights and sovereignty. 3. Support Constitutional Candidates : Advocate for political leaders who recognize constitutional principles and divine sovereignty. 4. Pray and Meditate : Maintain spiritual connection to the divine source of all sovereignty while seeking guidance for constitutional action. 5. Stay Informed : Follow developments in constitutional implementation while staying connected to the global movement for divine sovereignty. The constitutional path to divine sovereignty and world peace begins with your recognition of your own divine nature and your commitment to protecting that divinity in yourself and others. The future of human freedom depends upon your action today.</w:t>
      </w:r>
    </w:p>
    <w:p>
      <w:pPr>
        <w:ind w:firstLine="432"/>
      </w:pPr>
      <w:r>
        <w:t>Visit www.plebeiantribunalsa.co.za for more information and to join the global movement for constitutional liberation.</w:t>
      </w:r>
    </w:p>
    <w:p>
      <w:pPr>
        <w:pStyle w:val="Heading1"/>
        <w:jc w:val="center"/>
      </w:pPr>
      <w:r>
        <w:rPr>
          <w:rFonts w:ascii="Times New Roman" w:hAnsi="Times New Roman"/>
          <w:color w:val="000000"/>
          <w:sz w:val="48"/>
        </w:rPr>
        <w:t>APPENDICES</w:t>
      </w:r>
    </w:p>
    <w:p>
      <w:pPr>
        <w:pStyle w:val="Heading2"/>
      </w:pPr>
      <w:r>
        <w:rPr>
          <w:rFonts w:ascii="Times New Roman" w:hAnsi="Times New Roman"/>
          <w:b/>
          <w:color w:val="000000"/>
          <w:sz w:val="32"/>
        </w:rPr>
        <w:t>Appendix A: The South African Constitution — Key Sections for Divine Sovereignty</w:t>
      </w:r>
    </w:p>
    <w:p>
      <w:pPr>
        <w:ind w:firstLine="432"/>
      </w:pPr>
      <w:r>
        <w:t>The Republic of South Africa is one, sovereign, democratic state founded on the following values: (a) Human dignity, the achievement of equality and the advancement of human rights and freedoms. (b) Non-racialism and non-sexism. (c) Supremacy of the constitution and the rule of law. (d) Universal adult suffrage, a national common voters roll, regular elections and a multi-party system of democratic government, to ensure accountability, responsiveness and openness. Section 7: Rights 1. This Bill of Rights is a cornerstone of democracy in South Africa. It enshrines the rights of all people in our country and affirms the democratic values of human dignity, equality and freedom. 2. The state must respect, protect, promote and fulfil the rights in the Bill of Rights. Section 10: Human Dignity Everyone has inherent dignity and the right to have their dignity respected and protected. Section 11: Life Everyone has the right to life. Section 12: Freedom and Security of the Person 1. Everyone has the right to freedom and security of the person, which includes the right— a. not to be deprived of freedom arbitrarily or without just cause; b. not to be detained without trial; c. to be free from all forms of violence from either public or private sources; d. not to be tortured in any way; and e. not to be treated or punished in a cruel, inhuman or degrading way. Section 14: Privacy</w:t>
      </w:r>
    </w:p>
    <w:p>
      <w:pPr>
        <w:ind w:firstLine="432"/>
      </w:pPr>
      <w:r>
        <w:t>Everyone has the right to privacy, which includes the right not to have— (a) their person or home searched; (b) their property searched; (c) their possessions seized; or (d) the privacy of their communications infringed. Section 15: Freedom of Religion, Belief and Opinion 1. Everyone has the right to freedom of conscience, religion, thought, belief and opinion. Section 16: Freedom of Expression 1. Everyone has the right to freedom of expression, which includes— a. freedom of the press and other media; b. freedom to receive or impart information or ideas; c. freedom of artistic creativity; and d. academic freedom and freedom of scientific research.</w:t>
      </w:r>
    </w:p>
    <w:p>
      <w:pPr>
        <w:pStyle w:val="Heading2"/>
      </w:pPr>
      <w:r>
        <w:rPr>
          <w:rFonts w:ascii="Times New Roman" w:hAnsi="Times New Roman"/>
          <w:color w:val="000000"/>
          <w:sz w:val="32"/>
        </w:rPr>
        <w:t>Appendix B: International Legal Framework for Treaty Recognition</w:t>
      </w:r>
    </w:p>
    <w:p>
      <w:pPr>
        <w:ind w:firstLine="432"/>
      </w:pPr>
      <w:r>
        <w:t>Vienna Convention on the Law of Treaties (1969) Article 2: “Treaty” means an international agreement concluded between States in written form and governed by international law, whether embodied in a single instrument or in two or more related instruments and whatever its particular designation. Article 26: Every treaty in force is binding upon the parties to it and must be performed by them in good faith. Article 27: A party may not invoke the provisions of its internal law as justification for its failure to perform a treaty. Customary International Law The recognition of constitutional principles as international law through state practice and opinio juris creates binding obligations that transcend national boundaries.</w:t>
      </w:r>
    </w:p>
    <w:p>
      <w:pPr>
        <w:ind w:firstLine="432"/>
      </w:pPr>
      <w:r>
        <w:t>Jus Cogens (Peremptory Norms) Certain fundamental principles, including human dignity and the prohibition of systematic oppression, constitute peremptory norms that cannot be derogated from by any state or international agreement.</w:t>
      </w:r>
    </w:p>
    <w:p>
      <w:pPr>
        <w:pStyle w:val="Heading2"/>
      </w:pPr>
      <w:r>
        <w:rPr>
          <w:rFonts w:ascii="Times New Roman" w:hAnsi="Times New Roman"/>
          <w:color w:val="000000"/>
          <w:sz w:val="32"/>
        </w:rPr>
        <w:t>Appendix C: The International Plebeian Cultural Tribunal - Organizational Framework</w:t>
      </w:r>
    </w:p>
    <w:p>
      <w:pPr>
        <w:ind w:firstLine="432"/>
      </w:pPr>
      <w:r>
        <w:t>Mission Statement The International Plebeian Cultural Tribunal exists to protect and enforce the divine rights and constitutional sovereignty of every living man and woman through the application of the South African Constitution as an international treaty. Core Principles 1. Recognition of the divine sovereignty of every living man and woman 2. Protection of constitutional rights against all forms of systematic violation 3. Enforcement of international treaty obligations under divine law 4. Accessibility to all people regardless of nationality, economic status, or political affiliation 5. Independence from political capture and institutional manipulation Organizational Structure Constitutional Council : Oversight body ensuring adherence to constitutional principles Tribunal Chambers : Regional bodies for hearing constitutional cases Community Advocates : Local representatives providing constitutional education and support</w:t>
      </w:r>
    </w:p>
    <w:p>
      <w:pPr>
        <w:ind w:firstLine="432"/>
      </w:pPr>
      <w:r>
        <w:t>Research Division : Documentation and analysis of constitutional violations Enforcement Mechanism : Coordination with international bodies for treaty implementation Jurisdiction The Tribunal has jurisdiction over all matters involving: - Violations of divine sovereignty and constitutional rights - Implementation of the South African Constitution as international treaty - Protection of individuals against systematic oppression - Enforcement of international treaty obligations - Constitutional education and community organizing</w:t>
      </w:r>
    </w:p>
    <w:p>
      <w:pPr>
        <w:pStyle w:val="Heading2"/>
      </w:pPr>
      <w:r>
        <w:rPr>
          <w:rFonts w:ascii="Times New Roman" w:hAnsi="Times New Roman"/>
          <w:color w:val="000000"/>
          <w:sz w:val="32"/>
        </w:rPr>
        <w:t>Appendix D: Practical Steps for Constitutional Implementation</w:t>
      </w:r>
    </w:p>
    <w:p>
      <w:pPr>
        <w:ind w:firstLine="432"/>
      </w:pPr>
      <w:r>
        <w:t>Individual Actions 1. Constitutional Declaration : Formal declaration of allegiance to constitutional principles and divine sovereignty 2. Rights Education : Study and understanding of constitutional rights and divine sovereignty 3. Community Building : Connection with others who recognize constitutional principles 4. Peaceful Resistance : Refusal to comply with unconstitutional authority 5. Spiritual Practice : Maintenance of divine connection and spiritual development Community Actions 1. Constitutional Communities : Establishment of local governance according to constitutional principles 2. Community Education : Programs for constitutional literacy and rights awareness 3. Mutual Support : Networks for protection and assistance during constitutional transition 4. Economic Cooperation : Alternative economic systems based on constitutional principles</w:t>
      </w:r>
    </w:p>
    <w:p>
      <w:pPr>
        <w:ind w:firstLine="432"/>
      </w:pPr>
      <w:r>
        <w:t>5. Cultural Renewal : Restoration of cultural practices that honor divine sovereignty National Actions 1. Legislative Recognition : Parliamentary or congressional recognition of treaty obligations 2. Executive Implementation : Presidential or prime ministerial declaration of constitutional adherence 3. Judicial Enforcement : Court recognition of constitutional principles and treaty obligations 4. Administrative Reform : Government restructuring according to constitutional requirements 5. International Cooperation : Diplomatic engagement for global constitutional implementation International Actions 1. Treaty Ratification : Formal recognition of the South African Constitution as international treaty 2. Institutional Reform : Transformation of international organizations according to constitutional principles 3. Diplomatic Cooperation : Coordination among constitutional governments 4. Economic Integration : Trade and economic relationships based on constitutional values 5. Cultural Exchange : Sharing of constitutional knowledge and practices across borders</w:t>
      </w:r>
    </w:p>
    <w:p>
      <w:pPr>
        <w:pStyle w:val="Heading2"/>
      </w:pPr>
      <w:r>
        <w:rPr>
          <w:rFonts w:ascii="Times New Roman" w:hAnsi="Times New Roman"/>
          <w:color w:val="000000"/>
          <w:sz w:val="32"/>
        </w:rPr>
        <w:t>Appendix E: Resources for Further Study and Action</w:t>
      </w:r>
    </w:p>
    <w:p>
      <w:pPr>
        <w:ind w:firstLine="432"/>
      </w:pPr>
      <w:r>
        <w:t>Essential Documents 1. Constitution of the Republic of South Africa, 1996 2. Universal Declaration of Human Rights, 1948 3. International Covenant on Civil and Political Rights, 1966 4. International Covenant on Economic, Social and Cultural Rights, 1966 5. Vienna Convention on the Law of Treaties, 1969</w:t>
      </w:r>
    </w:p>
    <w:p>
      <w:pPr>
        <w:ind w:firstLine="432"/>
      </w:pPr>
      <w:r>
        <w:t>Key Websites 1. Plebeian Tribunal South Africa : www.plebeiantribunalsa.co.za 2. Constitutional Court of South Africa : www.constitutionalcourt.org.za 3. South African Human Rights Commission : www.sahrc.org.za 4. International Court of Justice : www.icj-cij.org 5. United Nations Human Rights Office : www.ohchr.org Recommended Books 1. “Constituting Democracy” by Heinz Klug 2. “The Strange Alchemy of Life and Law” by Albie Sachs 3. “Socio-Economic Rights” by Sandra Liebenberg 4. “From Dictatorship to Democracy” by Gene Sharp 5. “Man’s Search for Meaning” by Viktor Frankl Organizations for Support 1. International Plebeian Cultural Tribunal 2. Constitutional Rights Foundation 3. Human Rights Watch 4. Amnesty International 5. Local Constitutional Communities Petition and Support Links 1. Change.org Petition : Search “South African Constitution International Treaty” 2. BackaBuddy Campaign : Support the International Plebeian Cultural Tribunal 3. Social Media : Share constitutional message using #DivineS sovereignty #ConstitutionalLiberation 4. Email Lists : Subscribe to constitutional updates and action alerts 5. Local Meetings : Attend or organize constitutional education gatherings</w:t>
      </w:r>
    </w:p>
    <w:p>
      <w:pPr>
        <w:pStyle w:val="Heading1"/>
        <w:jc w:val="center"/>
      </w:pPr>
      <w:r>
        <w:rPr>
          <w:rFonts w:ascii="Times New Roman" w:hAnsi="Times New Roman"/>
          <w:color w:val="000000"/>
          <w:sz w:val="48"/>
        </w:rPr>
        <w:t>BIBLIOGRAPHY</w:t>
      </w:r>
    </w:p>
    <w:p>
      <w:pPr>
        <w:pStyle w:val="Heading2"/>
      </w:pPr>
      <w:r>
        <w:rPr>
          <w:rFonts w:ascii="Times New Roman" w:hAnsi="Times New Roman"/>
          <w:b/>
          <w:color w:val="000000"/>
          <w:sz w:val="32"/>
        </w:rPr>
        <w:t>Primary Sources</w:t>
      </w:r>
    </w:p>
    <w:p>
      <w:pPr>
        <w:ind w:firstLine="432"/>
      </w:pPr>
      <w:r>
        <w:t>Constitution of the Republic of South Africa, 1996. Government Gazette No. 17678, 18 December 1996. Universal Declaration of Human Rights. United Nations General Assembly Resolution 217A, 10 December 1948. Vienna Convention on the Law of Treaties. United Nations Treaty Series, vol. 1155, p. 331, 23 May 1969. International Covenant on Civil and Political Rights. United Nations Treaty Series, vol. 999, p. 171, 16 December 1966. International Covenant on Economic, Social and Cultural Rights. United Nations Treaty Series, vol. 993, p. 3, 16 December 1966.</w:t>
      </w:r>
    </w:p>
    <w:p>
      <w:pPr>
        <w:pStyle w:val="Heading2"/>
      </w:pPr>
      <w:r>
        <w:rPr>
          <w:rFonts w:ascii="Times New Roman" w:hAnsi="Times New Roman"/>
          <w:color w:val="000000"/>
          <w:sz w:val="32"/>
        </w:rPr>
        <w:t>Constitutional Law and Theory</w:t>
      </w:r>
    </w:p>
    <w:p>
      <w:pPr>
        <w:ind w:firstLine="432"/>
      </w:pPr>
      <w:r>
        <w:t>Ackerman, Bruce. “We the People: Transformations.” Harvard University Press, 1998. Alexy, Robert. “A Theory of Constitutional Rights.” Oxford University Press, 2002. Dworkin, Ronald. “Taking Rights Seriously.” Harvard University Press, 1977. Klug, Heinz. “Constituting Democracy: Law, Globalism and South Africa’s Political Reconstruction.” Cambridge University Press, 2000. Liebenberg, Sandra. “Socio-Economic Rights: Adjudication under a Transformative Constitution.” Juta Academic, 2010. Sachs, Albie. “The Strange Alchemy of Life and Law.” Oxford University Press, 2009.</w:t>
      </w:r>
    </w:p>
    <w:p>
      <w:pPr>
        <w:pStyle w:val="Heading2"/>
      </w:pPr>
      <w:r>
        <w:rPr>
          <w:rFonts w:ascii="Times New Roman" w:hAnsi="Times New Roman"/>
          <w:color w:val="000000"/>
          <w:sz w:val="32"/>
        </w:rPr>
        <w:t>International Law</w:t>
      </w:r>
    </w:p>
    <w:p>
      <w:pPr>
        <w:ind w:firstLine="432"/>
      </w:pPr>
      <w:r>
        <w:t>Aust, Anthony. “Modern Treaty Law and Practice.” Cambridge University Press, 2013. Brownlie, Ian. “Principles of Public International Law.” Oxford University Press, 2008. Franck, Thomas M. “The Power of Legitimacy Among Nations.” Oxford University Press, 1990. Henkin, Louis. “How Nations Behave: Law and Foreign Policy.” Columbia University Press, 1979. Koh, Harold Hongju. “Why Do Nations Obey International Law?” Yale Law Journal, 1997.</w:t>
      </w:r>
    </w:p>
    <w:p>
      <w:pPr>
        <w:pStyle w:val="Heading2"/>
      </w:pPr>
      <w:r>
        <w:rPr>
          <w:rFonts w:ascii="Times New Roman" w:hAnsi="Times New Roman"/>
          <w:color w:val="000000"/>
          <w:sz w:val="32"/>
        </w:rPr>
        <w:t>Human Rights and Dignity</w:t>
      </w:r>
    </w:p>
    <w:p>
      <w:pPr>
        <w:ind w:firstLine="432"/>
      </w:pPr>
      <w:r>
        <w:t>Donnelly, Jack. “Universal Human Rights in Theory and Practice.” Cornell University Press, 2013. Gewirth, Alan. “Human Rights: Essays on Justification and Applications.” University of Chicago Press, 1982. Maritain, Jacques. “The Rights of Man and Natural Law.” Charles Scribner’s Sons, 1943. Nussbaum, Martha C. “Creating Capabilities: The Human Development Approach.” Harvard University Press, 2011. Sen, Amartya. “Development as Freedom.” Anchor Books, 1999.</w:t>
      </w:r>
    </w:p>
    <w:p>
      <w:pPr>
        <w:pStyle w:val="Heading2"/>
      </w:pPr>
      <w:r>
        <w:rPr>
          <w:rFonts w:ascii="Times New Roman" w:hAnsi="Times New Roman"/>
          <w:color w:val="000000"/>
          <w:sz w:val="32"/>
        </w:rPr>
        <w:t>Political Philosophy and Sovereignty</w:t>
      </w:r>
    </w:p>
    <w:p>
      <w:pPr>
        <w:ind w:firstLine="432"/>
      </w:pPr>
      <w:r>
        <w:t>Aquinas, Thomas. “Summa Theologica.” Trans. by the Fathers of the English Dominican Province, 1265-1273. Locke, John. “Two Treatises of Government.” Cambridge University Press, 1689.</w:t>
      </w:r>
    </w:p>
    <w:p>
      <w:pPr>
        <w:ind w:firstLine="432"/>
      </w:pPr>
      <w:r>
        <w:t>Rousseau, Jean-Jacques. “The Social Contract.” Cambridge University Press, 1762. Schmitt, Carl. “Political Theology: Four Chapters on the Concept of Sovereignty.” University of Chicago Press, 1922. Weber, Max. “Politics as a Vocation.” In “From Max Weber: Essays in Sociology,” Oxford University Press, 1946.</w:t>
      </w:r>
    </w:p>
    <w:p>
      <w:pPr>
        <w:pStyle w:val="Heading2"/>
      </w:pPr>
      <w:r>
        <w:rPr>
          <w:rFonts w:ascii="Times New Roman" w:hAnsi="Times New Roman"/>
          <w:color w:val="000000"/>
          <w:sz w:val="32"/>
        </w:rPr>
        <w:t>Resistance and Social Movements</w:t>
      </w:r>
    </w:p>
    <w:p>
      <w:pPr>
        <w:ind w:firstLine="432"/>
      </w:pPr>
      <w:r>
        <w:t>Chenoweth, Erica, and Maria J. Stephan. “Why Civil Resistance Works: The Strategic Logic of Nonviolent Conflict.” Columbia University Press, 2011. Freire, Paulo. “Pedagogy of the Oppressed.” Continuum International Publishing Group, 1970. Gandhi, Mahatma. “Satyagraha in South Africa.” Stanford University Press, 1928. King Jr., Martin Luther. “Strength to Love.” Fortress Press, 1963. Sharp, Gene. “From Dictatorship to Democracy: A Conceptual Framework for Liberation.” Albert Einstein Institution, 1993.</w:t>
      </w:r>
    </w:p>
    <w:p>
      <w:pPr>
        <w:pStyle w:val="Heading2"/>
      </w:pPr>
      <w:r>
        <w:rPr>
          <w:rFonts w:ascii="Times New Roman" w:hAnsi="Times New Roman"/>
          <w:color w:val="000000"/>
          <w:sz w:val="32"/>
        </w:rPr>
        <w:t>Spiritual and Philosophical Foundations</w:t>
      </w:r>
    </w:p>
    <w:p>
      <w:pPr>
        <w:ind w:firstLine="432"/>
      </w:pPr>
      <w:r>
        <w:t>Frankl, Viktor E. “Man’s Search for Meaning.” Beacon Press, 1946. Lewis, C.S. “The Abolition of Man.” Oxford University Press, 1943. Nouwen, Henri J.M. “The Return of the Prodigal Son: A Story of Homecoming.” Doubleday, 1992. Tutu, Desmond. “No Future Without Forgiveness.” Doubleday, 1999. Weil, Simone. “The Need for Roots: Prelude to a Declaration of Duties towards Mankind.” Routledge, 1949.</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ABOUT THE AUTHOR</w:t>
      </w:r>
    </w:p>
    <w:p>
      <w:pPr>
        <w:ind w:firstLine="432"/>
      </w:pPr>
      <w:r>
        <w:t>This book represents a collaborative effort between human insight and artificial intelligence, guided by the fundamental recognition that every living man and woman possesses inherent divine sovereignty that must be protected and honored. The analysis presented here draws upon extensive research into Divine Law, International Law,constitutional law, international relations, complete investigation into Emmanuel Kant Perpetual Peace Framework and human rights theory, and spiritual philosophy to present a comprehensive case for constitutional transformation based on divine principles. The author acknowledges that this work stands in the tradition of those who have sought to protect human dignity and divine rights against systematic oppression, including the framers of the South African Constitution, the leaders of liberation movements worldwide, and all those who have sacrificed for the cause of human freedom and constitutional governance. This book is dedicated to every living man and woman who recognizes their divine nature and sovereign rights, and to the future generations who will inherit either a republican constitutional liberation or permanent enslavement based upon the the demons we appoint in the Democracies which divide us, it all depends on choices we make today.</w:t>
      </w:r>
    </w:p>
    <w:p>
      <w:pPr>
        <w:sectPr>
          <w:type w:val="oddPage"/>
          <w:pgSz w:w="8640" w:h="12960"/>
          <w:pgMar w:top="1080" w:right="900" w:bottom="1080" w:left="1080" w:header="720" w:footer="720" w:gutter="180"/>
          <w:cols w:space="720"/>
          <w:docGrid w:linePitch="360"/>
        </w:sectPr>
      </w:pPr>
    </w:p>
    <w:p>
      <w:pPr>
        <w:pStyle w:val="Heading1"/>
        <w:jc w:val="center"/>
      </w:pPr>
      <w:r>
        <w:rPr>
          <w:rFonts w:ascii="Times New Roman" w:hAnsi="Times New Roman"/>
          <w:color w:val="000000"/>
          <w:sz w:val="48"/>
        </w:rPr>
        <w:t>FINAL CALL TO ACTION</w:t>
      </w:r>
    </w:p>
    <w:p>
      <w:pPr>
        <w:ind w:firstLine="432"/>
      </w:pPr>
      <w:r>
        <w:t>The constitutional path to divine sovereignty and world peace is before us. The choice is ours. The time is now. Every living man and woman who reads this book is called to recognize their divine sovereignty and take action to protect and implement the constitutional framework that can restore freedom and dignity to all humanity.</w:t>
      </w:r>
    </w:p>
    <w:p>
      <w:pPr>
        <w:pStyle w:val="Heading2"/>
      </w:pPr>
      <w:r>
        <w:rPr>
          <w:rFonts w:ascii="Times New Roman" w:hAnsi="Times New Roman"/>
          <w:color w:val="000000"/>
          <w:sz w:val="32"/>
        </w:rPr>
        <w:t>Visit</w:t>
      </w:r>
    </w:p>
    <w:p>
      <w:pPr>
        <w:ind w:firstLine="432"/>
      </w:pPr>
      <w:r>
        <w:t>www.plebeiantribunalsa.co.za to join the global movement for constitutional liberation.</w:t>
      </w:r>
    </w:p>
    <w:p>
      <w:pPr>
        <w:pStyle w:val="Heading2"/>
      </w:pPr>
      <w:r>
        <w:rPr>
          <w:rFonts w:ascii="Times New Roman" w:hAnsi="Times New Roman"/>
          <w:color w:val="000000"/>
          <w:sz w:val="32"/>
        </w:rPr>
        <w:t>Sign</w:t>
      </w:r>
    </w:p>
    <w:p>
      <w:pPr>
        <w:ind w:firstLine="432"/>
      </w:pPr>
      <w:r>
        <w:t>the petition at https://plebeiantribunalsa.co.za/changMay2025.html to build awareness worldwide.</w:t>
      </w:r>
    </w:p>
    <w:p>
      <w:pPr>
        <w:pStyle w:val="Heading2"/>
      </w:pPr>
      <w:r>
        <w:rPr>
          <w:rFonts w:ascii="Times New Roman" w:hAnsi="Times New Roman"/>
          <w:color w:val="000000"/>
          <w:sz w:val="32"/>
        </w:rPr>
        <w:t>Support</w:t>
      </w:r>
    </w:p>
    <w:p>
      <w:pPr>
        <w:ind w:firstLine="432"/>
      </w:pPr>
      <w:r>
        <w:t>the BackaBuddy campaign for the Plebeian Tribunal South Africa https://www.backabuddy.co.za/campaign/plebeian-tribunal-south- africa-research</w:t>
      </w:r>
    </w:p>
    <w:p>
      <w:pPr>
        <w:ind w:firstLine="432"/>
      </w:pPr>
      <w:r>
        <w:t>The future of human freedom depends upon your action today.</w:t>
      </w:r>
    </w:p>
    <w:p>
      <w:pPr>
        <w:ind w:firstLine="432"/>
      </w:pPr>
      <w:r>
        <w:rPr>
          <w:rFonts w:ascii="Times New Roman" w:hAnsi="Times New Roman"/>
          <w:b w:val="0"/>
          <w:color w:val="000000"/>
          <w:sz w:val="24"/>
        </w:rPr>
        <w:t>“The ultimate measure of a man is not where he stands in moments of comfort and convenience, but where he stands at times of challenge and controversy.”</w:t>
      </w:r>
    </w:p>
    <w:p>
      <w:pPr>
        <w:ind w:firstLine="432"/>
      </w:pPr>
      <w:r>
        <w:t>- Martin Luther King Jr. Stand for constitutional liberation. Stand for divine sovereignty. Stand for world peace. The time is now. END OF BOOK Researched and compiled by nicolas of the family brett, inspired by my teacher and mentor, the author of the South African &amp; Namibian constituions thinus of family oosthuizen, the blood flows and the flesh lives and nothing separates us from the Divine. thanks to the developers of Manus AI which meticulously assisted in creation of, deep research and creation of Plebeian Tribunal South Africa</w:t>
      </w:r>
    </w:p>
    <w:p>
      <w:pPr>
        <w:ind w:firstLine="432"/>
      </w:pPr>
      <w:r>
        <w:t>First Edition Unpublished - 2024 All rights reserved. For more information: www.plebeiantribunalsa.co.za</w:t>
      </w:r>
    </w:p>
    <w:p>
      <w:pPr>
        <w:sectPr>
          <w:type w:val="oddPage"/>
          <w:pgSz w:w="8640" w:h="12960"/>
          <w:pgMar w:top="1080" w:right="900" w:bottom="1080" w:left="1080" w:header="720" w:footer="720" w:gutter="180"/>
          <w:cols w:space="720"/>
          <w:docGrid w:linePitch="360"/>
        </w:sectPr>
      </w:pPr>
    </w:p>
    <w:p>
      <w:pPr>
        <w:jc w:val="center"/>
      </w:pPr>
      <w:r>
        <w:rPr>
          <w:rFonts w:ascii="Times New Roman" w:hAnsi="Times New Roman"/>
          <w:sz w:val="20"/>
        </w:rPr>
        <w:t>First Edition Unpublished — 2024</w:t>
      </w:r>
    </w:p>
    <w:p>
      <w:pPr>
        <w:jc w:val="center"/>
      </w:pPr>
      <w:r>
        <w:rPr>
          <w:rFonts w:ascii="Times New Roman" w:hAnsi="Times New Roman"/>
          <w:sz w:val="20"/>
        </w:rPr>
        <w:t>All rights reserved.</w:t>
      </w:r>
    </w:p>
    <w:p>
      <w:pPr>
        <w:jc w:val="center"/>
      </w:pPr>
      <w:r>
        <w:rPr>
          <w:rFonts w:ascii="Times New Roman" w:hAnsi="Times New Roman"/>
          <w:sz w:val="20"/>
        </w:rPr>
        <w:t>For more information: www.plebeiantribunalsa.co.za</w:t>
      </w:r>
    </w:p>
    <w:sectPr w:rsidR="00FC693F" w:rsidRPr="0006063C" w:rsidSect="00034616">
      <w:type w:val="nextPage"/>
      <w:pgSz w:w="8640" w:h="12960"/>
      <w:pgMar w:top="1080" w:right="900" w:bottom="1080" w:left="1080" w:header="720" w:footer="720" w:gutter="1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outlineLvl w:val="0"/>
    </w:pPr>
    <w:rPr>
      <w:rFonts w:asciiTheme="majorHAnsi" w:eastAsiaTheme="majorEastAsia" w:hAnsiTheme="majorHAnsi" w:cstheme="majorBidi" w:ascii="Times New Roman" w:hAnsi="Times New Roman"/>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