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rchitecture-overview"/>
    <w:p>
      <w:pPr>
        <w:pStyle w:val="Heading1"/>
      </w:pPr>
      <w:r>
        <w:t xml:space="preserve">Architecture Overview</w:t>
      </w:r>
    </w:p>
    <w:p>
      <w:pPr>
        <w:pStyle w:val="FirstParagraph"/>
      </w:pPr>
      <w:r>
        <w:t xml:space="preserve">This document describes the system architecture for the</w:t>
      </w:r>
      <w:r>
        <w:t xml:space="preserve"> </w:t>
      </w:r>
      <w:r>
        <w:rPr>
          <w:b/>
          <w:bCs/>
        </w:rPr>
        <w:t xml:space="preserve">Payments Platform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The platform consists of three primary services: the API Gateway, the Payment Processor,</w:t>
      </w:r>
      <w:r>
        <w:t xml:space="preserve"> </w:t>
      </w:r>
      <w:r>
        <w:t xml:space="preserve">and the Notification Service.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Processor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Payments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Service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Comms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request-flow"/>
    <w:p>
      <w:pPr>
        <w:pStyle w:val="Heading2"/>
      </w:pPr>
      <w:r>
        <w:t xml:space="preserve">Request Flow</w:t>
      </w:r>
    </w:p>
    <w:p>
      <w:pPr>
        <w:pStyle w:val="FirstParagraph"/>
      </w:pPr>
      <w:r>
        <w:t xml:space="preserve">The following diagram shows how a payment request moves through the system.</w:t>
      </w:r>
    </w:p>
    <w:p>
      <w:pPr>
        <w:pStyle w:val="BodyText"/>
      </w:pPr>
      <w:r>
        <w:drawing>
          <wp:inline>
            <wp:extent cx="5334000" cy="2966357"/>
            <wp:effectExtent b="0" l="0" r="0" t="0"/>
            <wp:docPr descr="" title="mdword::example-input::diagram-4.mmd" id="11" name="Picture"/>
            <a:graphic>
              <a:graphicData uri="http://schemas.openxmlformats.org/drawingml/2006/picture">
                <pic:pic>
                  <pic:nvPicPr>
                    <pic:cNvPr descr="diagram-4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6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Start w:id="17" w:name="service-dependencies"/>
    <w:p>
      <w:pPr>
        <w:pStyle w:val="Heading2"/>
      </w:pPr>
      <w:r>
        <w:t xml:space="preserve">Service Dependencies</w:t>
      </w:r>
    </w:p>
    <w:p>
      <w:pPr>
        <w:pStyle w:val="FirstParagraph"/>
      </w:pPr>
      <w:r>
        <w:drawing>
          <wp:inline>
            <wp:extent cx="5334000" cy="3174809"/>
            <wp:effectExtent b="0" l="0" r="0" t="0"/>
            <wp:docPr descr="" title="mdword::example-input::diagram-5.mmd" id="15" name="Picture"/>
            <a:graphic>
              <a:graphicData uri="http://schemas.openxmlformats.org/drawingml/2006/picture">
                <pic:pic>
                  <pic:nvPicPr>
                    <pic:cNvPr descr="diagram-5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4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7"/>
    <w:bookmarkStart w:id="21" w:name="deployment-pipeline"/>
    <w:p>
      <w:pPr>
        <w:pStyle w:val="Heading2"/>
      </w:pPr>
      <w:r>
        <w:t xml:space="preserve">Deployment Pipeline</w:t>
      </w:r>
    </w:p>
    <w:p>
      <w:pPr>
        <w:pStyle w:val="FirstParagraph"/>
      </w:pPr>
      <w:r>
        <w:drawing>
          <wp:inline>
            <wp:extent cx="5334000" cy="972910"/>
            <wp:effectExtent b="0" l="0" r="0" t="0"/>
            <wp:docPr descr="" title="mdword::example-input::diagram-6.mmd" id="19" name="Picture"/>
            <a:graphic>
              <a:graphicData uri="http://schemas.openxmlformats.org/drawingml/2006/picture">
                <pic:pic>
                  <pic:nvPicPr>
                    <pic:cNvPr descr="diagram-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2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"/>
    <w:bookmarkStart w:id="22" w:name="code-example"/>
    <w:p>
      <w:pPr>
        <w:pStyle w:val="Heading2"/>
      </w:pPr>
      <w:r>
        <w:t xml:space="preserve">Code Example</w:t>
      </w:r>
    </w:p>
    <w:p>
      <w:pPr>
        <w:pStyle w:val="FirstParagraph"/>
      </w:pPr>
      <w:r>
        <w:t xml:space="preserve">The Gateway forwards requests using a simple retry wrapper:</w:t>
      </w:r>
    </w:p>
    <w:p>
      <w:pPr>
        <w:pStyle w:val="SourceCode"/>
      </w:pPr>
      <w:r>
        <w:rPr>
          <w:rStyle w:val="VerbatimChar"/>
        </w:rPr>
        <w:t xml:space="preserve">func forwardWithRetry(req *PaymentRequest, maxRetries int) (*PaymentResponse, error) {</w:t>
      </w:r>
      <w:r>
        <w:br/>
      </w:r>
      <w:r>
        <w:rPr>
          <w:rStyle w:val="VerbatimChar"/>
        </w:rPr>
        <w:t xml:space="preserve">    for i := 0; i &lt; maxRetries; i++ {</w:t>
      </w:r>
      <w:r>
        <w:br/>
      </w:r>
      <w:r>
        <w:rPr>
          <w:rStyle w:val="VerbatimChar"/>
        </w:rPr>
        <w:t xml:space="preserve">        resp, err := processorClient.Send(req)</w:t>
      </w:r>
      <w:r>
        <w:br/>
      </w:r>
      <w:r>
        <w:rPr>
          <w:rStyle w:val="VerbatimChar"/>
        </w:rPr>
        <w:t xml:space="preserve">        if err == nil {</w:t>
      </w:r>
      <w:r>
        <w:br/>
      </w:r>
      <w:r>
        <w:rPr>
          <w:rStyle w:val="VerbatimChar"/>
        </w:rPr>
        <w:t xml:space="preserve">            return resp, nil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time.Sleep(backoff(i))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nil, ErrMaxRetriesExceeded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t xml:space="preserve">All inter-service communication uses</w:t>
      </w:r>
      <w:r>
        <w:t xml:space="preserve"> </w:t>
      </w:r>
      <w:r>
        <w:rPr>
          <w:b/>
          <w:bCs/>
        </w:rPr>
        <w:t xml:space="preserve">mTLS</w:t>
      </w:r>
    </w:p>
    <w:p>
      <w:pPr>
        <w:pStyle w:val="Compact"/>
        <w:numPr>
          <w:ilvl w:val="0"/>
          <w:numId w:val="1001"/>
        </w:numPr>
      </w:pPr>
      <w:r>
        <w:t xml:space="preserve">The database is write-ahead logged with a</w:t>
      </w:r>
      <w:r>
        <w:t xml:space="preserve"> </w:t>
      </w:r>
      <w:r>
        <w:rPr>
          <w:b/>
          <w:bCs/>
        </w:rPr>
        <w:t xml:space="preserve">30-day retention</w:t>
      </w:r>
      <w:r>
        <w:t xml:space="preserve"> </w:t>
      </w:r>
      <w:r>
        <w:t xml:space="preserve">window</w:t>
      </w:r>
    </w:p>
    <w:p>
      <w:pPr>
        <w:pStyle w:val="Compact"/>
        <w:numPr>
          <w:ilvl w:val="0"/>
          <w:numId w:val="1001"/>
        </w:numPr>
      </w:pPr>
      <w:r>
        <w:t xml:space="preserve">Fraud Detection runs asynchronously 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block the payment response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8"/>
        <w:left w:type="dxa" w:w="108"/>
        <w:bottom w:type="dxa" w:w="48"/>
        <w:right w:type="dxa" w:w="108"/>
      </w:tblCellMar>
    </w:tblPr>
    <w:tblStylePr w:type="firstRow">
      <w:pPr>
        <w:jc w:val="left"/>
      </w:pPr>
      <w:rPr>
        <w:b/>
      </w:rPr>
      <w:tcPr>
        <w:shd w:color="auto" w:fill="D3D3D3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2026-04-08T22:55:25Z</dcterms:created>
  <dcterms:modified xsi:type="dcterms:W3CDTF">2026-04-08T22:55:25Z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