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98693B" w14:textId="734A4B9C" w:rsidR="00027718" w:rsidRPr="00723DB6" w:rsidRDefault="00027718" w:rsidP="65E0BF61">
      <w:pPr>
        <w:spacing w:after="0"/>
        <w:jc w:val="center"/>
        <w:rPr>
          <w:b/>
          <w:bCs/>
        </w:rPr>
      </w:pPr>
      <w:r w:rsidRPr="65E0BF61">
        <w:rPr>
          <w:b/>
          <w:bCs/>
        </w:rPr>
        <w:t>Recommendations to Prevent Inadvertent Identification of Participants</w:t>
      </w:r>
    </w:p>
    <w:p w14:paraId="38E3098F" w14:textId="77777777" w:rsidR="00027718" w:rsidRPr="00723DB6" w:rsidRDefault="00027718" w:rsidP="00916AE2">
      <w:pPr>
        <w:spacing w:after="0"/>
      </w:pPr>
    </w:p>
    <w:p w14:paraId="5B5FD6BD" w14:textId="11E283F2" w:rsidR="004F35F8" w:rsidRPr="00723DB6" w:rsidRDefault="003E74F9" w:rsidP="003E74F9">
      <w:r w:rsidRPr="00723DB6">
        <w:t xml:space="preserve">When reporting data, scientists must strike a balance between including sufficient detail </w:t>
      </w:r>
      <w:r w:rsidR="00776C15" w:rsidRPr="00723DB6">
        <w:t xml:space="preserve">about their analyses </w:t>
      </w:r>
      <w:r w:rsidRPr="00723DB6">
        <w:t xml:space="preserve">and providing information that could potentially aid in the identification of </w:t>
      </w:r>
      <w:r w:rsidR="00776C15" w:rsidRPr="00723DB6">
        <w:t>study participants</w:t>
      </w:r>
      <w:r w:rsidRPr="00723DB6">
        <w:t xml:space="preserve">. </w:t>
      </w:r>
    </w:p>
    <w:p w14:paraId="301638EB" w14:textId="6914055C" w:rsidR="004F35F8" w:rsidRPr="00723DB6" w:rsidRDefault="004F35F8" w:rsidP="004F35F8">
      <w:pPr>
        <w:spacing w:after="0"/>
      </w:pPr>
      <w:r w:rsidRPr="00723DB6">
        <w:t xml:space="preserve">According to </w:t>
      </w:r>
      <w:hyperlink r:id="rId11" w:history="1">
        <w:r w:rsidR="00027718" w:rsidRPr="00723DB6">
          <w:rPr>
            <w:rStyle w:val="Hyperlink"/>
            <w:i/>
            <w:iCs/>
          </w:rPr>
          <w:t>Best Practices for Determining Subgroup Size in Accountability Systems While Protecting Personally Identifiable Student Information</w:t>
        </w:r>
      </w:hyperlink>
      <w:r w:rsidR="00027718" w:rsidRPr="00723DB6">
        <w:t xml:space="preserve"> by The Institute of Education Sciences (IES)</w:t>
      </w:r>
      <w:r w:rsidRPr="00723DB6">
        <w:t xml:space="preserve">, </w:t>
      </w:r>
      <w:r w:rsidR="00FC5FAB" w:rsidRPr="00723DB6">
        <w:t>selecting a minimum n-size for reporting is a complex issue that involves important and difficult trade-offs. T</w:t>
      </w:r>
      <w:r w:rsidRPr="00723DB6">
        <w:t>he debate of minimum n-size is fueled by the following reasons:</w:t>
      </w:r>
    </w:p>
    <w:p w14:paraId="401E766F" w14:textId="77777777" w:rsidR="00FC5FAB" w:rsidRPr="00723DB6" w:rsidRDefault="00FC5FAB" w:rsidP="004F35F8">
      <w:pPr>
        <w:spacing w:after="0"/>
      </w:pPr>
    </w:p>
    <w:p w14:paraId="5F9265E9" w14:textId="2122B5E0" w:rsidR="004F35F8" w:rsidRPr="00723DB6" w:rsidRDefault="004F35F8" w:rsidP="004F35F8">
      <w:pPr>
        <w:pStyle w:val="ListParagraph"/>
        <w:numPr>
          <w:ilvl w:val="0"/>
          <w:numId w:val="1"/>
        </w:numPr>
        <w:spacing w:after="0"/>
      </w:pPr>
      <w:r w:rsidRPr="00723DB6">
        <w:rPr>
          <w:b/>
          <w:bCs/>
        </w:rPr>
        <w:t>High minimum n-sizes</w:t>
      </w:r>
      <w:r w:rsidRPr="00723DB6">
        <w:t xml:space="preserve"> can result in the exclusion of data for a substantial number of subgroups</w:t>
      </w:r>
    </w:p>
    <w:p w14:paraId="0E5C93FC" w14:textId="7CCC9966" w:rsidR="004F35F8" w:rsidRPr="00723DB6" w:rsidRDefault="004F35F8" w:rsidP="004F35F8">
      <w:pPr>
        <w:pStyle w:val="ListParagraph"/>
        <w:numPr>
          <w:ilvl w:val="0"/>
          <w:numId w:val="1"/>
        </w:numPr>
        <w:spacing w:after="0"/>
      </w:pPr>
      <w:r w:rsidRPr="00723DB6">
        <w:rPr>
          <w:b/>
          <w:bCs/>
        </w:rPr>
        <w:t>Low minimum n-sizes</w:t>
      </w:r>
      <w:r w:rsidRPr="00723DB6">
        <w:t xml:space="preserve"> can result in:</w:t>
      </w:r>
    </w:p>
    <w:p w14:paraId="10A5D316" w14:textId="7F1E0FE3" w:rsidR="004F35F8" w:rsidRPr="00723DB6" w:rsidRDefault="004F35F8" w:rsidP="65E0BF61">
      <w:pPr>
        <w:pStyle w:val="ListParagraph"/>
        <w:numPr>
          <w:ilvl w:val="1"/>
          <w:numId w:val="1"/>
        </w:numPr>
        <w:spacing w:after="0"/>
        <w:ind w:left="720"/>
        <w:rPr>
          <w:rFonts w:eastAsiaTheme="minorEastAsia"/>
        </w:rPr>
      </w:pPr>
      <w:r>
        <w:t>Misinterpretation, as when a change for a small number of students results in a substantial change in the percentage of students in one outcome category versus another</w:t>
      </w:r>
    </w:p>
    <w:p w14:paraId="449FB0BC" w14:textId="16658FF8" w:rsidR="004F35F8" w:rsidRPr="00723DB6" w:rsidRDefault="004F35F8" w:rsidP="30018321">
      <w:pPr>
        <w:pStyle w:val="ListParagraph"/>
        <w:numPr>
          <w:ilvl w:val="1"/>
          <w:numId w:val="1"/>
        </w:numPr>
        <w:spacing w:after="0"/>
        <w:ind w:left="720"/>
        <w:rPr>
          <w:rFonts w:eastAsiaTheme="minorEastAsia"/>
        </w:rPr>
      </w:pPr>
      <w:r>
        <w:t>Large margin of error around the estimate for an outcome measure that could limit the utility of the outcome measure.</w:t>
      </w:r>
    </w:p>
    <w:p w14:paraId="1394C11A" w14:textId="18588C3C" w:rsidR="004F35F8" w:rsidRPr="00723DB6" w:rsidRDefault="00182714" w:rsidP="00EC20B3">
      <w:pPr>
        <w:pStyle w:val="ListParagraph"/>
        <w:numPr>
          <w:ilvl w:val="1"/>
          <w:numId w:val="1"/>
        </w:numPr>
        <w:spacing w:after="0"/>
        <w:ind w:left="720"/>
      </w:pPr>
      <w:r>
        <w:t>Revealing</w:t>
      </w:r>
      <w:r w:rsidR="004F35F8">
        <w:t xml:space="preserve"> personally identifiable information about individual participants in small subgroups.</w:t>
      </w:r>
    </w:p>
    <w:p w14:paraId="5EBF38ED" w14:textId="77777777" w:rsidR="004F35F8" w:rsidRPr="00723DB6" w:rsidRDefault="004F35F8" w:rsidP="00EC20B3">
      <w:pPr>
        <w:spacing w:after="0"/>
        <w:rPr>
          <w:b/>
          <w:bCs/>
        </w:rPr>
      </w:pPr>
    </w:p>
    <w:p w14:paraId="1CC9F4F7" w14:textId="77777777" w:rsidR="00182714" w:rsidRDefault="00A83B4F" w:rsidP="30018321">
      <w:pPr>
        <w:spacing w:after="0"/>
        <w:rPr>
          <w:b/>
          <w:bCs/>
          <w:color w:val="C00000"/>
        </w:rPr>
      </w:pPr>
      <w:r>
        <w:t>The U.S. Department of Education’s Disclosure Review Board (ED DRB)</w:t>
      </w:r>
      <w:r w:rsidRPr="30018321">
        <w:rPr>
          <w:color w:val="000000" w:themeColor="text1"/>
        </w:rPr>
        <w:t xml:space="preserve"> recommends a threshold rule that specifies the minimum reporting size for breakout categories in public reporting. </w:t>
      </w:r>
      <w:r w:rsidR="004F35F8" w:rsidRPr="30018321">
        <w:rPr>
          <w:b/>
          <w:bCs/>
          <w:color w:val="C00000"/>
        </w:rPr>
        <w:t xml:space="preserve">For ABCD study data, NIDA requires a </w:t>
      </w:r>
      <w:r w:rsidRPr="30018321">
        <w:rPr>
          <w:b/>
          <w:bCs/>
          <w:color w:val="C00000"/>
        </w:rPr>
        <w:t xml:space="preserve">threshold </w:t>
      </w:r>
      <w:r w:rsidR="00356FC9" w:rsidRPr="30018321">
        <w:rPr>
          <w:b/>
          <w:bCs/>
          <w:color w:val="C00000"/>
        </w:rPr>
        <w:t xml:space="preserve">minimum </w:t>
      </w:r>
      <w:r w:rsidRPr="30018321">
        <w:rPr>
          <w:b/>
          <w:bCs/>
          <w:color w:val="C00000"/>
        </w:rPr>
        <w:t>n</w:t>
      </w:r>
      <w:r w:rsidR="004F35F8" w:rsidRPr="30018321">
        <w:rPr>
          <w:b/>
          <w:bCs/>
          <w:color w:val="C00000"/>
        </w:rPr>
        <w:t xml:space="preserve"> of 10 in public reporting of data, including scientific publications and presentations.</w:t>
      </w:r>
    </w:p>
    <w:p w14:paraId="4C08020C" w14:textId="1808985D" w:rsidR="004F35F8" w:rsidRPr="00723DB6" w:rsidRDefault="004F35F8" w:rsidP="30018321">
      <w:pPr>
        <w:spacing w:after="0"/>
        <w:rPr>
          <w:color w:val="C00000"/>
        </w:rPr>
      </w:pPr>
    </w:p>
    <w:p w14:paraId="3A065B2A" w14:textId="6C7BBD93" w:rsidR="00AA3DF3" w:rsidRPr="00723DB6" w:rsidRDefault="004F35F8" w:rsidP="43EE39A0">
      <w:pPr>
        <w:spacing w:after="0"/>
        <w:rPr>
          <w:color w:val="000000"/>
        </w:rPr>
      </w:pPr>
      <w:r>
        <w:t>The ED DRB</w:t>
      </w:r>
      <w:r w:rsidR="00027718">
        <w:t xml:space="preserve"> also</w:t>
      </w:r>
      <w:r w:rsidRPr="43EE39A0">
        <w:rPr>
          <w:color w:val="000000" w:themeColor="text1"/>
        </w:rPr>
        <w:t xml:space="preserve"> </w:t>
      </w:r>
      <w:r w:rsidR="00A83B4F" w:rsidRPr="43EE39A0">
        <w:rPr>
          <w:color w:val="000000" w:themeColor="text1"/>
        </w:rPr>
        <w:t>recommends the following p</w:t>
      </w:r>
      <w:r w:rsidR="00345596" w:rsidRPr="43EE39A0">
        <w:rPr>
          <w:color w:val="000000" w:themeColor="text1"/>
        </w:rPr>
        <w:t xml:space="preserve">rivacy </w:t>
      </w:r>
      <w:r w:rsidR="00786584" w:rsidRPr="43EE39A0">
        <w:rPr>
          <w:color w:val="000000" w:themeColor="text1"/>
        </w:rPr>
        <w:t>protection methods</w:t>
      </w:r>
      <w:r w:rsidR="00345596" w:rsidRPr="43EE39A0">
        <w:rPr>
          <w:color w:val="000000" w:themeColor="text1"/>
        </w:rPr>
        <w:t>:</w:t>
      </w:r>
    </w:p>
    <w:p w14:paraId="31DD7B44" w14:textId="213EE37A" w:rsidR="00345596" w:rsidRPr="00723DB6" w:rsidRDefault="00182714" w:rsidP="43EE39A0">
      <w:pPr>
        <w:pStyle w:val="ListParagraph"/>
        <w:numPr>
          <w:ilvl w:val="0"/>
          <w:numId w:val="2"/>
        </w:numPr>
        <w:spacing w:after="0"/>
        <w:rPr>
          <w:rFonts w:eastAsiaTheme="minorEastAsia"/>
          <w:b/>
          <w:bCs/>
          <w:color w:val="000000" w:themeColor="text1"/>
        </w:rPr>
      </w:pPr>
      <w:r>
        <w:rPr>
          <w:noProof/>
        </w:rPr>
        <w:drawing>
          <wp:anchor distT="0" distB="0" distL="114300" distR="114300" simplePos="0" relativeHeight="251658240" behindDoc="1" locked="0" layoutInCell="1" allowOverlap="1" wp14:anchorId="594CFFE0" wp14:editId="6BB7F1EC">
            <wp:simplePos x="0" y="0"/>
            <wp:positionH relativeFrom="column">
              <wp:posOffset>4013200</wp:posOffset>
            </wp:positionH>
            <wp:positionV relativeFrom="paragraph">
              <wp:posOffset>10160</wp:posOffset>
            </wp:positionV>
            <wp:extent cx="2238375" cy="2809875"/>
            <wp:effectExtent l="0" t="0" r="9525" b="9525"/>
            <wp:wrapTight wrapText="bothSides">
              <wp:wrapPolygon edited="0">
                <wp:start x="0" y="0"/>
                <wp:lineTo x="0" y="21527"/>
                <wp:lineTo x="21508" y="21527"/>
                <wp:lineTo x="21508" y="0"/>
                <wp:lineTo x="0" y="0"/>
              </wp:wrapPolygon>
            </wp:wrapTight>
            <wp:docPr id="625452374" name="Picture 62545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rcRect r="423"/>
                    <a:stretch>
                      <a:fillRect/>
                    </a:stretch>
                  </pic:blipFill>
                  <pic:spPr>
                    <a:xfrm>
                      <a:off x="0" y="0"/>
                      <a:ext cx="2238375" cy="2809875"/>
                    </a:xfrm>
                    <a:prstGeom prst="rect">
                      <a:avLst/>
                    </a:prstGeom>
                  </pic:spPr>
                </pic:pic>
              </a:graphicData>
            </a:graphic>
            <wp14:sizeRelH relativeFrom="page">
              <wp14:pctWidth>0</wp14:pctWidth>
            </wp14:sizeRelH>
            <wp14:sizeRelV relativeFrom="page">
              <wp14:pctHeight>0</wp14:pctHeight>
            </wp14:sizeRelV>
          </wp:anchor>
        </w:drawing>
      </w:r>
      <w:r w:rsidR="00027718" w:rsidRPr="30018321">
        <w:rPr>
          <w:b/>
          <w:bCs/>
          <w:color w:val="000000" w:themeColor="text1"/>
        </w:rPr>
        <w:t>C</w:t>
      </w:r>
      <w:r w:rsidR="00345596" w:rsidRPr="30018321">
        <w:rPr>
          <w:b/>
          <w:bCs/>
          <w:color w:val="000000" w:themeColor="text1"/>
        </w:rPr>
        <w:t>ell suppression</w:t>
      </w:r>
    </w:p>
    <w:p w14:paraId="6A8FB9FC" w14:textId="2C7F0DBD" w:rsidR="00345596" w:rsidRPr="00723DB6" w:rsidRDefault="00345596" w:rsidP="768DB5C2">
      <w:pPr>
        <w:pStyle w:val="ListParagraph"/>
        <w:numPr>
          <w:ilvl w:val="1"/>
          <w:numId w:val="2"/>
        </w:numPr>
        <w:spacing w:after="0"/>
        <w:ind w:left="720"/>
        <w:rPr>
          <w:rFonts w:eastAsiaTheme="minorEastAsia"/>
          <w:color w:val="000000" w:themeColor="text1"/>
        </w:rPr>
      </w:pPr>
      <w:r w:rsidRPr="768DB5C2">
        <w:rPr>
          <w:color w:val="000000" w:themeColor="text1"/>
        </w:rPr>
        <w:t>Primary suppression</w:t>
      </w:r>
      <w:r w:rsidRPr="768DB5C2">
        <w:rPr>
          <w:b/>
          <w:bCs/>
          <w:color w:val="000000" w:themeColor="text1"/>
        </w:rPr>
        <w:t xml:space="preserve"> </w:t>
      </w:r>
      <w:r w:rsidRPr="768DB5C2">
        <w:rPr>
          <w:color w:val="000000" w:themeColor="text1"/>
        </w:rPr>
        <w:t>refers to the process of withholding data values in public reporting data that do not meet the threshold rule. To protect PII, data categories that fall below the threshold are not displayed</w:t>
      </w:r>
    </w:p>
    <w:p w14:paraId="5F2BB71B" w14:textId="79D83BBF" w:rsidR="00345596" w:rsidRPr="00723DB6" w:rsidRDefault="00345596" w:rsidP="623E30C5">
      <w:pPr>
        <w:pStyle w:val="ListParagraph"/>
        <w:numPr>
          <w:ilvl w:val="1"/>
          <w:numId w:val="2"/>
        </w:numPr>
        <w:spacing w:after="0"/>
        <w:ind w:left="720"/>
        <w:rPr>
          <w:rFonts w:eastAsiaTheme="minorEastAsia"/>
          <w:color w:val="000000"/>
        </w:rPr>
      </w:pPr>
      <w:r w:rsidRPr="768DB5C2">
        <w:rPr>
          <w:color w:val="000000" w:themeColor="text1"/>
        </w:rPr>
        <w:t>Complementary suppression</w:t>
      </w:r>
      <w:r w:rsidRPr="768DB5C2">
        <w:rPr>
          <w:b/>
          <w:bCs/>
          <w:color w:val="000000" w:themeColor="text1"/>
        </w:rPr>
        <w:t xml:space="preserve"> </w:t>
      </w:r>
      <w:r w:rsidRPr="768DB5C2">
        <w:rPr>
          <w:color w:val="000000" w:themeColor="text1"/>
        </w:rPr>
        <w:t xml:space="preserve">refers to excluding data </w:t>
      </w:r>
      <w:r w:rsidR="009A737C" w:rsidRPr="768DB5C2">
        <w:rPr>
          <w:color w:val="000000" w:themeColor="text1"/>
        </w:rPr>
        <w:t>that can be used to recover data (usually through basic subtraction) that has undergone primary suppression – compl</w:t>
      </w:r>
      <w:r w:rsidR="3E92558F" w:rsidRPr="768DB5C2">
        <w:rPr>
          <w:color w:val="000000" w:themeColor="text1"/>
        </w:rPr>
        <w:t>e</w:t>
      </w:r>
      <w:r w:rsidR="009A737C" w:rsidRPr="768DB5C2">
        <w:rPr>
          <w:color w:val="000000" w:themeColor="text1"/>
        </w:rPr>
        <w:t xml:space="preserve">mentary suppressed data usually do not disclose PII on </w:t>
      </w:r>
      <w:r w:rsidR="6FDAB19E" w:rsidRPr="768DB5C2">
        <w:rPr>
          <w:color w:val="000000" w:themeColor="text1"/>
        </w:rPr>
        <w:t xml:space="preserve">their </w:t>
      </w:r>
      <w:r w:rsidR="009A737C" w:rsidRPr="768DB5C2">
        <w:rPr>
          <w:color w:val="000000" w:themeColor="text1"/>
        </w:rPr>
        <w:t>own</w:t>
      </w:r>
      <w:r w:rsidR="00064E5F" w:rsidRPr="768DB5C2">
        <w:rPr>
          <w:color w:val="000000" w:themeColor="text1"/>
        </w:rPr>
        <w:t>.</w:t>
      </w:r>
    </w:p>
    <w:p w14:paraId="1D959A94" w14:textId="47E2CBD5" w:rsidR="00792F68" w:rsidRPr="00723DB6" w:rsidRDefault="00792F68" w:rsidP="009A737C">
      <w:pPr>
        <w:pStyle w:val="ListParagraph"/>
        <w:numPr>
          <w:ilvl w:val="0"/>
          <w:numId w:val="2"/>
        </w:numPr>
        <w:spacing w:after="0"/>
        <w:rPr>
          <w:color w:val="000000"/>
        </w:rPr>
      </w:pPr>
      <w:r w:rsidRPr="00723DB6">
        <w:rPr>
          <w:b/>
          <w:bCs/>
          <w:color w:val="000000"/>
        </w:rPr>
        <w:t xml:space="preserve">Data perturbation – </w:t>
      </w:r>
      <w:r w:rsidR="00064E5F" w:rsidRPr="00723DB6">
        <w:rPr>
          <w:color w:val="000000"/>
        </w:rPr>
        <w:t>T</w:t>
      </w:r>
      <w:r w:rsidRPr="00723DB6">
        <w:rPr>
          <w:color w:val="000000"/>
        </w:rPr>
        <w:t xml:space="preserve">he report describes </w:t>
      </w:r>
      <w:r w:rsidR="00064E5F" w:rsidRPr="00723DB6">
        <w:rPr>
          <w:color w:val="000000"/>
        </w:rPr>
        <w:t>data perturbation</w:t>
      </w:r>
      <w:r w:rsidRPr="00723DB6">
        <w:rPr>
          <w:color w:val="000000"/>
        </w:rPr>
        <w:t xml:space="preserve"> as the intentional introduction of an element of uncertainty into the data</w:t>
      </w:r>
      <w:r w:rsidR="00D30D9F" w:rsidRPr="00723DB6">
        <w:rPr>
          <w:color w:val="000000"/>
        </w:rPr>
        <w:t>.</w:t>
      </w:r>
    </w:p>
    <w:p w14:paraId="2662BEC0" w14:textId="76FE72B2" w:rsidR="00E16D8C" w:rsidRPr="00723DB6" w:rsidRDefault="00A83B4F" w:rsidP="768DB5C2">
      <w:pPr>
        <w:pStyle w:val="ListParagraph"/>
        <w:numPr>
          <w:ilvl w:val="1"/>
          <w:numId w:val="2"/>
        </w:numPr>
        <w:spacing w:after="0"/>
        <w:ind w:left="720"/>
        <w:rPr>
          <w:rFonts w:eastAsiaTheme="minorEastAsia"/>
          <w:color w:val="000000"/>
        </w:rPr>
      </w:pPr>
      <w:r w:rsidRPr="768DB5C2">
        <w:rPr>
          <w:color w:val="000000" w:themeColor="text1"/>
        </w:rPr>
        <w:t>Ranges</w:t>
      </w:r>
      <w:r w:rsidR="00E16D8C" w:rsidRPr="768DB5C2">
        <w:rPr>
          <w:color w:val="000000" w:themeColor="text1"/>
        </w:rPr>
        <w:t xml:space="preserve"> – Replacing specific data values with </w:t>
      </w:r>
      <w:r w:rsidR="009831C4" w:rsidRPr="768DB5C2">
        <w:rPr>
          <w:color w:val="000000" w:themeColor="text1"/>
        </w:rPr>
        <w:t>ranges</w:t>
      </w:r>
      <w:r w:rsidR="00FE57EC">
        <w:t xml:space="preserve"> (e.g., 5-9%, 10-14%, 15-19%, etc</w:t>
      </w:r>
      <w:r w:rsidR="55B44E4B">
        <w:t>.</w:t>
      </w:r>
      <w:r w:rsidR="00FE57EC">
        <w:t>), with a larger recoded range required for smaller subgroups.</w:t>
      </w:r>
    </w:p>
    <w:p w14:paraId="7345FD17" w14:textId="77777777" w:rsidR="001942E1" w:rsidRPr="00723DB6" w:rsidRDefault="00E16D8C" w:rsidP="001942E1">
      <w:pPr>
        <w:pStyle w:val="ListParagraph"/>
        <w:numPr>
          <w:ilvl w:val="1"/>
          <w:numId w:val="2"/>
        </w:numPr>
        <w:spacing w:after="0"/>
        <w:ind w:left="720"/>
        <w:rPr>
          <w:color w:val="000000"/>
        </w:rPr>
      </w:pPr>
      <w:r w:rsidRPr="00723DB6">
        <w:rPr>
          <w:color w:val="000000"/>
        </w:rPr>
        <w:t>T</w:t>
      </w:r>
      <w:r w:rsidR="00712585" w:rsidRPr="00723DB6">
        <w:rPr>
          <w:color w:val="000000"/>
        </w:rPr>
        <w:t xml:space="preserve">op and bottom coding </w:t>
      </w:r>
      <w:r w:rsidR="00A83B4F" w:rsidRPr="00723DB6">
        <w:rPr>
          <w:color w:val="000000"/>
        </w:rPr>
        <w:t xml:space="preserve">– </w:t>
      </w:r>
      <w:r w:rsidR="00E723DD" w:rsidRPr="00723DB6">
        <w:rPr>
          <w:color w:val="000000"/>
        </w:rPr>
        <w:t xml:space="preserve">Such recoding is typically accomplished by substituting “greater than 95 </w:t>
      </w:r>
      <w:r w:rsidR="007C127F" w:rsidRPr="00723DB6">
        <w:rPr>
          <w:color w:val="000000"/>
        </w:rPr>
        <w:t>percent</w:t>
      </w:r>
      <w:r w:rsidR="00BA399D" w:rsidRPr="00723DB6">
        <w:rPr>
          <w:color w:val="000000"/>
        </w:rPr>
        <w:t>”</w:t>
      </w:r>
      <w:r w:rsidR="00E723DD" w:rsidRPr="00723DB6">
        <w:rPr>
          <w:color w:val="000000"/>
        </w:rPr>
        <w:t xml:space="preserve"> for all percentage values that are above 95 percent</w:t>
      </w:r>
      <w:r w:rsidR="001A1768" w:rsidRPr="00723DB6">
        <w:rPr>
          <w:color w:val="000000"/>
        </w:rPr>
        <w:t xml:space="preserve"> and </w:t>
      </w:r>
      <w:r w:rsidR="004F101C" w:rsidRPr="00723DB6">
        <w:t xml:space="preserve">“less than 5 percent” </w:t>
      </w:r>
      <w:r w:rsidR="00145DA8" w:rsidRPr="00723DB6">
        <w:t>for all</w:t>
      </w:r>
      <w:r w:rsidR="00E723DD" w:rsidRPr="00723DB6">
        <w:rPr>
          <w:color w:val="000000"/>
        </w:rPr>
        <w:t xml:space="preserve"> values that are below 5 percent.</w:t>
      </w:r>
      <w:r w:rsidR="00145DA8" w:rsidRPr="00723DB6">
        <w:rPr>
          <w:color w:val="000000"/>
        </w:rPr>
        <w:t xml:space="preserve"> </w:t>
      </w:r>
    </w:p>
    <w:p w14:paraId="5E8D1CE7" w14:textId="21AD1F41" w:rsidR="002D4215" w:rsidRPr="00723DB6" w:rsidRDefault="00792F68" w:rsidP="768DB5C2">
      <w:pPr>
        <w:pStyle w:val="ListParagraph"/>
        <w:numPr>
          <w:ilvl w:val="1"/>
          <w:numId w:val="2"/>
        </w:numPr>
        <w:spacing w:after="0"/>
        <w:ind w:left="720"/>
        <w:rPr>
          <w:rFonts w:eastAsiaTheme="minorEastAsia"/>
          <w:color w:val="000000"/>
        </w:rPr>
      </w:pPr>
      <w:r>
        <w:t>Rounding</w:t>
      </w:r>
      <w:r w:rsidR="00A83B4F">
        <w:t xml:space="preserve"> – </w:t>
      </w:r>
      <w:r w:rsidR="001942E1">
        <w:t>A</w:t>
      </w:r>
      <w:r w:rsidR="00A83B4F">
        <w:t xml:space="preserve">ltering a number to another approximately similar value to introduce an acceptable level of uncertainty that protects data values without substantially changing their </w:t>
      </w:r>
      <w:r w:rsidR="00A83B4F">
        <w:lastRenderedPageBreak/>
        <w:t xml:space="preserve">meaning. For example, values of 1, 2, and 3 are reported as 2. To maintain consistency, all row, column, and overall totals are calculated as the sum of the rounded data. Percentage distributions across categories are also computed using the perturbed data. </w:t>
      </w:r>
    </w:p>
    <w:p w14:paraId="6DB403F6" w14:textId="352B68EB" w:rsidR="09A5DC24" w:rsidRDefault="09A5DC24" w:rsidP="09A5DC24">
      <w:pPr>
        <w:spacing w:after="0"/>
        <w:ind w:left="360"/>
      </w:pPr>
    </w:p>
    <w:sectPr w:rsidR="09A5DC2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09FFFB" w14:textId="77777777" w:rsidR="00182714" w:rsidRDefault="00182714" w:rsidP="00182714">
      <w:pPr>
        <w:spacing w:after="0" w:line="240" w:lineRule="auto"/>
      </w:pPr>
      <w:r>
        <w:separator/>
      </w:r>
    </w:p>
  </w:endnote>
  <w:endnote w:type="continuationSeparator" w:id="0">
    <w:p w14:paraId="74A59F72" w14:textId="77777777" w:rsidR="00182714" w:rsidRDefault="00182714" w:rsidP="00182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2836E5" w14:textId="77777777" w:rsidR="00182714" w:rsidRDefault="00182714" w:rsidP="00182714">
      <w:pPr>
        <w:spacing w:after="0" w:line="240" w:lineRule="auto"/>
      </w:pPr>
      <w:r>
        <w:separator/>
      </w:r>
    </w:p>
  </w:footnote>
  <w:footnote w:type="continuationSeparator" w:id="0">
    <w:p w14:paraId="2E68FE9A" w14:textId="77777777" w:rsidR="00182714" w:rsidRDefault="00182714" w:rsidP="00182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6A4DB" w14:textId="77777777" w:rsidR="00182714" w:rsidRDefault="00182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E4AB3"/>
    <w:multiLevelType w:val="hybridMultilevel"/>
    <w:tmpl w:val="FF52AE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FB2FC5"/>
    <w:multiLevelType w:val="hybridMultilevel"/>
    <w:tmpl w:val="9FB2F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FB7DC4"/>
    <w:multiLevelType w:val="hybridMultilevel"/>
    <w:tmpl w:val="16B818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E2"/>
    <w:rsid w:val="00027718"/>
    <w:rsid w:val="00064E5F"/>
    <w:rsid w:val="00145DA8"/>
    <w:rsid w:val="00182714"/>
    <w:rsid w:val="001942E1"/>
    <w:rsid w:val="001A1768"/>
    <w:rsid w:val="001D4461"/>
    <w:rsid w:val="0021349C"/>
    <w:rsid w:val="002D4215"/>
    <w:rsid w:val="00345596"/>
    <w:rsid w:val="00356740"/>
    <w:rsid w:val="00356FC9"/>
    <w:rsid w:val="003E74F9"/>
    <w:rsid w:val="004F101C"/>
    <w:rsid w:val="004F35F8"/>
    <w:rsid w:val="0054076F"/>
    <w:rsid w:val="006204F3"/>
    <w:rsid w:val="006A3977"/>
    <w:rsid w:val="00705AC8"/>
    <w:rsid w:val="00712585"/>
    <w:rsid w:val="00723DB6"/>
    <w:rsid w:val="00776C15"/>
    <w:rsid w:val="00786584"/>
    <w:rsid w:val="00792F68"/>
    <w:rsid w:val="007C127F"/>
    <w:rsid w:val="007F67D2"/>
    <w:rsid w:val="00844A45"/>
    <w:rsid w:val="00916AE2"/>
    <w:rsid w:val="009831C4"/>
    <w:rsid w:val="009A737C"/>
    <w:rsid w:val="009F5DE2"/>
    <w:rsid w:val="00A83B4F"/>
    <w:rsid w:val="00AA3DF3"/>
    <w:rsid w:val="00BA1788"/>
    <w:rsid w:val="00BA399D"/>
    <w:rsid w:val="00BE1FA7"/>
    <w:rsid w:val="00C056C5"/>
    <w:rsid w:val="00CF05C6"/>
    <w:rsid w:val="00D30D9F"/>
    <w:rsid w:val="00D43564"/>
    <w:rsid w:val="00D83958"/>
    <w:rsid w:val="00DC532D"/>
    <w:rsid w:val="00E16D8C"/>
    <w:rsid w:val="00E2673A"/>
    <w:rsid w:val="00E723DD"/>
    <w:rsid w:val="00EC20B3"/>
    <w:rsid w:val="00EE76D0"/>
    <w:rsid w:val="00FA2161"/>
    <w:rsid w:val="00FB3AAE"/>
    <w:rsid w:val="00FC5FAB"/>
    <w:rsid w:val="00FE57EC"/>
    <w:rsid w:val="025ADBB2"/>
    <w:rsid w:val="05373395"/>
    <w:rsid w:val="09A5DC24"/>
    <w:rsid w:val="0A4E6CB7"/>
    <w:rsid w:val="0E3D9A25"/>
    <w:rsid w:val="1699E666"/>
    <w:rsid w:val="175A6626"/>
    <w:rsid w:val="18A1833D"/>
    <w:rsid w:val="19E632E5"/>
    <w:rsid w:val="1A587ED1"/>
    <w:rsid w:val="2969D7A2"/>
    <w:rsid w:val="2E3AEAE5"/>
    <w:rsid w:val="2ECEF7C8"/>
    <w:rsid w:val="30018321"/>
    <w:rsid w:val="38956A1F"/>
    <w:rsid w:val="3A71607F"/>
    <w:rsid w:val="3E92558F"/>
    <w:rsid w:val="4243DEE1"/>
    <w:rsid w:val="4252693F"/>
    <w:rsid w:val="43EE39A0"/>
    <w:rsid w:val="43FF1A68"/>
    <w:rsid w:val="49AD4E5A"/>
    <w:rsid w:val="4C38583E"/>
    <w:rsid w:val="4C4553A3"/>
    <w:rsid w:val="4EC58995"/>
    <w:rsid w:val="4FF1C803"/>
    <w:rsid w:val="55B44E4B"/>
    <w:rsid w:val="5657B27B"/>
    <w:rsid w:val="592B79FC"/>
    <w:rsid w:val="623E30C5"/>
    <w:rsid w:val="65E0BF61"/>
    <w:rsid w:val="67B25A43"/>
    <w:rsid w:val="6FDAB19E"/>
    <w:rsid w:val="706D671C"/>
    <w:rsid w:val="750A59A0"/>
    <w:rsid w:val="768DB5C2"/>
    <w:rsid w:val="7780AF67"/>
    <w:rsid w:val="7C6E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4890"/>
  <w15:chartTrackingRefBased/>
  <w15:docId w15:val="{BB532A63-0C7E-49FE-BE18-A6936C6C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05C6"/>
    <w:pPr>
      <w:ind w:left="720"/>
      <w:contextualSpacing/>
    </w:pPr>
  </w:style>
  <w:style w:type="character" w:styleId="Hyperlink">
    <w:name w:val="Hyperlink"/>
    <w:basedOn w:val="DefaultParagraphFont"/>
    <w:uiPriority w:val="99"/>
    <w:unhideWhenUsed/>
    <w:rsid w:val="003E74F9"/>
    <w:rPr>
      <w:color w:val="0563C1" w:themeColor="hyperlink"/>
      <w:u w:val="single"/>
    </w:rPr>
  </w:style>
  <w:style w:type="character" w:styleId="UnresolvedMention">
    <w:name w:val="Unresolved Mention"/>
    <w:basedOn w:val="DefaultParagraphFont"/>
    <w:uiPriority w:val="99"/>
    <w:semiHidden/>
    <w:unhideWhenUsed/>
    <w:rsid w:val="003E74F9"/>
    <w:rPr>
      <w:color w:val="605E5C"/>
      <w:shd w:val="clear" w:color="auto" w:fill="E1DFDD"/>
    </w:rPr>
  </w:style>
  <w:style w:type="paragraph" w:styleId="NoSpacing">
    <w:name w:val="No Spacing"/>
    <w:uiPriority w:val="1"/>
    <w:qFormat/>
    <w:rsid w:val="001942E1"/>
    <w:pPr>
      <w:spacing w:after="0" w:line="240" w:lineRule="auto"/>
    </w:pPr>
  </w:style>
  <w:style w:type="character" w:styleId="CommentReference">
    <w:name w:val="annotation reference"/>
    <w:basedOn w:val="DefaultParagraphFont"/>
    <w:uiPriority w:val="99"/>
    <w:semiHidden/>
    <w:unhideWhenUsed/>
    <w:rsid w:val="00BE1FA7"/>
    <w:rPr>
      <w:sz w:val="16"/>
      <w:szCs w:val="16"/>
    </w:rPr>
  </w:style>
  <w:style w:type="paragraph" w:styleId="CommentText">
    <w:name w:val="annotation text"/>
    <w:basedOn w:val="Normal"/>
    <w:link w:val="CommentTextChar"/>
    <w:uiPriority w:val="99"/>
    <w:semiHidden/>
    <w:unhideWhenUsed/>
    <w:rsid w:val="00BE1FA7"/>
    <w:pPr>
      <w:spacing w:line="240" w:lineRule="auto"/>
    </w:pPr>
    <w:rPr>
      <w:sz w:val="20"/>
      <w:szCs w:val="20"/>
    </w:rPr>
  </w:style>
  <w:style w:type="character" w:customStyle="1" w:styleId="CommentTextChar">
    <w:name w:val="Comment Text Char"/>
    <w:basedOn w:val="DefaultParagraphFont"/>
    <w:link w:val="CommentText"/>
    <w:uiPriority w:val="99"/>
    <w:semiHidden/>
    <w:rsid w:val="00BE1FA7"/>
    <w:rPr>
      <w:sz w:val="20"/>
      <w:szCs w:val="20"/>
    </w:rPr>
  </w:style>
  <w:style w:type="paragraph" w:styleId="CommentSubject">
    <w:name w:val="annotation subject"/>
    <w:basedOn w:val="CommentText"/>
    <w:next w:val="CommentText"/>
    <w:link w:val="CommentSubjectChar"/>
    <w:uiPriority w:val="99"/>
    <w:semiHidden/>
    <w:unhideWhenUsed/>
    <w:rsid w:val="00BE1FA7"/>
    <w:rPr>
      <w:b/>
      <w:bCs/>
    </w:rPr>
  </w:style>
  <w:style w:type="character" w:customStyle="1" w:styleId="CommentSubjectChar">
    <w:name w:val="Comment Subject Char"/>
    <w:basedOn w:val="CommentTextChar"/>
    <w:link w:val="CommentSubject"/>
    <w:uiPriority w:val="99"/>
    <w:semiHidden/>
    <w:rsid w:val="00BE1FA7"/>
    <w:rPr>
      <w:b/>
      <w:bCs/>
      <w:sz w:val="20"/>
      <w:szCs w:val="20"/>
    </w:rPr>
  </w:style>
  <w:style w:type="paragraph" w:styleId="BalloonText">
    <w:name w:val="Balloon Text"/>
    <w:basedOn w:val="Normal"/>
    <w:link w:val="BalloonTextChar"/>
    <w:uiPriority w:val="99"/>
    <w:semiHidden/>
    <w:unhideWhenUsed/>
    <w:rsid w:val="00BE1F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FA7"/>
    <w:rPr>
      <w:rFonts w:ascii="Segoe UI" w:hAnsi="Segoe UI" w:cs="Segoe UI"/>
      <w:sz w:val="18"/>
      <w:szCs w:val="18"/>
    </w:rPr>
  </w:style>
  <w:style w:type="paragraph" w:styleId="Header">
    <w:name w:val="header"/>
    <w:basedOn w:val="Normal"/>
    <w:link w:val="HeaderChar"/>
    <w:uiPriority w:val="99"/>
    <w:unhideWhenUsed/>
    <w:rsid w:val="001827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714"/>
  </w:style>
  <w:style w:type="paragraph" w:styleId="Footer">
    <w:name w:val="footer"/>
    <w:basedOn w:val="Normal"/>
    <w:link w:val="FooterChar"/>
    <w:uiPriority w:val="99"/>
    <w:unhideWhenUsed/>
    <w:rsid w:val="001827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ces.ed.gov/pubs2017/2017147.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559E1B0E4BB8498EB525461DDF4905" ma:contentTypeVersion="17" ma:contentTypeDescription="Create a new document." ma:contentTypeScope="" ma:versionID="825d260b3bf5cb12c69a7ffedf31cc55">
  <xsd:schema xmlns:xsd="http://www.w3.org/2001/XMLSchema" xmlns:xs="http://www.w3.org/2001/XMLSchema" xmlns:p="http://schemas.microsoft.com/office/2006/metadata/properties" xmlns:ns2="6b8669b0-6574-4d07-86da-697da7026110" xmlns:ns3="8e46f0e9-fe00-406f-ac91-4fe5157d77a6" targetNamespace="http://schemas.microsoft.com/office/2006/metadata/properties" ma:root="true" ma:fieldsID="77955e57f9eb77152e42958d816058f9" ns2:_="" ns3:_="">
    <xsd:import namespace="6b8669b0-6574-4d07-86da-697da7026110"/>
    <xsd:import namespace="8e46f0e9-fe00-406f-ac91-4fe5157d77a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Reactio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8669b0-6574-4d07-86da-697da70261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Reaction" ma:index="21" nillable="true" ma:displayName="Reaction" ma:description="Interest in neuroscience?" ma:format="Dropdown" ma:internalName="Reaction">
      <xsd:simpleType>
        <xsd:restriction base="dms:Text">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46f0e9-fe00-406f-ac91-4fe5157d77a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7e49d55-8883-4a37-ab35-b3262c4aa37c}" ma:internalName="TaxCatchAll" ma:showField="CatchAllData" ma:web="8e46f0e9-fe00-406f-ac91-4fe5157d77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e46f0e9-fe00-406f-ac91-4fe5157d77a6" xsi:nil="true"/>
    <lcf76f155ced4ddcb4097134ff3c332f xmlns="6b8669b0-6574-4d07-86da-697da7026110">
      <Terms xmlns="http://schemas.microsoft.com/office/infopath/2007/PartnerControls"/>
    </lcf76f155ced4ddcb4097134ff3c332f>
    <Reaction xmlns="6b8669b0-6574-4d07-86da-697da7026110" xsi:nil="true"/>
  </documentManagement>
</p:properties>
</file>

<file path=customXml/itemProps1.xml><?xml version="1.0" encoding="utf-8"?>
<ds:datastoreItem xmlns:ds="http://schemas.openxmlformats.org/officeDocument/2006/customXml" ds:itemID="{253C6466-AE37-47D4-A0E7-19525C96E344}">
  <ds:schemaRefs>
    <ds:schemaRef ds:uri="http://schemas.openxmlformats.org/officeDocument/2006/bibliography"/>
  </ds:schemaRefs>
</ds:datastoreItem>
</file>

<file path=customXml/itemProps2.xml><?xml version="1.0" encoding="utf-8"?>
<ds:datastoreItem xmlns:ds="http://schemas.openxmlformats.org/officeDocument/2006/customXml" ds:itemID="{2F9BA9A5-100F-40B0-A70C-E51938C698F9}"/>
</file>

<file path=customXml/itemProps3.xml><?xml version="1.0" encoding="utf-8"?>
<ds:datastoreItem xmlns:ds="http://schemas.openxmlformats.org/officeDocument/2006/customXml" ds:itemID="{EC2EAED9-FDDB-4830-A7B1-C67003AA7BB2}">
  <ds:schemaRefs>
    <ds:schemaRef ds:uri="http://schemas.microsoft.com/sharepoint/v3/contenttype/forms"/>
  </ds:schemaRefs>
</ds:datastoreItem>
</file>

<file path=customXml/itemProps4.xml><?xml version="1.0" encoding="utf-8"?>
<ds:datastoreItem xmlns:ds="http://schemas.openxmlformats.org/officeDocument/2006/customXml" ds:itemID="{97C8BC03-F141-467A-82E8-455EDCB07409}">
  <ds:schemaRefs>
    <ds:schemaRef ds:uri="http://purl.org/dc/terms/"/>
    <ds:schemaRef ds:uri="http://schemas.openxmlformats.org/package/2006/metadata/core-properties"/>
    <ds:schemaRef ds:uri="0b516ab0-04e4-4c88-99cd-523706b96b1a"/>
    <ds:schemaRef ds:uri="http://schemas.microsoft.com/office/2006/documentManagement/types"/>
    <ds:schemaRef ds:uri="http://schemas.microsoft.com/office/infopath/2007/PartnerControls"/>
    <ds:schemaRef ds:uri="http://purl.org/dc/elements/1.1/"/>
    <ds:schemaRef ds:uri="http://schemas.microsoft.com/office/2006/metadata/properties"/>
    <ds:schemaRef ds:uri="589fc4a7-9825-4918-b2d3-6237c872ffb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2646</Characters>
  <Application>Microsoft Office Word</Application>
  <DocSecurity>4</DocSecurity>
  <Lines>31</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Vizcaino-Riveros, Jorge (NIH/NIDA) [E]</dc:creator>
  <cp:keywords/>
  <dc:description/>
  <cp:lastModifiedBy>Hoffman, Elizabeth (NIH/NIDA) [E]</cp:lastModifiedBy>
  <cp:revision>2</cp:revision>
  <dcterms:created xsi:type="dcterms:W3CDTF">2021-05-12T20:20:00Z</dcterms:created>
  <dcterms:modified xsi:type="dcterms:W3CDTF">2021-05-12T20:20:00Z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0x01010009559E1B0E4BB8498EB525461DDF4905</vt:lpwstr>
  </property>
</Properties>
</file>