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A7856" w14:textId="77777777" w:rsidR="008172BC" w:rsidRDefault="0088332D">
      <w:pPr>
        <w:contextualSpacing w:val="0"/>
        <w:jc w:val="center"/>
      </w:pPr>
      <w:r>
        <w:t>The semantic structure of children’s vocabulary predicts future word learning</w:t>
      </w:r>
    </w:p>
    <w:p w14:paraId="2D17596E" w14:textId="77777777" w:rsidR="008172BC" w:rsidRDefault="008172BC">
      <w:pPr>
        <w:contextualSpacing w:val="0"/>
        <w:rPr>
          <w:color w:val="212121"/>
        </w:rPr>
      </w:pPr>
    </w:p>
    <w:p w14:paraId="73CE90CC" w14:textId="77777777" w:rsidR="008172BC" w:rsidRDefault="008172BC">
      <w:pPr>
        <w:contextualSpacing w:val="0"/>
        <w:rPr>
          <w:color w:val="212121"/>
        </w:rPr>
      </w:pPr>
    </w:p>
    <w:p w14:paraId="5695D905" w14:textId="77777777" w:rsidR="008172BC" w:rsidRDefault="0088332D">
      <w:pPr>
        <w:contextualSpacing w:val="0"/>
        <w:rPr>
          <w:color w:val="212121"/>
          <w:vertAlign w:val="subscript"/>
        </w:rPr>
      </w:pPr>
      <w:r>
        <w:rPr>
          <w:color w:val="212121"/>
        </w:rPr>
        <w:t xml:space="preserve">Young children are bombarded by words they do not know. Over time, children begin to use these words in their own speech. To understand how words go from novel to meaningful, researchers have often focused on studying the relationship between word-forms and a child’s external environment (e.g., </w:t>
      </w:r>
      <w:proofErr w:type="spellStart"/>
      <w:r>
        <w:rPr>
          <w:color w:val="212121"/>
        </w:rPr>
        <w:t>Markman</w:t>
      </w:r>
      <w:proofErr w:type="spellEnd"/>
      <w:r>
        <w:rPr>
          <w:color w:val="212121"/>
        </w:rPr>
        <w:t xml:space="preserve">, 1990). For example, a child may observe the word “cup” being used in the presence only certain objects, and thereby narrow her hypothesis-space to the objects that are cups (Smith &amp; Yu, 2008). Researchers have also studied social factors such as where a caretaker is looking during naming (e.g. Baldwin, 1991, 1993). These two strands of research have in common a focus on relationships between the words and the world. Another less prominent strand of research has focused on language-internal factors such as the linguistic context in which a word appears (e.g., syntactic bootstrapping; </w:t>
      </w:r>
      <w:proofErr w:type="spellStart"/>
      <w:r>
        <w:rPr>
          <w:color w:val="212121"/>
        </w:rPr>
        <w:t>Gleitman</w:t>
      </w:r>
      <w:proofErr w:type="spellEnd"/>
      <w:r>
        <w:rPr>
          <w:color w:val="212121"/>
        </w:rPr>
        <w:t xml:space="preserve">, 1990), and the relationship between the word being learned and a child’s existing vocabulary (Hills, 2009; Hills, et al., 2009; </w:t>
      </w:r>
      <w:proofErr w:type="spellStart"/>
      <w:r>
        <w:rPr>
          <w:color w:val="212121"/>
        </w:rPr>
        <w:t>Beckage</w:t>
      </w:r>
      <w:proofErr w:type="spellEnd"/>
      <w:r>
        <w:rPr>
          <w:color w:val="212121"/>
        </w:rPr>
        <w:t>, Smith, &amp; Hills, 2011). Here, we take a novel approach to a study of language-internal factors by examining whether the coherence of a child’s vocabulary at time</w:t>
      </w:r>
      <w:r>
        <w:rPr>
          <w:color w:val="212121"/>
          <w:vertAlign w:val="subscript"/>
        </w:rPr>
        <w:t>1</w:t>
      </w:r>
      <w:r>
        <w:rPr>
          <w:color w:val="212121"/>
        </w:rPr>
        <w:t xml:space="preserve"> predicts their language knowledge at time</w:t>
      </w:r>
      <w:r>
        <w:rPr>
          <w:color w:val="212121"/>
          <w:vertAlign w:val="subscript"/>
        </w:rPr>
        <w:t>2.</w:t>
      </w:r>
    </w:p>
    <w:p w14:paraId="4DB378D8" w14:textId="77777777" w:rsidR="008172BC" w:rsidRDefault="008172BC">
      <w:pPr>
        <w:contextualSpacing w:val="0"/>
        <w:rPr>
          <w:color w:val="212121"/>
        </w:rPr>
      </w:pPr>
    </w:p>
    <w:p w14:paraId="792FE31D" w14:textId="77777777" w:rsidR="008172BC" w:rsidRDefault="0088332D">
      <w:pPr>
        <w:contextualSpacing w:val="0"/>
        <w:rPr>
          <w:color w:val="212121"/>
        </w:rPr>
      </w:pPr>
      <w:r>
        <w:rPr>
          <w:color w:val="212121"/>
        </w:rPr>
        <w:t>We analyzed the transcripts from English-speaking children in the CHILDES corpus (</w:t>
      </w:r>
      <w:proofErr w:type="spellStart"/>
      <w:r>
        <w:rPr>
          <w:color w:val="212121"/>
        </w:rPr>
        <w:t>MacWhinney</w:t>
      </w:r>
      <w:proofErr w:type="spellEnd"/>
      <w:r>
        <w:rPr>
          <w:color w:val="212121"/>
        </w:rPr>
        <w:t>, 2000) of 56 children whose production vocabularies overlapped with the words in other data sources (described below) and who had transcripts available at two distinct age bins:</w:t>
      </w:r>
    </w:p>
    <w:p w14:paraId="3D28B7E9" w14:textId="77777777" w:rsidR="008172BC" w:rsidRDefault="0088332D">
      <w:pPr>
        <w:contextualSpacing w:val="0"/>
        <w:rPr>
          <w:color w:val="212121"/>
        </w:rPr>
      </w:pPr>
      <w:r>
        <w:rPr>
          <w:color w:val="212121"/>
        </w:rPr>
        <w:t>time</w:t>
      </w:r>
      <w:r>
        <w:rPr>
          <w:color w:val="212121"/>
          <w:vertAlign w:val="subscript"/>
        </w:rPr>
        <w:t xml:space="preserve">1 </w:t>
      </w:r>
      <w:r>
        <w:rPr>
          <w:color w:val="212121"/>
        </w:rPr>
        <w:t>(M=22.6m; range 20.0-24.5); time</w:t>
      </w:r>
      <w:r>
        <w:rPr>
          <w:color w:val="212121"/>
          <w:vertAlign w:val="subscript"/>
        </w:rPr>
        <w:t>2</w:t>
      </w:r>
      <w:r>
        <w:rPr>
          <w:color w:val="212121"/>
        </w:rPr>
        <w:t xml:space="preserve"> (M=27.1m, range 25.0-29.3). For each child at each </w:t>
      </w:r>
      <w:proofErr w:type="spellStart"/>
      <w:r>
        <w:rPr>
          <w:color w:val="212121"/>
        </w:rPr>
        <w:t>timepoint</w:t>
      </w:r>
      <w:proofErr w:type="spellEnd"/>
      <w:r>
        <w:rPr>
          <w:color w:val="212121"/>
        </w:rPr>
        <w:t>, we quantified their linguistic knowledge using two measures: a measure of textual lexical diversity that controls for variability in transcript length (MTLD; McCarthy &amp; Jarvis, 2010; mean MTLD time</w:t>
      </w:r>
      <w:r>
        <w:rPr>
          <w:color w:val="212121"/>
          <w:vertAlign w:val="subscript"/>
        </w:rPr>
        <w:t>1</w:t>
      </w:r>
      <w:r>
        <w:rPr>
          <w:color w:val="212121"/>
        </w:rPr>
        <w:t>=11.8; time</w:t>
      </w:r>
      <w:r>
        <w:rPr>
          <w:color w:val="212121"/>
          <w:vertAlign w:val="subscript"/>
        </w:rPr>
        <w:t>2</w:t>
      </w:r>
      <w:r>
        <w:rPr>
          <w:color w:val="212121"/>
        </w:rPr>
        <w:t>=15.3; Fig. 1), and mean length of utterance (MLU; mean MLU time</w:t>
      </w:r>
      <w:r>
        <w:rPr>
          <w:color w:val="212121"/>
          <w:vertAlign w:val="subscript"/>
        </w:rPr>
        <w:t>1</w:t>
      </w:r>
      <w:r>
        <w:rPr>
          <w:color w:val="212121"/>
        </w:rPr>
        <w:t>=8.20; time</w:t>
      </w:r>
      <w:r>
        <w:rPr>
          <w:color w:val="212121"/>
          <w:vertAlign w:val="subscript"/>
        </w:rPr>
        <w:t>2</w:t>
      </w:r>
      <w:r>
        <w:rPr>
          <w:color w:val="212121"/>
        </w:rPr>
        <w:t>=20.40).  We then predicted each child’s MTLD and MLU at time</w:t>
      </w:r>
      <w:r>
        <w:rPr>
          <w:color w:val="212121"/>
          <w:vertAlign w:val="subscript"/>
        </w:rPr>
        <w:t>2</w:t>
      </w:r>
      <w:r>
        <w:rPr>
          <w:color w:val="212121"/>
        </w:rPr>
        <w:t xml:space="preserve"> based on semantic properties of the child’s vocabulary at time</w:t>
      </w:r>
      <w:r>
        <w:rPr>
          <w:color w:val="212121"/>
          <w:vertAlign w:val="subscript"/>
        </w:rPr>
        <w:t>1</w:t>
      </w:r>
      <w:r>
        <w:rPr>
          <w:color w:val="212121"/>
        </w:rPr>
        <w:t>. For each child, we measured the overall semantic similarity of their vocabulary using published concept feature norms (McRae, et al., 2005). A word was high on similarity to the extent that it shared features with many other word meanings (e.g., “car” which is similar to many other vehicles; see Table 1). We predicted children’s MTLD and MLU while controlling for MTLD, MLU, mean utterance length, mean word frequency, transcript length, age, and proportion nouns in vocabulary at time</w:t>
      </w:r>
      <w:r>
        <w:rPr>
          <w:color w:val="212121"/>
          <w:vertAlign w:val="subscript"/>
        </w:rPr>
        <w:t>1</w:t>
      </w:r>
      <w:r>
        <w:rPr>
          <w:color w:val="212121"/>
        </w:rPr>
        <w:t>.</w:t>
      </w:r>
    </w:p>
    <w:p w14:paraId="5E244088" w14:textId="77777777" w:rsidR="008172BC" w:rsidRDefault="008172BC">
      <w:pPr>
        <w:contextualSpacing w:val="0"/>
        <w:rPr>
          <w:color w:val="212121"/>
        </w:rPr>
      </w:pPr>
    </w:p>
    <w:p w14:paraId="2FCC87E9" w14:textId="77777777" w:rsidR="008172BC" w:rsidRDefault="0088332D">
      <w:pPr>
        <w:contextualSpacing w:val="0"/>
        <w:rPr>
          <w:color w:val="212121"/>
        </w:rPr>
      </w:pPr>
      <w:r>
        <w:rPr>
          <w:color w:val="212121"/>
        </w:rPr>
        <w:t>Mean word similarity at time</w:t>
      </w:r>
      <w:r>
        <w:rPr>
          <w:color w:val="212121"/>
          <w:vertAlign w:val="subscript"/>
        </w:rPr>
        <w:t>1</w:t>
      </w:r>
      <w:r>
        <w:rPr>
          <w:color w:val="212121"/>
        </w:rPr>
        <w:t xml:space="preserve"> was a strong predictor of a child’s MTLD at time</w:t>
      </w:r>
      <w:r>
        <w:rPr>
          <w:color w:val="212121"/>
          <w:vertAlign w:val="subscript"/>
        </w:rPr>
        <w:t>2</w:t>
      </w:r>
      <w:r>
        <w:rPr>
          <w:color w:val="212121"/>
        </w:rPr>
        <w:t xml:space="preserve"> (</w:t>
      </w:r>
      <w:r>
        <w:rPr>
          <w:i/>
          <w:color w:val="212121"/>
        </w:rPr>
        <w:t>B</w:t>
      </w:r>
      <w:r>
        <w:rPr>
          <w:color w:val="212121"/>
        </w:rPr>
        <w:t xml:space="preserve">=0.25; SE=.07; </w:t>
      </w:r>
      <w:r w:rsidRPr="00861921">
        <w:rPr>
          <w:i/>
          <w:color w:val="212121"/>
        </w:rPr>
        <w:t xml:space="preserve">t </w:t>
      </w:r>
      <w:r>
        <w:rPr>
          <w:color w:val="212121"/>
        </w:rPr>
        <w:t>= 3.98) suggesting that children who know more semantically cohesive words at time</w:t>
      </w:r>
      <w:r>
        <w:rPr>
          <w:color w:val="212121"/>
          <w:vertAlign w:val="subscript"/>
        </w:rPr>
        <w:t>1</w:t>
      </w:r>
      <w:r>
        <w:rPr>
          <w:color w:val="212121"/>
        </w:rPr>
        <w:t xml:space="preserve"> go on to learn more words </w:t>
      </w:r>
      <w:r>
        <w:rPr>
          <w:i/>
          <w:color w:val="212121"/>
        </w:rPr>
        <w:t>and</w:t>
      </w:r>
      <w:r>
        <w:rPr>
          <w:color w:val="212121"/>
        </w:rPr>
        <w:t xml:space="preserve"> to have a more productive vocabulary. Semantic similarity did not reliably predict MLU at time</w:t>
      </w:r>
      <w:r>
        <w:rPr>
          <w:color w:val="212121"/>
          <w:vertAlign w:val="subscript"/>
        </w:rPr>
        <w:t xml:space="preserve">2 </w:t>
      </w:r>
      <w:r>
        <w:rPr>
          <w:color w:val="212121"/>
        </w:rPr>
        <w:t>(</w:t>
      </w:r>
      <w:r>
        <w:rPr>
          <w:i/>
          <w:color w:val="212121"/>
        </w:rPr>
        <w:t>B</w:t>
      </w:r>
      <w:r>
        <w:rPr>
          <w:color w:val="212121"/>
        </w:rPr>
        <w:t xml:space="preserve">=0.11; SE=.09; </w:t>
      </w:r>
      <w:r w:rsidRPr="00861921">
        <w:rPr>
          <w:i/>
          <w:color w:val="212121"/>
        </w:rPr>
        <w:t>t</w:t>
      </w:r>
      <w:r>
        <w:rPr>
          <w:color w:val="212121"/>
        </w:rPr>
        <w:t xml:space="preserve">=1.33). </w:t>
      </w:r>
      <w:r>
        <w:rPr>
          <w:color w:val="212121"/>
          <w:vertAlign w:val="subscript"/>
        </w:rPr>
        <w:t xml:space="preserve"> </w:t>
      </w:r>
      <w:r>
        <w:rPr>
          <w:color w:val="212121"/>
        </w:rPr>
        <w:t xml:space="preserve">Although our finding is correlational, it hints at a possible causal factor: a well-structured vocabulary at a younger age may enable children to more effectively learn future words. </w:t>
      </w:r>
    </w:p>
    <w:p w14:paraId="5486BBB4" w14:textId="77777777" w:rsidR="008172BC" w:rsidRDefault="008172BC">
      <w:pPr>
        <w:contextualSpacing w:val="0"/>
        <w:rPr>
          <w:color w:val="212121"/>
        </w:rPr>
      </w:pPr>
    </w:p>
    <w:p w14:paraId="4FDBBBDC" w14:textId="77777777" w:rsidR="008172BC" w:rsidRDefault="008172BC">
      <w:pPr>
        <w:contextualSpacing w:val="0"/>
        <w:rPr>
          <w:color w:val="212121"/>
        </w:rPr>
      </w:pPr>
    </w:p>
    <w:p w14:paraId="3BC2CE19" w14:textId="77777777" w:rsidR="00861921" w:rsidRDefault="00861921">
      <w:pPr>
        <w:contextualSpacing w:val="0"/>
        <w:rPr>
          <w:color w:val="212121"/>
        </w:rPr>
      </w:pPr>
    </w:p>
    <w:p w14:paraId="3B69737E" w14:textId="77777777" w:rsidR="00861921" w:rsidRDefault="00861921">
      <w:pPr>
        <w:contextualSpacing w:val="0"/>
        <w:rPr>
          <w:color w:val="212121"/>
        </w:rPr>
      </w:pPr>
    </w:p>
    <w:tbl>
      <w:tblPr>
        <w:tblStyle w:val="a"/>
        <w:tblW w:w="472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9"/>
        <w:gridCol w:w="2550"/>
      </w:tblGrid>
      <w:tr w:rsidR="00861921" w14:paraId="2397E295" w14:textId="77777777" w:rsidTr="00861921">
        <w:trPr>
          <w:trHeight w:val="342"/>
        </w:trPr>
        <w:tc>
          <w:tcPr>
            <w:tcW w:w="2179" w:type="dxa"/>
            <w:tcBorders>
              <w:top w:val="nil"/>
              <w:left w:val="nil"/>
              <w:bottom w:val="single" w:sz="8" w:space="0" w:color="000000"/>
              <w:right w:val="nil"/>
            </w:tcBorders>
            <w:tcMar>
              <w:top w:w="100" w:type="dxa"/>
              <w:left w:w="100" w:type="dxa"/>
              <w:bottom w:w="100" w:type="dxa"/>
              <w:right w:w="100" w:type="dxa"/>
            </w:tcMar>
          </w:tcPr>
          <w:p w14:paraId="57807D84" w14:textId="77777777" w:rsidR="008172BC" w:rsidRDefault="0088332D">
            <w:pPr>
              <w:widowControl w:val="0"/>
              <w:pBdr>
                <w:top w:val="nil"/>
                <w:left w:val="nil"/>
                <w:bottom w:val="nil"/>
                <w:right w:val="nil"/>
                <w:between w:val="nil"/>
              </w:pBdr>
              <w:contextualSpacing w:val="0"/>
              <w:rPr>
                <w:b/>
                <w:color w:val="212121"/>
                <w:sz w:val="20"/>
                <w:szCs w:val="20"/>
              </w:rPr>
            </w:pPr>
            <w:r>
              <w:rPr>
                <w:b/>
                <w:color w:val="212121"/>
                <w:sz w:val="20"/>
                <w:szCs w:val="20"/>
              </w:rPr>
              <w:lastRenderedPageBreak/>
              <w:t xml:space="preserve">Low similarity words </w:t>
            </w:r>
          </w:p>
        </w:tc>
        <w:tc>
          <w:tcPr>
            <w:tcW w:w="2550" w:type="dxa"/>
            <w:tcBorders>
              <w:top w:val="nil"/>
              <w:left w:val="nil"/>
              <w:bottom w:val="single" w:sz="8" w:space="0" w:color="000000"/>
              <w:right w:val="nil"/>
            </w:tcBorders>
            <w:tcMar>
              <w:top w:w="100" w:type="dxa"/>
              <w:left w:w="100" w:type="dxa"/>
              <w:bottom w:w="100" w:type="dxa"/>
              <w:right w:w="100" w:type="dxa"/>
            </w:tcMar>
          </w:tcPr>
          <w:p w14:paraId="775C1B80" w14:textId="77777777" w:rsidR="008172BC" w:rsidRDefault="0088332D">
            <w:pPr>
              <w:widowControl w:val="0"/>
              <w:pBdr>
                <w:top w:val="nil"/>
                <w:left w:val="nil"/>
                <w:bottom w:val="nil"/>
                <w:right w:val="nil"/>
                <w:between w:val="nil"/>
              </w:pBdr>
              <w:contextualSpacing w:val="0"/>
              <w:rPr>
                <w:b/>
                <w:color w:val="212121"/>
                <w:sz w:val="20"/>
                <w:szCs w:val="20"/>
              </w:rPr>
            </w:pPr>
            <w:r>
              <w:rPr>
                <w:b/>
                <w:color w:val="212121"/>
                <w:sz w:val="20"/>
                <w:szCs w:val="20"/>
              </w:rPr>
              <w:t>High similarity words</w:t>
            </w:r>
          </w:p>
        </w:tc>
      </w:tr>
      <w:tr w:rsidR="00861921" w14:paraId="1612D09C" w14:textId="77777777" w:rsidTr="00861921">
        <w:trPr>
          <w:trHeight w:val="310"/>
        </w:trPr>
        <w:tc>
          <w:tcPr>
            <w:tcW w:w="2179" w:type="dxa"/>
            <w:tcBorders>
              <w:top w:val="nil"/>
              <w:left w:val="nil"/>
              <w:bottom w:val="single" w:sz="8" w:space="0" w:color="000000"/>
              <w:right w:val="nil"/>
            </w:tcBorders>
            <w:tcMar>
              <w:top w:w="100" w:type="dxa"/>
              <w:left w:w="100" w:type="dxa"/>
              <w:bottom w:w="100" w:type="dxa"/>
              <w:right w:w="100" w:type="dxa"/>
            </w:tcMar>
          </w:tcPr>
          <w:p w14:paraId="14DC22F5"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clock</w:t>
            </w:r>
          </w:p>
        </w:tc>
        <w:tc>
          <w:tcPr>
            <w:tcW w:w="2550" w:type="dxa"/>
            <w:tcBorders>
              <w:top w:val="nil"/>
              <w:left w:val="nil"/>
              <w:bottom w:val="single" w:sz="8" w:space="0" w:color="000000"/>
              <w:right w:val="nil"/>
            </w:tcBorders>
            <w:tcMar>
              <w:top w:w="100" w:type="dxa"/>
              <w:left w:w="100" w:type="dxa"/>
              <w:bottom w:w="100" w:type="dxa"/>
              <w:right w:w="100" w:type="dxa"/>
            </w:tcMar>
          </w:tcPr>
          <w:p w14:paraId="5C35C6A7"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orange</w:t>
            </w:r>
          </w:p>
        </w:tc>
      </w:tr>
      <w:tr w:rsidR="00861921" w14:paraId="1F5F99E5"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6AD99F46"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corn</w:t>
            </w:r>
          </w:p>
        </w:tc>
        <w:tc>
          <w:tcPr>
            <w:tcW w:w="2550" w:type="dxa"/>
            <w:tcBorders>
              <w:top w:val="nil"/>
              <w:left w:val="nil"/>
              <w:bottom w:val="single" w:sz="8" w:space="0" w:color="000000"/>
              <w:right w:val="nil"/>
            </w:tcBorders>
            <w:tcMar>
              <w:top w:w="100" w:type="dxa"/>
              <w:left w:w="100" w:type="dxa"/>
              <w:bottom w:w="100" w:type="dxa"/>
              <w:right w:w="100" w:type="dxa"/>
            </w:tcMar>
          </w:tcPr>
          <w:p w14:paraId="39C03FE2"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car</w:t>
            </w:r>
          </w:p>
        </w:tc>
      </w:tr>
      <w:tr w:rsidR="00861921" w14:paraId="768E2777"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319FA309"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fence</w:t>
            </w:r>
          </w:p>
        </w:tc>
        <w:tc>
          <w:tcPr>
            <w:tcW w:w="2550" w:type="dxa"/>
            <w:tcBorders>
              <w:top w:val="nil"/>
              <w:left w:val="nil"/>
              <w:bottom w:val="single" w:sz="8" w:space="0" w:color="000000"/>
              <w:right w:val="nil"/>
            </w:tcBorders>
            <w:tcMar>
              <w:top w:w="100" w:type="dxa"/>
              <w:left w:w="100" w:type="dxa"/>
              <w:bottom w:w="100" w:type="dxa"/>
              <w:right w:w="100" w:type="dxa"/>
            </w:tcMar>
          </w:tcPr>
          <w:p w14:paraId="543E56A0"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elephant</w:t>
            </w:r>
          </w:p>
        </w:tc>
      </w:tr>
      <w:tr w:rsidR="00861921" w14:paraId="3A22577D"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468CFD49"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rocket</w:t>
            </w:r>
          </w:p>
        </w:tc>
        <w:tc>
          <w:tcPr>
            <w:tcW w:w="2550" w:type="dxa"/>
            <w:tcBorders>
              <w:top w:val="nil"/>
              <w:left w:val="nil"/>
              <w:bottom w:val="single" w:sz="8" w:space="0" w:color="000000"/>
              <w:right w:val="nil"/>
            </w:tcBorders>
            <w:tcMar>
              <w:top w:w="100" w:type="dxa"/>
              <w:left w:w="100" w:type="dxa"/>
              <w:bottom w:w="100" w:type="dxa"/>
              <w:right w:w="100" w:type="dxa"/>
            </w:tcMar>
          </w:tcPr>
          <w:p w14:paraId="29DDB981"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socks</w:t>
            </w:r>
          </w:p>
        </w:tc>
      </w:tr>
      <w:tr w:rsidR="00861921" w14:paraId="5A82BD10" w14:textId="77777777" w:rsidTr="00861921">
        <w:trPr>
          <w:trHeight w:val="228"/>
        </w:trPr>
        <w:tc>
          <w:tcPr>
            <w:tcW w:w="2179" w:type="dxa"/>
            <w:tcBorders>
              <w:top w:val="nil"/>
              <w:left w:val="nil"/>
              <w:bottom w:val="single" w:sz="8" w:space="0" w:color="000000"/>
              <w:right w:val="nil"/>
            </w:tcBorders>
            <w:tcMar>
              <w:top w:w="100" w:type="dxa"/>
              <w:left w:w="100" w:type="dxa"/>
              <w:bottom w:w="100" w:type="dxa"/>
              <w:right w:w="100" w:type="dxa"/>
            </w:tcMar>
          </w:tcPr>
          <w:p w14:paraId="52833724"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bow</w:t>
            </w:r>
          </w:p>
        </w:tc>
        <w:tc>
          <w:tcPr>
            <w:tcW w:w="2550" w:type="dxa"/>
            <w:tcBorders>
              <w:top w:val="nil"/>
              <w:left w:val="nil"/>
              <w:bottom w:val="single" w:sz="8" w:space="0" w:color="000000"/>
              <w:right w:val="nil"/>
            </w:tcBorders>
            <w:tcMar>
              <w:top w:w="100" w:type="dxa"/>
              <w:left w:w="100" w:type="dxa"/>
              <w:bottom w:w="100" w:type="dxa"/>
              <w:right w:w="100" w:type="dxa"/>
            </w:tcMar>
          </w:tcPr>
          <w:p w14:paraId="0EE74D07"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house</w:t>
            </w:r>
          </w:p>
        </w:tc>
      </w:tr>
      <w:tr w:rsidR="00861921" w14:paraId="287EABA6" w14:textId="77777777" w:rsidTr="00861921">
        <w:trPr>
          <w:trHeight w:val="262"/>
        </w:trPr>
        <w:tc>
          <w:tcPr>
            <w:tcW w:w="2179" w:type="dxa"/>
            <w:tcBorders>
              <w:top w:val="nil"/>
              <w:left w:val="nil"/>
              <w:bottom w:val="single" w:sz="8" w:space="0" w:color="000000"/>
              <w:right w:val="nil"/>
            </w:tcBorders>
            <w:tcMar>
              <w:top w:w="100" w:type="dxa"/>
              <w:left w:w="100" w:type="dxa"/>
              <w:bottom w:w="100" w:type="dxa"/>
              <w:right w:w="100" w:type="dxa"/>
            </w:tcMar>
          </w:tcPr>
          <w:p w14:paraId="649BFF81"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belt</w:t>
            </w:r>
          </w:p>
        </w:tc>
        <w:tc>
          <w:tcPr>
            <w:tcW w:w="2550" w:type="dxa"/>
            <w:tcBorders>
              <w:top w:val="nil"/>
              <w:left w:val="nil"/>
              <w:bottom w:val="single" w:sz="8" w:space="0" w:color="000000"/>
              <w:right w:val="nil"/>
            </w:tcBorders>
            <w:tcMar>
              <w:top w:w="100" w:type="dxa"/>
              <w:left w:w="100" w:type="dxa"/>
              <w:bottom w:w="100" w:type="dxa"/>
              <w:right w:w="100" w:type="dxa"/>
            </w:tcMar>
          </w:tcPr>
          <w:p w14:paraId="4FA5D8E5" w14:textId="77777777" w:rsidR="008172BC" w:rsidRDefault="0088332D">
            <w:pPr>
              <w:widowControl w:val="0"/>
              <w:pBdr>
                <w:top w:val="nil"/>
                <w:left w:val="nil"/>
                <w:bottom w:val="nil"/>
                <w:right w:val="nil"/>
                <w:between w:val="nil"/>
              </w:pBdr>
              <w:contextualSpacing w:val="0"/>
              <w:rPr>
                <w:color w:val="212121"/>
                <w:sz w:val="20"/>
                <w:szCs w:val="20"/>
              </w:rPr>
            </w:pPr>
            <w:r>
              <w:rPr>
                <w:color w:val="212121"/>
                <w:sz w:val="20"/>
                <w:szCs w:val="20"/>
              </w:rPr>
              <w:t>cup</w:t>
            </w:r>
          </w:p>
        </w:tc>
      </w:tr>
    </w:tbl>
    <w:p w14:paraId="1E8BCCB5" w14:textId="77777777" w:rsidR="008172BC" w:rsidRDefault="0088332D">
      <w:pPr>
        <w:contextualSpacing w:val="0"/>
        <w:rPr>
          <w:color w:val="212121"/>
        </w:rPr>
      </w:pPr>
      <w:r>
        <w:rPr>
          <w:color w:val="212121"/>
        </w:rPr>
        <w:t>Table 1:  Examples of words produced by children in CHILDES that are low (left) and high (right) on semantic similarity.</w:t>
      </w:r>
    </w:p>
    <w:p w14:paraId="74390794" w14:textId="77777777" w:rsidR="00861921" w:rsidRDefault="00861921">
      <w:pPr>
        <w:contextualSpacing w:val="0"/>
        <w:rPr>
          <w:color w:val="212121"/>
        </w:rPr>
      </w:pPr>
    </w:p>
    <w:p w14:paraId="4AE4B213" w14:textId="77777777" w:rsidR="00861921" w:rsidRDefault="00861921">
      <w:pPr>
        <w:contextualSpacing w:val="0"/>
        <w:rPr>
          <w:color w:val="212121"/>
        </w:rPr>
      </w:pPr>
    </w:p>
    <w:p w14:paraId="42905FBD" w14:textId="77777777" w:rsidR="008172BC" w:rsidRDefault="008172BC">
      <w:pPr>
        <w:contextualSpacing w:val="0"/>
      </w:pPr>
    </w:p>
    <w:p w14:paraId="37B5B186" w14:textId="77777777" w:rsidR="008172BC" w:rsidRDefault="0088332D">
      <w:pPr>
        <w:contextualSpacing w:val="0"/>
      </w:pPr>
      <w:r>
        <w:rPr>
          <w:noProof/>
          <w:lang w:val="en-US"/>
        </w:rPr>
        <w:drawing>
          <wp:inline distT="114300" distB="114300" distL="114300" distR="114300" wp14:anchorId="47FA036C" wp14:editId="5D621E93">
            <wp:extent cx="2566035" cy="3372748"/>
            <wp:effectExtent l="0" t="0" r="0" b="571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574446" cy="3383804"/>
                    </a:xfrm>
                    <a:prstGeom prst="rect">
                      <a:avLst/>
                    </a:prstGeom>
                    <a:ln/>
                  </pic:spPr>
                </pic:pic>
              </a:graphicData>
            </a:graphic>
          </wp:inline>
        </w:drawing>
      </w:r>
    </w:p>
    <w:p w14:paraId="50682FAE" w14:textId="596A4CA3" w:rsidR="008172BC" w:rsidRDefault="001775AC">
      <w:pPr>
        <w:contextualSpacing w:val="0"/>
      </w:pPr>
      <w:r>
        <w:t xml:space="preserve">Figure 1: Log MLTD for each child in our </w:t>
      </w:r>
      <w:r w:rsidR="0088332D">
        <w:t xml:space="preserve">CHILDES </w:t>
      </w:r>
      <w:r>
        <w:t xml:space="preserve">sample </w:t>
      </w:r>
      <w:bookmarkStart w:id="0" w:name="_GoBack"/>
      <w:bookmarkEnd w:id="0"/>
      <w:r w:rsidR="0088332D">
        <w:t xml:space="preserve">at </w:t>
      </w:r>
      <w:r w:rsidR="0088332D">
        <w:rPr>
          <w:color w:val="212121"/>
        </w:rPr>
        <w:t>time</w:t>
      </w:r>
      <w:r w:rsidR="0088332D">
        <w:rPr>
          <w:color w:val="212121"/>
          <w:vertAlign w:val="subscript"/>
        </w:rPr>
        <w:t xml:space="preserve">1 </w:t>
      </w:r>
      <w:r w:rsidR="0088332D">
        <w:t xml:space="preserve">(mean age= </w:t>
      </w:r>
      <w:r w:rsidR="0088332D">
        <w:rPr>
          <w:color w:val="212121"/>
        </w:rPr>
        <w:t>22.6m) and time</w:t>
      </w:r>
      <w:r w:rsidR="0088332D">
        <w:rPr>
          <w:color w:val="212121"/>
          <w:vertAlign w:val="subscript"/>
        </w:rPr>
        <w:t xml:space="preserve">2 </w:t>
      </w:r>
      <w:r w:rsidR="0088332D">
        <w:rPr>
          <w:color w:val="212121"/>
        </w:rPr>
        <w:t>(mean age = 27.1m).</w:t>
      </w:r>
    </w:p>
    <w:sectPr w:rsidR="008172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4"/>
  </w:compat>
  <w:rsids>
    <w:rsidRoot w:val="008172BC"/>
    <w:rsid w:val="001775AC"/>
    <w:rsid w:val="008172BC"/>
    <w:rsid w:val="00861921"/>
    <w:rsid w:val="00883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9B6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Macintosh Word</Application>
  <DocSecurity>0</DocSecurity>
  <Lines>24</Lines>
  <Paragraphs>6</Paragraphs>
  <ScaleCrop>false</ScaleCrop>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molly lewis</cp:lastModifiedBy>
  <cp:revision>2</cp:revision>
  <dcterms:created xsi:type="dcterms:W3CDTF">2018-08-16T15:01:00Z</dcterms:created>
  <dcterms:modified xsi:type="dcterms:W3CDTF">2018-08-16T15:01:00Z</dcterms:modified>
</cp:coreProperties>
</file>