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5"/>
            <w:tcMar>
              <w:top w:w="75" w:type="dxa"/>
              <w:start w:w="100" w:type="dxa"/>
              <w:bottom w:w="75" w:type="dxa"/>
              <w:end w:w="100" w:type="dxa"/>
            </w:tcMar>
            <w:vAlign w:val="top"/>
            <w:shd w:fill="1F2933"/>
            <w:tcBorders>
              <w:bottom w:val="single" w:sz="13" w:color="B31B34"/>
            </w:tcBorders>
          </w:tcPr>
          <w:p>
            <w:pPr>
              <w:spacing w:before="0" w:after="20" w:line="240" w:lineRule="auto"/>
            </w:pPr>
            <w:r>
              <w:rPr>
                <w:rFonts w:ascii="Aptos" w:hAnsi="Aptos" w:eastAsia="Aptos"/>
                <w:b/>
                <w:i w:val="0"/>
                <w:color w:val="F4B7BC"/>
                <w:sz w:val="16"/>
              </w:rPr>
              <w:t>NEW BEDFORD HIGH SCHOOL  |  SCIENCE DEPARTMENT</w:t>
            </w:r>
          </w:p>
          <w:p>
            <w:pPr>
              <w:spacing w:before="0" w:after="2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31"/>
              </w:rPr>
              <w:t>Science Literacy PD | Quick Planning Sheet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FFFFFF"/>
                <w:sz w:val="18"/>
              </w:rPr>
              <w:t>Wednesday, October 28, 2026  •  2:30–3:30 p.m.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671"/>
            <w:tcMar>
              <w:top w:w="75" w:type="dxa"/>
              <w:start w:w="100" w:type="dxa"/>
              <w:bottom w:w="75" w:type="dxa"/>
              <w:end w:w="100" w:type="dxa"/>
            </w:tcMar>
            <w:vAlign w:val="top"/>
            <w:tcBorders>
              <w:bottom w:val="single" w:sz="5" w:color="C9CDD2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F2933"/>
                <w:sz w:val="18"/>
              </w:rPr>
              <w:t>Teacher / Team:  ________________</w:t>
            </w:r>
          </w:p>
        </w:tc>
        <w:tc>
          <w:tcPr>
            <w:tcW w:type="dxa" w:w="3096"/>
            <w:tcMar>
              <w:top w:w="75" w:type="dxa"/>
              <w:start w:w="100" w:type="dxa"/>
              <w:bottom w:w="75" w:type="dxa"/>
              <w:end w:w="100" w:type="dxa"/>
            </w:tcMar>
            <w:vAlign w:val="top"/>
            <w:tcBorders>
              <w:bottom w:val="single" w:sz="5" w:color="C9CDD2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F2933"/>
                <w:sz w:val="18"/>
              </w:rPr>
              <w:t>Course:  ___________________</w:t>
            </w:r>
          </w:p>
        </w:tc>
        <w:tc>
          <w:tcPr>
            <w:tcW w:type="dxa" w:w="3657"/>
            <w:tcMar>
              <w:top w:w="75" w:type="dxa"/>
              <w:start w:w="100" w:type="dxa"/>
              <w:bottom w:w="75" w:type="dxa"/>
              <w:end w:w="100" w:type="dxa"/>
            </w:tcMar>
            <w:vAlign w:val="top"/>
            <w:tcBorders>
              <w:bottom w:val="single" w:sz="5" w:color="C9CDD2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F2933"/>
                <w:sz w:val="18"/>
              </w:rPr>
              <w:t>Unit / Lesson:  _______________________</w:t>
            </w:r>
          </w:p>
        </w:tc>
      </w:tr>
    </w:tbl>
    <w:p>
      <w:pPr>
        <w:spacing w:before="0" w:after="100"/>
      </w:pPr>
    </w:p>
    <w:p>
      <w:pPr>
        <w:spacing w:before="0" w:after="140"/>
      </w:pPr>
      <w:r>
        <w:rPr>
          <w:rFonts w:ascii="Aptos" w:hAnsi="Aptos" w:eastAsia="Aptos"/>
          <w:b/>
          <w:i w:val="0"/>
          <w:color w:val="B31B34"/>
          <w:sz w:val="18"/>
        </w:rPr>
        <w:t xml:space="preserve">FOLLOW THE SAME SEQUENCE AS THE PD SLIDES. </w:t>
      </w:r>
      <w:r>
        <w:rPr>
          <w:rFonts w:ascii="Aptos" w:hAnsi="Aptos" w:eastAsia="Aptos"/>
          <w:b w:val="0"/>
          <w:i w:val="0"/>
          <w:color w:val="1F2933"/>
          <w:sz w:val="18"/>
        </w:rPr>
        <w:t>Short notes are enough; use the open space for anything useful.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5"/>
            <w:tcMar>
              <w:top w:w="75" w:type="dxa"/>
              <w:start w:w="100" w:type="dxa"/>
              <w:bottom w:w="75" w:type="dxa"/>
              <w:end w:w="100" w:type="dxa"/>
            </w:tcMar>
            <w:vAlign w:val="top"/>
            <w:tcBorders>
              <w:bottom w:val="single" w:sz="10" w:color="1F2933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B31B34"/>
                <w:sz w:val="23"/>
              </w:rPr>
              <w:t xml:space="preserve">1  </w:t>
            </w:r>
            <w:r>
              <w:rPr>
                <w:rFonts w:ascii="Aptos" w:hAnsi="Aptos" w:eastAsia="Aptos"/>
                <w:b/>
                <w:i w:val="0"/>
                <w:color w:val="1F2933"/>
                <w:sz w:val="21"/>
              </w:rPr>
              <w:t>CUBS — SOURCE ANALYSIS</w:t>
            </w:r>
          </w:p>
        </w:tc>
      </w:tr>
      <w:tr>
        <w:trPr>
          <w:trHeight w:val="1872" w:hRule="atLeast"/>
        </w:trPr>
        <w:tc>
          <w:tcPr>
            <w:tcW w:type="dxa" w:w="10425"/>
            <w:tcMar>
              <w:top w:w="75" w:type="dxa"/>
              <w:start w:w="100" w:type="dxa"/>
              <w:bottom w:w="75" w:type="dxa"/>
              <w:end w:w="100" w:type="dxa"/>
            </w:tcMar>
            <w:vAlign w:val="top"/>
            <w:tcBorders>
              <w:bottom w:val="single" w:sz="5" w:color="C9CDD2"/>
            </w:tcBorders>
          </w:tcPr>
          <w:p>
            <w:pPr>
              <w:spacing w:before="0" w:after="20" w:line="240" w:lineRule="auto"/>
            </w:pPr>
            <w:r>
              <w:rPr>
                <w:rFonts w:ascii="Aptos" w:hAnsi="Aptos" w:eastAsia="Aptos"/>
                <w:b w:val="0"/>
                <w:i/>
                <w:color w:val="6B7280"/>
                <w:sz w:val="19"/>
              </w:rPr>
              <w:t>What will students circle, underline, box, and summarize or question in this source or task?</w:t>
            </w:r>
          </w:p>
        </w:tc>
      </w:tr>
    </w:tbl>
    <w:p>
      <w:pPr>
        <w:spacing w:before="0" w:after="1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5"/>
            <w:tcMar>
              <w:top w:w="75" w:type="dxa"/>
              <w:start w:w="100" w:type="dxa"/>
              <w:bottom w:w="75" w:type="dxa"/>
              <w:end w:w="100" w:type="dxa"/>
            </w:tcMar>
            <w:vAlign w:val="top"/>
            <w:tcBorders>
              <w:bottom w:val="single" w:sz="10" w:color="1F2933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B31B34"/>
                <w:sz w:val="23"/>
              </w:rPr>
              <w:t xml:space="preserve">2  </w:t>
            </w:r>
            <w:r>
              <w:rPr>
                <w:rFonts w:ascii="Aptos" w:hAnsi="Aptos" w:eastAsia="Aptos"/>
                <w:b/>
                <w:i w:val="0"/>
                <w:color w:val="1F2933"/>
                <w:sz w:val="21"/>
              </w:rPr>
              <w:t>COLOR-CODED CER — STUDENT RESPONSE</w:t>
            </w:r>
          </w:p>
        </w:tc>
      </w:tr>
      <w:tr>
        <w:trPr>
          <w:trHeight w:val="1872" w:hRule="atLeast"/>
        </w:trPr>
        <w:tc>
          <w:tcPr>
            <w:tcW w:type="dxa" w:w="10425"/>
            <w:tcMar>
              <w:top w:w="75" w:type="dxa"/>
              <w:start w:w="100" w:type="dxa"/>
              <w:bottom w:w="75" w:type="dxa"/>
              <w:end w:w="100" w:type="dxa"/>
            </w:tcMar>
            <w:vAlign w:val="top"/>
            <w:tcBorders>
              <w:bottom w:val="single" w:sz="5" w:color="C9CDD2"/>
            </w:tcBorders>
          </w:tcPr>
          <w:p>
            <w:pPr>
              <w:spacing w:before="0" w:after="20" w:line="240" w:lineRule="auto"/>
            </w:pPr>
            <w:r>
              <w:rPr>
                <w:rFonts w:ascii="Aptos" w:hAnsi="Aptos" w:eastAsia="Aptos"/>
                <w:b w:val="0"/>
                <w:i/>
                <w:color w:val="6B7280"/>
                <w:sz w:val="19"/>
              </w:rPr>
              <w:t>What should students make visible in the claim, evidence, and reasoning?</w:t>
            </w:r>
          </w:p>
        </w:tc>
      </w:tr>
    </w:tbl>
    <w:p>
      <w:pPr>
        <w:spacing w:before="0" w:after="1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5"/>
            <w:tcMar>
              <w:top w:w="75" w:type="dxa"/>
              <w:start w:w="100" w:type="dxa"/>
              <w:bottom w:w="75" w:type="dxa"/>
              <w:end w:w="100" w:type="dxa"/>
            </w:tcMar>
            <w:vAlign w:val="top"/>
            <w:tcBorders>
              <w:bottom w:val="single" w:sz="10" w:color="1F2933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B31B34"/>
                <w:sz w:val="23"/>
              </w:rPr>
              <w:t xml:space="preserve">3  </w:t>
            </w:r>
            <w:r>
              <w:rPr>
                <w:rFonts w:ascii="Aptos" w:hAnsi="Aptos" w:eastAsia="Aptos"/>
                <w:b/>
                <w:i w:val="0"/>
                <w:color w:val="1F2933"/>
                <w:sz w:val="21"/>
              </w:rPr>
              <w:t>FEEDBACK + REVISION — STUDENT ACTION</w:t>
            </w:r>
          </w:p>
        </w:tc>
      </w:tr>
      <w:tr>
        <w:trPr>
          <w:trHeight w:val="1872" w:hRule="atLeast"/>
        </w:trPr>
        <w:tc>
          <w:tcPr>
            <w:tcW w:type="dxa" w:w="10425"/>
            <w:tcMar>
              <w:top w:w="75" w:type="dxa"/>
              <w:start w:w="100" w:type="dxa"/>
              <w:bottom w:w="75" w:type="dxa"/>
              <w:end w:w="100" w:type="dxa"/>
            </w:tcMar>
            <w:vAlign w:val="top"/>
            <w:tcBorders>
              <w:bottom w:val="single" w:sz="5" w:color="C9CDD2"/>
            </w:tcBorders>
          </w:tcPr>
          <w:p>
            <w:pPr>
              <w:spacing w:before="0" w:after="20" w:line="240" w:lineRule="auto"/>
            </w:pPr>
            <w:r>
              <w:rPr>
                <w:rFonts w:ascii="Aptos" w:hAnsi="Aptos" w:eastAsia="Aptos"/>
                <w:b w:val="0"/>
                <w:i/>
                <w:color w:val="6B7280"/>
                <w:sz w:val="19"/>
              </w:rPr>
              <w:t>What feedback prompt will you use? What will students add, change, or clarify?</w:t>
            </w:r>
          </w:p>
        </w:tc>
      </w:tr>
    </w:tbl>
    <w:p>
      <w:pPr>
        <w:spacing w:before="0" w:after="1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5"/>
            <w:tcMar>
              <w:top w:w="75" w:type="dxa"/>
              <w:start w:w="100" w:type="dxa"/>
              <w:bottom w:w="75" w:type="dxa"/>
              <w:end w:w="100" w:type="dxa"/>
            </w:tcMar>
            <w:vAlign w:val="top"/>
            <w:tcBorders>
              <w:bottom w:val="single" w:sz="10" w:color="1F2933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B31B34"/>
                <w:sz w:val="23"/>
              </w:rPr>
              <w:t xml:space="preserve">4  </w:t>
            </w:r>
            <w:r>
              <w:rPr>
                <w:rFonts w:ascii="Aptos" w:hAnsi="Aptos" w:eastAsia="Aptos"/>
                <w:b/>
                <w:i w:val="0"/>
                <w:color w:val="1F2933"/>
                <w:sz w:val="21"/>
              </w:rPr>
              <w:t>STRATEGY SHARE, NEXT STEP + FRIDAY EVIDENCE</w:t>
            </w:r>
          </w:p>
        </w:tc>
      </w:tr>
      <w:tr>
        <w:trPr>
          <w:trHeight w:val="1872" w:hRule="atLeast"/>
        </w:trPr>
        <w:tc>
          <w:tcPr>
            <w:tcW w:type="dxa" w:w="10425"/>
            <w:tcMar>
              <w:top w:w="75" w:type="dxa"/>
              <w:start w:w="100" w:type="dxa"/>
              <w:bottom w:w="75" w:type="dxa"/>
              <w:end w:w="100" w:type="dxa"/>
            </w:tcMar>
            <w:vAlign w:val="top"/>
            <w:tcBorders>
              <w:bottom w:val="single" w:sz="5" w:color="C9CDD2"/>
            </w:tcBorders>
          </w:tcPr>
          <w:p>
            <w:pPr>
              <w:spacing w:before="0" w:after="20" w:line="240" w:lineRule="auto"/>
            </w:pPr>
            <w:r>
              <w:rPr>
                <w:rFonts w:ascii="Aptos" w:hAnsi="Aptos" w:eastAsia="Aptos"/>
                <w:b w:val="0"/>
                <w:i/>
                <w:color w:val="6B7280"/>
                <w:sz w:val="19"/>
              </w:rPr>
              <w:t>Share a strategy you use—or choose a CUBS/CER move to try next. What works/needs attention? What colleague idea will you borrow?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05" w:right="907" w:bottom="605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ptos" w:hAnsi="Aptos" w:eastAsia="Aptos"/>
        <w:b/>
        <w:i w:val="0"/>
        <w:color w:val="6B7280"/>
        <w:sz w:val="14"/>
      </w:rPr>
      <w:t>NBHS SCIENCE DEPARTMENT  •  USE WITH THE LESSON INTERNALIZATION TOOL AS NEEDED  •  OCTOBER 28,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