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9F74" w14:textId="564A20F5" w:rsidR="00D97BF2" w:rsidRDefault="00D97BF2" w:rsidP="00E07620">
      <w:pPr>
        <w:jc w:val="center"/>
        <w:rPr>
          <w:rFonts w:ascii="Times New Roman" w:hAnsi="Times New Roman" w:cs="Times New Roman"/>
          <w:b/>
          <w:bCs/>
          <w:sz w:val="32"/>
          <w:szCs w:val="32"/>
        </w:rPr>
      </w:pPr>
      <w:r w:rsidRPr="00E07620">
        <w:rPr>
          <w:rFonts w:ascii="Times New Roman" w:hAnsi="Times New Roman" w:cs="Times New Roman"/>
          <w:b/>
          <w:bCs/>
          <w:sz w:val="32"/>
          <w:szCs w:val="32"/>
        </w:rPr>
        <w:t>Báo cáo: Phát triển Hệ thống Sentinels of Solvency</w:t>
      </w:r>
    </w:p>
    <w:p w14:paraId="75F148D0" w14:textId="0858A318" w:rsidR="00E07620" w:rsidRDefault="00E07620" w:rsidP="00E07620">
      <w:pPr>
        <w:rPr>
          <w:rFonts w:ascii="Times New Roman" w:hAnsi="Times New Roman" w:cs="Times New Roman"/>
          <w:sz w:val="32"/>
          <w:szCs w:val="32"/>
        </w:rPr>
      </w:pPr>
      <w:r>
        <w:rPr>
          <w:rFonts w:ascii="Times New Roman" w:hAnsi="Times New Roman" w:cs="Times New Roman"/>
          <w:b/>
          <w:bCs/>
          <w:sz w:val="32"/>
          <w:szCs w:val="32"/>
        </w:rPr>
        <w:t>Họ tên và MSV:</w:t>
      </w:r>
      <w:r>
        <w:rPr>
          <w:rFonts w:ascii="Times New Roman" w:hAnsi="Times New Roman" w:cs="Times New Roman"/>
          <w:sz w:val="32"/>
          <w:szCs w:val="32"/>
        </w:rPr>
        <w:t>Vũ Quỳnh Chi-B25DCKT013</w:t>
      </w:r>
    </w:p>
    <w:p w14:paraId="790E261D" w14:textId="3DD5014E" w:rsidR="00E07620" w:rsidRPr="00E07620" w:rsidRDefault="00E07620" w:rsidP="00E07620">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b/>
          <w:bCs/>
          <w:sz w:val="32"/>
          <w:szCs w:val="32"/>
        </w:rPr>
        <w:t>:</w:t>
      </w:r>
      <w:r>
        <w:rPr>
          <w:rFonts w:ascii="Times New Roman" w:hAnsi="Times New Roman" w:cs="Times New Roman"/>
          <w:sz w:val="32"/>
          <w:szCs w:val="32"/>
        </w:rPr>
        <w:t>Hoàng Thị Ngọc Bích-B25DCKT010</w:t>
      </w:r>
    </w:p>
    <w:p w14:paraId="1D52037A"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1. Tổng quan về Hệ thống</w:t>
      </w:r>
    </w:p>
    <w:p w14:paraId="6E5C2D18"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 xml:space="preserve">Hệ thống </w:t>
      </w:r>
      <w:r w:rsidRPr="00D97BF2">
        <w:rPr>
          <w:rFonts w:ascii="Times New Roman" w:hAnsi="Times New Roman" w:cs="Times New Roman"/>
          <w:b/>
          <w:bCs/>
          <w:sz w:val="28"/>
          <w:szCs w:val="28"/>
        </w:rPr>
        <w:t>Sentinels of Solvency</w:t>
      </w:r>
      <w:r w:rsidRPr="00D97BF2">
        <w:rPr>
          <w:rFonts w:ascii="Times New Roman" w:hAnsi="Times New Roman" w:cs="Times New Roman"/>
          <w:sz w:val="28"/>
          <w:szCs w:val="28"/>
        </w:rPr>
        <w:t xml:space="preserve"> được định vị là một nền tảng "Phân tích &amp; Phát hiện Gian lận Tài chính Cao cấp". Mục tiêu cốt lõi của hệ thống là cung cấp một cơ chế giám sát chủ động, bảo vệ khả năng thanh toán (solvency) của tổ chức bằng cách phát hiện sớm các dòng tiền bất thường. Dưới góc độ kỹ thuật, hệ thống tích hợp các thuật toán học máy không giám sát vào một giao diện web trực quan, cho phép các kỹ sư dữ liệu và chuyên gia tài chính cô lập các rủi ro hệ thống ngay từ khi tiếp nhận dữ liệu thô.</w:t>
      </w:r>
    </w:p>
    <w:p w14:paraId="613AE063"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2. Danh mục Thư viện và Công nghệ Sử dụng</w:t>
      </w:r>
    </w:p>
    <w:p w14:paraId="2ABF1ABF"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Hệ thống được xây dựng trên hệ sinh thái Python với các thư viện chuyên dụng, phục vụ từ việc tính toán ma trận cho đến trực quan hóa dữ liệu tương tác:</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88"/>
        <w:gridCol w:w="6556"/>
      </w:tblGrid>
      <w:tr w:rsidR="00D97BF2" w:rsidRPr="00D97BF2" w14:paraId="009138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71D0A1"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Thư viện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D6FA8"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Vai trò trong Hệ thống</w:t>
            </w:r>
          </w:p>
        </w:tc>
      </w:tr>
      <w:tr w:rsidR="00D97BF2" w:rsidRPr="00D97BF2" w14:paraId="446713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26F740"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streamlit</w:t>
            </w:r>
          </w:p>
        </w:tc>
        <w:tc>
          <w:tcPr>
            <w:tcW w:w="0" w:type="auto"/>
            <w:tcBorders>
              <w:top w:val="outset" w:sz="6" w:space="0" w:color="auto"/>
              <w:left w:val="outset" w:sz="6" w:space="0" w:color="auto"/>
              <w:bottom w:val="outset" w:sz="6" w:space="0" w:color="auto"/>
              <w:right w:val="outset" w:sz="6" w:space="0" w:color="auto"/>
            </w:tcBorders>
            <w:vAlign w:val="center"/>
            <w:hideMark/>
          </w:tcPr>
          <w:p w14:paraId="17E84335"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Framework chính để xây dựng Dashboard, cho phép chuyển đổi script Python thành ứng dụng web có tính tương tác cao.</w:t>
            </w:r>
          </w:p>
        </w:tc>
      </w:tr>
      <w:tr w:rsidR="00D97BF2" w:rsidRPr="00D97BF2" w14:paraId="7C132E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68FD5A"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pandas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C34D1"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Xử lý và thao tác dữ liệu dạng bảng; đóng vai trò "xương sống" trong việc làm sạch và biến đổi dữ liệu sổ cái (ledger).</w:t>
            </w:r>
          </w:p>
        </w:tc>
      </w:tr>
      <w:tr w:rsidR="00D97BF2" w:rsidRPr="00D97BF2" w14:paraId="1FB548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FC6E27"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numpy</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A943A"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Cung cấp các cấu trúc mảng đa chiều hiệu năng cao, là cơ sở hạ tầng toán học để sklearn xử lý các mô hình học máy.</w:t>
            </w:r>
          </w:p>
        </w:tc>
      </w:tr>
      <w:tr w:rsidR="00D97BF2" w:rsidRPr="00D97BF2" w14:paraId="78122C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ACBD50"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sklearn.ensemble (Isolation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75E1B"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Triển khai thuật toán học máy không giám sát để phân tách các điểm dữ liệu bất thường dựa trên cấu trúc cây.</w:t>
            </w:r>
          </w:p>
        </w:tc>
      </w:tr>
      <w:tr w:rsidR="00D97BF2" w:rsidRPr="00D97BF2" w14:paraId="61D3FF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51F78E"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lastRenderedPageBreak/>
              <w:t>matplotlib.pyplot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2E7D1"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Cung cấp nền tảng vẽ biểu đồ tĩnh để phục vụ các phân tích thống kê cơ bản.</w:t>
            </w:r>
          </w:p>
        </w:tc>
      </w:tr>
      <w:tr w:rsidR="00D97BF2" w:rsidRPr="00D97BF2" w14:paraId="6CD64E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04D6B6"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seaborn</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DBA70"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Lớp trừu tượng hóa cao cấp dựa trên Matplotlib, giúp tạo các biểu đồ phân phối và tương quan với thẩm mỹ chuyên nghiệp.</w:t>
            </w:r>
          </w:p>
        </w:tc>
      </w:tr>
      <w:tr w:rsidR="00D97BF2" w:rsidRPr="00D97BF2" w14:paraId="7AE831C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A0A30F"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plotly.express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9C7959"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Thư viện trực quan hóa tương tác, hỗ trợ quá trình khám phá dữ liệu (Exploratory Data Analysis - EDA) đa chiều.</w:t>
            </w:r>
          </w:p>
        </w:tc>
      </w:tr>
    </w:tbl>
    <w:p w14:paraId="38C9C4EE"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3. Thuật toán Học máy Chủ đạo: Isolation Forest</w:t>
      </w:r>
    </w:p>
    <w:p w14:paraId="2F94B634"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 xml:space="preserve">Hệ thống triển khai thuật toán </w:t>
      </w:r>
      <w:r w:rsidRPr="00D97BF2">
        <w:rPr>
          <w:rFonts w:ascii="Times New Roman" w:hAnsi="Times New Roman" w:cs="Times New Roman"/>
          <w:b/>
          <w:bCs/>
          <w:sz w:val="28"/>
          <w:szCs w:val="28"/>
        </w:rPr>
        <w:t>Isolation Forest</w:t>
      </w:r>
      <w:r w:rsidRPr="00D97BF2">
        <w:rPr>
          <w:rFonts w:ascii="Times New Roman" w:hAnsi="Times New Roman" w:cs="Times New Roman"/>
          <w:sz w:val="28"/>
          <w:szCs w:val="28"/>
        </w:rPr>
        <w:t xml:space="preserve"> như một "lực lượng cảnh vệ" (Sentinel) thường trực trên luồng dữ liệu. Đây là một thuật toán học máy không giám sát (unsupervised learning) hoạt động dựa trên cơ chế phân tách (recursive partitioning) các quan sát.</w:t>
      </w:r>
    </w:p>
    <w:p w14:paraId="771EB743"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Khác với các phương pháp dựa trên khoảng cách hay mật độ, Isolation Forest cô lập các điểm bất thường bằng cách tạo ra các cây quyết định ngẫu nhiên. Các điểm dữ liệu gian lận — thường là những giao dịch hiếm gặp và có đặc tính khác biệt — sẽ dễ dàng bị cô lập hơn, dẫn đến độ dài đường đi (path length) từ gốc đến lá ngắn hơn so với các điểm dữ liệu bình thường. Việc lựa chọn thuật toán này cho hệ thống "Sentinels of Solvency" là tối ưu vì nó có khả năng xử lý các tập dữ liệu tài chính lớn và đa chiều, giúp ngăn chặn các kịch bản thất thoát vốn (financial drainage) nghiêm trọng trước khi chúng kịp gây ra hệ lụy hệ thống.</w:t>
      </w:r>
    </w:p>
    <w:p w14:paraId="70698564"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4. Thiết kế Giao diện và Trải nghiệm Người dùng (UI/UX)</w:t>
      </w:r>
    </w:p>
    <w:p w14:paraId="1B2F3781"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4.1. Cấu hình Trang (Page Configuration)</w:t>
      </w:r>
    </w:p>
    <w:p w14:paraId="7D71122C"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Thông qua hàm st.set_page_config, hệ thống được thiết lập các thông số vận hành tiêu chuẩn:</w:t>
      </w:r>
    </w:p>
    <w:p w14:paraId="75D318AB" w14:textId="77777777" w:rsidR="00D97BF2" w:rsidRPr="00D97BF2" w:rsidRDefault="00D97BF2" w:rsidP="00D97BF2">
      <w:pPr>
        <w:numPr>
          <w:ilvl w:val="0"/>
          <w:numId w:val="1"/>
        </w:numPr>
        <w:rPr>
          <w:rFonts w:ascii="Times New Roman" w:hAnsi="Times New Roman" w:cs="Times New Roman"/>
          <w:sz w:val="28"/>
          <w:szCs w:val="28"/>
        </w:rPr>
      </w:pPr>
      <w:r w:rsidRPr="00D97BF2">
        <w:rPr>
          <w:rFonts w:ascii="Times New Roman" w:hAnsi="Times New Roman" w:cs="Times New Roman"/>
          <w:b/>
          <w:bCs/>
          <w:sz w:val="28"/>
          <w:szCs w:val="28"/>
        </w:rPr>
        <w:t>Page Title &amp; Icon:</w:t>
      </w:r>
      <w:r w:rsidRPr="00D97BF2">
        <w:rPr>
          <w:rFonts w:ascii="Times New Roman" w:hAnsi="Times New Roman" w:cs="Times New Roman"/>
          <w:sz w:val="28"/>
          <w:szCs w:val="28"/>
        </w:rPr>
        <w:t xml:space="preserve"> "Sentinels of Solvency | Dashboard" đi kèm biểu tượng lá chắn (</w:t>
      </w:r>
      <w:r w:rsidRPr="00D97BF2">
        <w:rPr>
          <w:rFonts w:ascii="Segoe UI Emoji" w:hAnsi="Segoe UI Emoji" w:cs="Segoe UI Emoji"/>
          <w:sz w:val="28"/>
          <w:szCs w:val="28"/>
        </w:rPr>
        <w:t>🛡️</w:t>
      </w:r>
      <w:r w:rsidRPr="00D97BF2">
        <w:rPr>
          <w:rFonts w:ascii="Times New Roman" w:hAnsi="Times New Roman" w:cs="Times New Roman"/>
          <w:sz w:val="28"/>
          <w:szCs w:val="28"/>
        </w:rPr>
        <w:t>), xác lập bối cảnh bảo mật ngay từ khi tải trang.</w:t>
      </w:r>
    </w:p>
    <w:p w14:paraId="3E664D89" w14:textId="77777777" w:rsidR="00D97BF2" w:rsidRPr="00D97BF2" w:rsidRDefault="00D97BF2" w:rsidP="00D97BF2">
      <w:pPr>
        <w:numPr>
          <w:ilvl w:val="0"/>
          <w:numId w:val="1"/>
        </w:numPr>
        <w:rPr>
          <w:rFonts w:ascii="Times New Roman" w:hAnsi="Times New Roman" w:cs="Times New Roman"/>
          <w:sz w:val="28"/>
          <w:szCs w:val="28"/>
        </w:rPr>
      </w:pPr>
      <w:r w:rsidRPr="00D97BF2">
        <w:rPr>
          <w:rFonts w:ascii="Times New Roman" w:hAnsi="Times New Roman" w:cs="Times New Roman"/>
          <w:b/>
          <w:bCs/>
          <w:sz w:val="28"/>
          <w:szCs w:val="28"/>
        </w:rPr>
        <w:t>Layout:</w:t>
      </w:r>
      <w:r w:rsidRPr="00D97BF2">
        <w:rPr>
          <w:rFonts w:ascii="Times New Roman" w:hAnsi="Times New Roman" w:cs="Times New Roman"/>
          <w:sz w:val="28"/>
          <w:szCs w:val="28"/>
        </w:rPr>
        <w:t xml:space="preserve"> Chế độ wide được lựa chọn chủ đích để tối ưu hóa diện tích hiển thị cho các biểu đồ high-dimensional từ Plotly và Seaborn, tránh tình trạng chồng chéo thông tin.</w:t>
      </w:r>
    </w:p>
    <w:p w14:paraId="75B94C85" w14:textId="77777777" w:rsidR="00D97BF2" w:rsidRPr="00D97BF2" w:rsidRDefault="00D97BF2" w:rsidP="00D97BF2">
      <w:pPr>
        <w:numPr>
          <w:ilvl w:val="0"/>
          <w:numId w:val="1"/>
        </w:numPr>
        <w:rPr>
          <w:rFonts w:ascii="Times New Roman" w:hAnsi="Times New Roman" w:cs="Times New Roman"/>
          <w:sz w:val="28"/>
          <w:szCs w:val="28"/>
        </w:rPr>
      </w:pPr>
      <w:r w:rsidRPr="00D97BF2">
        <w:rPr>
          <w:rFonts w:ascii="Times New Roman" w:hAnsi="Times New Roman" w:cs="Times New Roman"/>
          <w:b/>
          <w:bCs/>
          <w:sz w:val="28"/>
          <w:szCs w:val="28"/>
        </w:rPr>
        <w:lastRenderedPageBreak/>
        <w:t>Initial Sidebar State:</w:t>
      </w:r>
      <w:r w:rsidRPr="00D97BF2">
        <w:rPr>
          <w:rFonts w:ascii="Times New Roman" w:hAnsi="Times New Roman" w:cs="Times New Roman"/>
          <w:sz w:val="28"/>
          <w:szCs w:val="28"/>
        </w:rPr>
        <w:t xml:space="preserve"> Thiết lập expanded giúp người dùng tiếp cận ngay lập tức với các bộ lọc và công cụ tải dữ liệu.</w:t>
      </w:r>
    </w:p>
    <w:p w14:paraId="60B97CA8"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4.2. Tùy chỉnh Giao diện bằng CSS</w:t>
      </w:r>
    </w:p>
    <w:p w14:paraId="46F01A10"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Để vượt qua các hạn chế về mặc định giao diện của Streamlit, hệ thống sử dụng phương pháp injection CSS qua st.markdown với tham số unsafe_allow_html=True. Đây là một kỹ thuật cần thiết để tùy chỉnh sâu DOM của ứng dụng:</w:t>
      </w:r>
    </w:p>
    <w:p w14:paraId="0424BA46" w14:textId="77777777" w:rsidR="00D97BF2" w:rsidRPr="00D97BF2" w:rsidRDefault="00D97BF2" w:rsidP="00D97BF2">
      <w:pPr>
        <w:numPr>
          <w:ilvl w:val="0"/>
          <w:numId w:val="2"/>
        </w:numPr>
        <w:rPr>
          <w:rFonts w:ascii="Times New Roman" w:hAnsi="Times New Roman" w:cs="Times New Roman"/>
          <w:sz w:val="28"/>
          <w:szCs w:val="28"/>
        </w:rPr>
      </w:pPr>
      <w:r w:rsidRPr="00D97BF2">
        <w:rPr>
          <w:rFonts w:ascii="Times New Roman" w:hAnsi="Times New Roman" w:cs="Times New Roman"/>
          <w:b/>
          <w:bCs/>
          <w:sz w:val="28"/>
          <w:szCs w:val="28"/>
        </w:rPr>
        <w:t>Scoped Typography:</w:t>
      </w:r>
      <w:r w:rsidRPr="00D97BF2">
        <w:rPr>
          <w:rFonts w:ascii="Times New Roman" w:hAnsi="Times New Roman" w:cs="Times New Roman"/>
          <w:sz w:val="28"/>
          <w:szCs w:val="28"/>
        </w:rPr>
        <w:t xml:space="preserve"> Font chữ 'Helvetica Neue' được áp dụng chuyên biệt cho lớp .main-header để tạo sự sang trọng, hiện đại mà không làm ảnh hưởng đến tính đồng nhất của hệ thống.</w:t>
      </w:r>
    </w:p>
    <w:p w14:paraId="100AB678" w14:textId="77777777" w:rsidR="00D97BF2" w:rsidRPr="00D97BF2" w:rsidRDefault="00D97BF2" w:rsidP="00D97BF2">
      <w:pPr>
        <w:numPr>
          <w:ilvl w:val="0"/>
          <w:numId w:val="2"/>
        </w:numPr>
        <w:rPr>
          <w:rFonts w:ascii="Times New Roman" w:hAnsi="Times New Roman" w:cs="Times New Roman"/>
          <w:sz w:val="28"/>
          <w:szCs w:val="28"/>
        </w:rPr>
      </w:pPr>
      <w:r w:rsidRPr="00D97BF2">
        <w:rPr>
          <w:rFonts w:ascii="Times New Roman" w:hAnsi="Times New Roman" w:cs="Times New Roman"/>
          <w:b/>
          <w:bCs/>
          <w:sz w:val="28"/>
          <w:szCs w:val="28"/>
        </w:rPr>
        <w:t>Thẻ Metric (stMetric):</w:t>
      </w:r>
      <w:r w:rsidRPr="00D97BF2">
        <w:rPr>
          <w:rFonts w:ascii="Times New Roman" w:hAnsi="Times New Roman" w:cs="Times New Roman"/>
          <w:sz w:val="28"/>
          <w:szCs w:val="28"/>
        </w:rPr>
        <w:t xml:space="preserve"> Được tái thiết kế với nền trắng, độ bo góc 10px và hiệu ứng đổ bóng box-shadow: 0 4px 6px rgba(0, 0, 0, 0.1). Đặc biệt, border-left: 5px solid #1f77b4 đóng vai trò là "visual cue" (chỉ dẫn thị giác), giúp người dùng nhanh chóng phân loại và tập trung vào các chỉ số KPI tài chính quan trọng.</w:t>
      </w:r>
    </w:p>
    <w:p w14:paraId="0606E56D" w14:textId="77777777" w:rsidR="00D97BF2" w:rsidRPr="00D97BF2" w:rsidRDefault="00D97BF2" w:rsidP="00D97BF2">
      <w:pPr>
        <w:numPr>
          <w:ilvl w:val="0"/>
          <w:numId w:val="2"/>
        </w:numPr>
        <w:rPr>
          <w:rFonts w:ascii="Times New Roman" w:hAnsi="Times New Roman" w:cs="Times New Roman"/>
          <w:sz w:val="28"/>
          <w:szCs w:val="28"/>
        </w:rPr>
      </w:pPr>
      <w:r w:rsidRPr="00D97BF2">
        <w:rPr>
          <w:rFonts w:ascii="Times New Roman" w:hAnsi="Times New Roman" w:cs="Times New Roman"/>
          <w:b/>
          <w:bCs/>
          <w:sz w:val="28"/>
          <w:szCs w:val="28"/>
        </w:rPr>
        <w:t>Header Gradient:</w:t>
      </w:r>
      <w:r w:rsidRPr="00D97BF2">
        <w:rPr>
          <w:rFonts w:ascii="Times New Roman" w:hAnsi="Times New Roman" w:cs="Times New Roman"/>
          <w:sz w:val="28"/>
          <w:szCs w:val="28"/>
        </w:rPr>
        <w:t xml:space="preserve"> Sử dụng dải màu linear-gradient(90deg, #e3ffe7 0%, #d9e7ff 100%). Sự chuyển tông từ xanh lá nhạt sang xanh dương nhạt tạo cảm giác ổn định và tin cậy cho hệ thống giám sát.</w:t>
      </w:r>
    </w:p>
    <w:p w14:paraId="519C332E" w14:textId="77777777" w:rsidR="00D97BF2" w:rsidRPr="00D97BF2" w:rsidRDefault="00D97BF2" w:rsidP="00D97BF2">
      <w:pPr>
        <w:numPr>
          <w:ilvl w:val="0"/>
          <w:numId w:val="2"/>
        </w:numPr>
        <w:rPr>
          <w:rFonts w:ascii="Times New Roman" w:hAnsi="Times New Roman" w:cs="Times New Roman"/>
          <w:sz w:val="28"/>
          <w:szCs w:val="28"/>
        </w:rPr>
      </w:pPr>
      <w:r w:rsidRPr="00D97BF2">
        <w:rPr>
          <w:rFonts w:ascii="Times New Roman" w:hAnsi="Times New Roman" w:cs="Times New Roman"/>
          <w:b/>
          <w:bCs/>
          <w:sz w:val="28"/>
          <w:szCs w:val="28"/>
        </w:rPr>
        <w:t>Sidebar Customization:</w:t>
      </w:r>
      <w:r w:rsidRPr="00D97BF2">
        <w:rPr>
          <w:rFonts w:ascii="Times New Roman" w:hAnsi="Times New Roman" w:cs="Times New Roman"/>
          <w:sz w:val="28"/>
          <w:szCs w:val="28"/>
        </w:rPr>
        <w:t xml:space="preserve"> Sử dụng mã màu hex #1e3d59 (Dark Blue) cho nền và chuyển đổi màu chữ sang trắng, tạo độ tương phản cao, tách biệt khu vực điều khiển với khu vực phân tích dữ liệu chính.</w:t>
      </w:r>
    </w:p>
    <w:p w14:paraId="70644878"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4.3. Cấu trúc Header và Sidebar</w:t>
      </w:r>
    </w:p>
    <w:p w14:paraId="523D1EDA"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Header được đóng gói trong một thẻ &lt;div&gt; tùy chỉnh, đảm bảo tính thẩm mỹ đồng nhất. Sidebar không chỉ chứa các công cụ điều hướng mà còn tích hợp biểu tượng minh họa (100px width), tạo nên một giao diện Dashboard chuyên nghiệp và có định hướng thương hiệu rõ ràng.</w:t>
      </w:r>
    </w:p>
    <w:p w14:paraId="0DD56365"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5. Logic Xử lý Dữ liệu và Luồng Công việc</w:t>
      </w:r>
    </w:p>
    <w:p w14:paraId="4E52D722"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5.1. Cơ chế Nhận dữ liệu Đầu vào</w:t>
      </w:r>
    </w:p>
    <w:p w14:paraId="5B140B17"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 xml:space="preserve">Thành phần st.file_uploader trong Sidebar được cấu hình để chỉ tiếp nhận tệp .csv. Tại đây, hệ thống cũng hiển thị một khối st.info chứa thông tin: </w:t>
      </w:r>
      <w:r w:rsidRPr="00D97BF2">
        <w:rPr>
          <w:rFonts w:ascii="Times New Roman" w:hAnsi="Times New Roman" w:cs="Times New Roman"/>
          <w:i/>
          <w:iCs/>
          <w:sz w:val="28"/>
          <w:szCs w:val="28"/>
        </w:rPr>
        <w:t xml:space="preserve">"Nguồn dữ liệu </w:t>
      </w:r>
      <w:r w:rsidRPr="00D97BF2">
        <w:rPr>
          <w:rFonts w:ascii="Times New Roman" w:hAnsi="Times New Roman" w:cs="Times New Roman"/>
          <w:i/>
          <w:iCs/>
          <w:sz w:val="28"/>
          <w:szCs w:val="28"/>
        </w:rPr>
        <w:lastRenderedPageBreak/>
        <w:t>tham chiếu: Financial Anomaly Data [1]"</w:t>
      </w:r>
      <w:r w:rsidRPr="00D97BF2">
        <w:rPr>
          <w:rFonts w:ascii="Times New Roman" w:hAnsi="Times New Roman" w:cs="Times New Roman"/>
          <w:sz w:val="28"/>
          <w:szCs w:val="28"/>
        </w:rPr>
        <w:t>. Việc dẫn chiếu nguồn dữ liệu theo chuẩn tài liệu kỹ thuật giúp tăng tính xác thực và tin cậy cho quy trình phân tích.</w:t>
      </w:r>
    </w:p>
    <w:p w14:paraId="2AFA6618" w14:textId="77777777"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5.2. Quy trình Xử lý và Phản hồi Giao diện</w:t>
      </w:r>
    </w:p>
    <w:p w14:paraId="632B8068"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Luồng xử lý dữ liệu được thiết lập chặt chẽ nhằm đảm bảo ứng dụng không gặp lỗi khi chưa có dữ liệu đầu vào:</w:t>
      </w:r>
    </w:p>
    <w:p w14:paraId="16E9FFE2" w14:textId="77777777" w:rsidR="00D97BF2" w:rsidRPr="00D97BF2" w:rsidRDefault="00D97BF2" w:rsidP="00D97BF2">
      <w:pPr>
        <w:numPr>
          <w:ilvl w:val="0"/>
          <w:numId w:val="3"/>
        </w:numPr>
        <w:rPr>
          <w:rFonts w:ascii="Times New Roman" w:hAnsi="Times New Roman" w:cs="Times New Roman"/>
          <w:sz w:val="28"/>
          <w:szCs w:val="28"/>
        </w:rPr>
      </w:pPr>
      <w:r w:rsidRPr="00D97BF2">
        <w:rPr>
          <w:rFonts w:ascii="Times New Roman" w:hAnsi="Times New Roman" w:cs="Times New Roman"/>
          <w:b/>
          <w:bCs/>
          <w:sz w:val="28"/>
          <w:szCs w:val="28"/>
        </w:rPr>
        <w:t>Kiểm tra Input:</w:t>
      </w:r>
      <w:r w:rsidRPr="00D97BF2">
        <w:rPr>
          <w:rFonts w:ascii="Times New Roman" w:hAnsi="Times New Roman" w:cs="Times New Roman"/>
          <w:sz w:val="28"/>
          <w:szCs w:val="28"/>
        </w:rPr>
        <w:t xml:space="preserve"> Sử dụng cấu trúc điều kiện để xác định trạng thái của uploaded_file.</w:t>
      </w:r>
    </w:p>
    <w:p w14:paraId="2A0A3C5F" w14:textId="77777777" w:rsidR="00D97BF2" w:rsidRPr="00D97BF2" w:rsidRDefault="00D97BF2" w:rsidP="00D97BF2">
      <w:pPr>
        <w:numPr>
          <w:ilvl w:val="0"/>
          <w:numId w:val="3"/>
        </w:numPr>
        <w:rPr>
          <w:rFonts w:ascii="Times New Roman" w:hAnsi="Times New Roman" w:cs="Times New Roman"/>
          <w:sz w:val="28"/>
          <w:szCs w:val="28"/>
        </w:rPr>
      </w:pPr>
      <w:r w:rsidRPr="00D97BF2">
        <w:rPr>
          <w:rFonts w:ascii="Times New Roman" w:hAnsi="Times New Roman" w:cs="Times New Roman"/>
          <w:b/>
          <w:bCs/>
          <w:sz w:val="28"/>
          <w:szCs w:val="28"/>
        </w:rPr>
        <w:t>Data Ingestion:</w:t>
      </w:r>
      <w:r w:rsidRPr="00D97BF2">
        <w:rPr>
          <w:rFonts w:ascii="Times New Roman" w:hAnsi="Times New Roman" w:cs="Times New Roman"/>
          <w:sz w:val="28"/>
          <w:szCs w:val="28"/>
        </w:rPr>
        <w:t xml:space="preserve"> Nếu tệp tồn tại, pd.read_csv sẽ thực thi, nạp dữ liệu vào DataFrame để sẵn sàng cho các phép toán ma trận của Isolation Forest.</w:t>
      </w:r>
    </w:p>
    <w:p w14:paraId="65BAD5FC" w14:textId="77777777" w:rsidR="00D97BF2" w:rsidRPr="00D97BF2" w:rsidRDefault="00D97BF2" w:rsidP="00D97BF2">
      <w:pPr>
        <w:numPr>
          <w:ilvl w:val="0"/>
          <w:numId w:val="3"/>
        </w:numPr>
        <w:rPr>
          <w:rFonts w:ascii="Times New Roman" w:hAnsi="Times New Roman" w:cs="Times New Roman"/>
          <w:sz w:val="28"/>
          <w:szCs w:val="28"/>
        </w:rPr>
      </w:pPr>
      <w:r w:rsidRPr="00D97BF2">
        <w:rPr>
          <w:rFonts w:ascii="Times New Roman" w:hAnsi="Times New Roman" w:cs="Times New Roman"/>
          <w:b/>
          <w:bCs/>
          <w:sz w:val="28"/>
          <w:szCs w:val="28"/>
        </w:rPr>
        <w:t>Place Holder UI:</w:t>
      </w:r>
      <w:r w:rsidRPr="00D97BF2">
        <w:rPr>
          <w:rFonts w:ascii="Times New Roman" w:hAnsi="Times New Roman" w:cs="Times New Roman"/>
          <w:sz w:val="28"/>
          <w:szCs w:val="28"/>
        </w:rPr>
        <w:t xml:space="preserve"> Nếu không có dữ liệu, hệ thống không để khoảng trống (broken UI) mà sử dụng một quy trình dự phòng: hiển thị st.warning để hướng dẫn người dùng, kết hợp với một hình ảnh minh họa (Placeholder Image) để duy trì cấu trúc giao diện cân đối. Đây là một mẫu thiết kế (design pattern) quan trọng trong phát triển phần mềm hiện đại nhằm cải thiện trải nghiệm người dùng đầu cuối.</w:t>
      </w:r>
    </w:p>
    <w:p w14:paraId="4BB01DB5" w14:textId="71976A7C" w:rsidR="00D97BF2" w:rsidRPr="00D97BF2" w:rsidRDefault="00D97BF2" w:rsidP="00D97BF2">
      <w:pPr>
        <w:rPr>
          <w:rFonts w:ascii="Times New Roman" w:hAnsi="Times New Roman" w:cs="Times New Roman"/>
          <w:b/>
          <w:bCs/>
          <w:sz w:val="28"/>
          <w:szCs w:val="28"/>
        </w:rPr>
      </w:pPr>
      <w:r w:rsidRPr="00D97BF2">
        <w:rPr>
          <w:rFonts w:ascii="Times New Roman" w:hAnsi="Times New Roman" w:cs="Times New Roman"/>
          <w:b/>
          <w:bCs/>
          <w:sz w:val="28"/>
          <w:szCs w:val="28"/>
        </w:rPr>
        <w:t xml:space="preserve">6. Kết luận </w:t>
      </w:r>
    </w:p>
    <w:p w14:paraId="3E707794" w14:textId="77777777" w:rsidR="00D97BF2" w:rsidRPr="00D97BF2" w:rsidRDefault="00D97BF2" w:rsidP="00D97BF2">
      <w:pPr>
        <w:rPr>
          <w:rFonts w:ascii="Times New Roman" w:hAnsi="Times New Roman" w:cs="Times New Roman"/>
          <w:sz w:val="28"/>
          <w:szCs w:val="28"/>
        </w:rPr>
      </w:pPr>
      <w:r w:rsidRPr="00D97BF2">
        <w:rPr>
          <w:rFonts w:ascii="Times New Roman" w:hAnsi="Times New Roman" w:cs="Times New Roman"/>
          <w:sz w:val="28"/>
          <w:szCs w:val="28"/>
        </w:rPr>
        <w:t xml:space="preserve">Hệ thống </w:t>
      </w:r>
      <w:r w:rsidRPr="00D97BF2">
        <w:rPr>
          <w:rFonts w:ascii="Times New Roman" w:hAnsi="Times New Roman" w:cs="Times New Roman"/>
          <w:b/>
          <w:bCs/>
          <w:sz w:val="28"/>
          <w:szCs w:val="28"/>
        </w:rPr>
        <w:t>Sentinels of Solvency</w:t>
      </w:r>
      <w:r w:rsidRPr="00D97BF2">
        <w:rPr>
          <w:rFonts w:ascii="Times New Roman" w:hAnsi="Times New Roman" w:cs="Times New Roman"/>
          <w:sz w:val="28"/>
          <w:szCs w:val="28"/>
        </w:rPr>
        <w:t xml:space="preserve"> là một ví dụ điển hình về việc kết hợp giữa kỹ thuật phần mềm và khoa học dữ liệu. Bằng cách sử dụng Isolation Forest để thực hiện phân tách quan sát và tùy biến giao diện qua CSS Injection, hệ thống đã giải quyết được cả hai bài toán: hiệu năng phân tích điểm bất thường và trải nghiệm người dùng tối ưu. Cấu trúc mã nguồn cho thấy sự chuẩn bị kỹ lưỡng về mặt hạ tầng dữ liệu, sẵn sàng cho các bước triển khai mô hình học máy phức tạp hơn trong tương lai.</w:t>
      </w:r>
    </w:p>
    <w:p w14:paraId="425FE2EB" w14:textId="77777777" w:rsidR="00C2145B" w:rsidRPr="00D97BF2" w:rsidRDefault="00C2145B">
      <w:pPr>
        <w:rPr>
          <w:rFonts w:ascii="Times New Roman" w:hAnsi="Times New Roman" w:cs="Times New Roman"/>
          <w:sz w:val="28"/>
          <w:szCs w:val="28"/>
        </w:rPr>
      </w:pPr>
    </w:p>
    <w:sectPr w:rsidR="00C2145B" w:rsidRPr="00D97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60119"/>
    <w:multiLevelType w:val="multilevel"/>
    <w:tmpl w:val="746A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626370"/>
    <w:multiLevelType w:val="multilevel"/>
    <w:tmpl w:val="12A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7322D"/>
    <w:multiLevelType w:val="multilevel"/>
    <w:tmpl w:val="2D7E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412750">
    <w:abstractNumId w:val="2"/>
  </w:num>
  <w:num w:numId="2" w16cid:durableId="676616129">
    <w:abstractNumId w:val="1"/>
  </w:num>
  <w:num w:numId="3" w16cid:durableId="95479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BF2"/>
    <w:rsid w:val="00060D8D"/>
    <w:rsid w:val="00122BAE"/>
    <w:rsid w:val="00441CB4"/>
    <w:rsid w:val="00446DD7"/>
    <w:rsid w:val="00521C42"/>
    <w:rsid w:val="00C2145B"/>
    <w:rsid w:val="00D27E41"/>
    <w:rsid w:val="00D97BF2"/>
    <w:rsid w:val="00DE1BA7"/>
    <w:rsid w:val="00E07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3A8A1"/>
  <w15:chartTrackingRefBased/>
  <w15:docId w15:val="{9F866CF1-0A5C-44C0-BA3E-74B14F17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B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B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B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B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B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B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B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B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BF2"/>
    <w:rPr>
      <w:rFonts w:eastAsiaTheme="majorEastAsia" w:cstheme="majorBidi"/>
      <w:color w:val="272727" w:themeColor="text1" w:themeTint="D8"/>
    </w:rPr>
  </w:style>
  <w:style w:type="paragraph" w:styleId="Title">
    <w:name w:val="Title"/>
    <w:basedOn w:val="Normal"/>
    <w:next w:val="Normal"/>
    <w:link w:val="TitleChar"/>
    <w:uiPriority w:val="10"/>
    <w:qFormat/>
    <w:rsid w:val="00D97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BF2"/>
    <w:pPr>
      <w:spacing w:before="160"/>
      <w:jc w:val="center"/>
    </w:pPr>
    <w:rPr>
      <w:i/>
      <w:iCs/>
      <w:color w:val="404040" w:themeColor="text1" w:themeTint="BF"/>
    </w:rPr>
  </w:style>
  <w:style w:type="character" w:customStyle="1" w:styleId="QuoteChar">
    <w:name w:val="Quote Char"/>
    <w:basedOn w:val="DefaultParagraphFont"/>
    <w:link w:val="Quote"/>
    <w:uiPriority w:val="29"/>
    <w:rsid w:val="00D97BF2"/>
    <w:rPr>
      <w:i/>
      <w:iCs/>
      <w:color w:val="404040" w:themeColor="text1" w:themeTint="BF"/>
    </w:rPr>
  </w:style>
  <w:style w:type="paragraph" w:styleId="ListParagraph">
    <w:name w:val="List Paragraph"/>
    <w:basedOn w:val="Normal"/>
    <w:uiPriority w:val="34"/>
    <w:qFormat/>
    <w:rsid w:val="00D97BF2"/>
    <w:pPr>
      <w:ind w:left="720"/>
      <w:contextualSpacing/>
    </w:pPr>
  </w:style>
  <w:style w:type="character" w:styleId="IntenseEmphasis">
    <w:name w:val="Intense Emphasis"/>
    <w:basedOn w:val="DefaultParagraphFont"/>
    <w:uiPriority w:val="21"/>
    <w:qFormat/>
    <w:rsid w:val="00D97BF2"/>
    <w:rPr>
      <w:i/>
      <w:iCs/>
      <w:color w:val="2F5496" w:themeColor="accent1" w:themeShade="BF"/>
    </w:rPr>
  </w:style>
  <w:style w:type="paragraph" w:styleId="IntenseQuote">
    <w:name w:val="Intense Quote"/>
    <w:basedOn w:val="Normal"/>
    <w:next w:val="Normal"/>
    <w:link w:val="IntenseQuoteChar"/>
    <w:uiPriority w:val="30"/>
    <w:qFormat/>
    <w:rsid w:val="00D97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BF2"/>
    <w:rPr>
      <w:i/>
      <w:iCs/>
      <w:color w:val="2F5496" w:themeColor="accent1" w:themeShade="BF"/>
    </w:rPr>
  </w:style>
  <w:style w:type="character" w:styleId="IntenseReference">
    <w:name w:val="Intense Reference"/>
    <w:basedOn w:val="DefaultParagraphFont"/>
    <w:uiPriority w:val="32"/>
    <w:qFormat/>
    <w:rsid w:val="00D97B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960</Words>
  <Characters>5473</Characters>
  <Application>Microsoft Office Word</Application>
  <DocSecurity>0</DocSecurity>
  <Lines>45</Lines>
  <Paragraphs>12</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3</cp:revision>
  <dcterms:created xsi:type="dcterms:W3CDTF">2026-05-17T15:06:00Z</dcterms:created>
  <dcterms:modified xsi:type="dcterms:W3CDTF">2026-05-18T00:09:00Z</dcterms:modified>
</cp:coreProperties>
</file>