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B92E7" w14:textId="77777777" w:rsidR="006E5DBA" w:rsidRDefault="00000000">
      <w:pPr>
        <w:pStyle w:val="Heading1"/>
        <w:keepNext w:val="0"/>
        <w:keepLines w:val="0"/>
        <w:spacing w:before="280"/>
      </w:pPr>
      <w:bookmarkStart w:id="0" w:name="_lod1qk2l8zew" w:colFirst="0" w:colLast="0"/>
      <w:bookmarkStart w:id="1" w:name="_Hlk203756772"/>
      <w:bookmarkEnd w:id="0"/>
      <w:bookmarkEnd w:id="1"/>
      <w:r>
        <w:t>1. Introduction</w:t>
      </w:r>
    </w:p>
    <w:p w14:paraId="193F8CA0" w14:textId="77777777" w:rsidR="006E5DBA" w:rsidRDefault="00000000">
      <w:r>
        <w:t xml:space="preserve"> </w:t>
      </w:r>
    </w:p>
    <w:p w14:paraId="36028E66" w14:textId="77777777" w:rsidR="006E5DBA" w:rsidRDefault="00000000">
      <w:r>
        <w:t>To gain molecular insight into cellular function, researchers analyze various biological layers, including genomic DNA, chromatin structure, messenger RNA (mRNA), non-coding RNAs, proteins, post-translational modifications, and metabolites. Since the discovery of RNA’s role as the intermediary between the genome and the proteome, RNA sequencing (RNA-seq) has become a cornerstone of transcriptomic research. By quantifying mRNA levels across the genome, RNA-seq enables comprehensive profiling of gene activity, offering critical insights into cellular responses, disease mechanisms, and therapeutic effects (Byron et al., 2016).</w:t>
      </w:r>
    </w:p>
    <w:p w14:paraId="5639730A" w14:textId="77777777" w:rsidR="006E5DBA" w:rsidRDefault="00000000">
      <w:pPr>
        <w:pStyle w:val="Heading2"/>
      </w:pPr>
      <w:bookmarkStart w:id="2" w:name="_4v4vm7s0wsj9" w:colFirst="0" w:colLast="0"/>
      <w:bookmarkEnd w:id="2"/>
      <w:r>
        <w:t>Research Context: Radiation-Induced Salivary Gland Injury</w:t>
      </w:r>
    </w:p>
    <w:p w14:paraId="301C7039" w14:textId="76196EE7" w:rsidR="003C3D1C" w:rsidRDefault="003C3D1C" w:rsidP="003C3D1C">
      <w:bookmarkStart w:id="3" w:name="_p8uyn7nt2qjx" w:colFirst="0" w:colLast="0"/>
      <w:bookmarkEnd w:id="3"/>
      <w:r w:rsidRPr="003C3D1C">
        <w:t>This paper centers its analytical walkthrough on a publicly available multi-omics dataset (GSE155902), which profiles radiation-induced dysfunction in mouse salivary glands. Ionizing radiation, commonly used in head and neck cancer therapy, often causes irreversible salivary gland damage, leading to xerostomia (dry mouth) and impaired quality of life. The dataset includes RNA-seq data from control and irradiated mouse parotid glands, offering a biologically meaningful context in which to explore differential gene expression, pathway perturbations, and cross-platform implementation.</w:t>
      </w:r>
    </w:p>
    <w:p w14:paraId="46D61641" w14:textId="77777777" w:rsidR="003C3D1C" w:rsidRPr="003C3D1C" w:rsidRDefault="003C3D1C" w:rsidP="003C3D1C"/>
    <w:p w14:paraId="3380FA91" w14:textId="77777777" w:rsidR="003C3D1C" w:rsidRDefault="003C3D1C" w:rsidP="003C3D1C">
      <w:r w:rsidRPr="003C3D1C">
        <w:t>By situating the workflow within this disease-relevant model, the paper not only demonstrates computational techniques but also highlights how transcriptomic analyses can uncover molecular mechanisms underlying tissue injury and repair.</w:t>
      </w:r>
    </w:p>
    <w:p w14:paraId="4B873831" w14:textId="70E8F161" w:rsidR="006E5DBA" w:rsidRDefault="00000000" w:rsidP="003C3D1C">
      <w:pPr>
        <w:pStyle w:val="Heading2"/>
        <w:spacing w:before="240" w:after="240"/>
      </w:pPr>
      <w:r>
        <w:t>Scope of the Paper</w:t>
      </w:r>
    </w:p>
    <w:p w14:paraId="25AE8186" w14:textId="77777777" w:rsidR="003C3D1C" w:rsidRDefault="003C3D1C" w:rsidP="003C3D1C">
      <w:pPr>
        <w:rPr>
          <w:lang w:val="en-CA"/>
        </w:rPr>
      </w:pPr>
      <w:r w:rsidRPr="003C3D1C">
        <w:rPr>
          <w:lang w:val="en-CA"/>
        </w:rPr>
        <w:t>This white paper presents a structured and reproducible RNA-seq differential expression pipeline in both R and Python. The focus is on gene expression changes between control and irradiated salivary gland tissues, with the goal of:</w:t>
      </w:r>
    </w:p>
    <w:p w14:paraId="14ED48B5" w14:textId="77777777" w:rsidR="003C3D1C" w:rsidRDefault="003C3D1C" w:rsidP="003C3D1C">
      <w:pPr>
        <w:pStyle w:val="ListParagraph"/>
        <w:numPr>
          <w:ilvl w:val="0"/>
          <w:numId w:val="28"/>
        </w:numPr>
        <w:rPr>
          <w:lang w:val="en-CA"/>
        </w:rPr>
      </w:pPr>
      <w:r w:rsidRPr="003C3D1C">
        <w:rPr>
          <w:lang w:val="en-CA"/>
        </w:rPr>
        <w:t>Identifying differentially expressed genes (DEGs)</w:t>
      </w:r>
    </w:p>
    <w:p w14:paraId="616C3AE8" w14:textId="77777777" w:rsidR="003C3D1C" w:rsidRDefault="003C3D1C" w:rsidP="003C3D1C">
      <w:pPr>
        <w:pStyle w:val="ListParagraph"/>
        <w:numPr>
          <w:ilvl w:val="0"/>
          <w:numId w:val="28"/>
        </w:numPr>
        <w:rPr>
          <w:lang w:val="en-CA"/>
        </w:rPr>
      </w:pPr>
      <w:r w:rsidRPr="003C3D1C">
        <w:rPr>
          <w:lang w:val="en-CA"/>
        </w:rPr>
        <w:t>Performing KEGG pathway enrichment</w:t>
      </w:r>
    </w:p>
    <w:p w14:paraId="559153E0" w14:textId="77777777" w:rsidR="003C3D1C" w:rsidRDefault="003C3D1C" w:rsidP="003C3D1C">
      <w:pPr>
        <w:pStyle w:val="ListParagraph"/>
        <w:numPr>
          <w:ilvl w:val="0"/>
          <w:numId w:val="28"/>
        </w:numPr>
        <w:rPr>
          <w:lang w:val="en-CA"/>
        </w:rPr>
      </w:pPr>
      <w:r w:rsidRPr="003C3D1C">
        <w:rPr>
          <w:lang w:val="en-CA"/>
        </w:rPr>
        <w:t>Comparing analysis workflows across R and Python environments</w:t>
      </w:r>
    </w:p>
    <w:p w14:paraId="40D2C392" w14:textId="2C65B9B0" w:rsidR="003C3D1C" w:rsidRPr="003C3D1C" w:rsidRDefault="003C3D1C" w:rsidP="003C3D1C">
      <w:pPr>
        <w:pStyle w:val="ListParagraph"/>
        <w:numPr>
          <w:ilvl w:val="0"/>
          <w:numId w:val="28"/>
        </w:numPr>
        <w:rPr>
          <w:lang w:val="en-CA"/>
        </w:rPr>
      </w:pPr>
      <w:r w:rsidRPr="003C3D1C">
        <w:rPr>
          <w:lang w:val="en-CA"/>
        </w:rPr>
        <w:t>Evaluating the consistency and differences in DEG detection and enrichment outputs between platforms</w:t>
      </w:r>
    </w:p>
    <w:p w14:paraId="3F922D56" w14:textId="77777777" w:rsidR="003C3D1C" w:rsidRDefault="003C3D1C" w:rsidP="003C3D1C">
      <w:pPr>
        <w:rPr>
          <w:lang w:val="en-CA"/>
        </w:rPr>
      </w:pPr>
    </w:p>
    <w:p w14:paraId="6230B60D" w14:textId="3852123B" w:rsidR="003C3D1C" w:rsidRDefault="003C3D1C" w:rsidP="003C3D1C">
      <w:pPr>
        <w:rPr>
          <w:lang w:val="en-CA"/>
        </w:rPr>
      </w:pPr>
      <w:r w:rsidRPr="003C3D1C">
        <w:rPr>
          <w:lang w:val="en-CA"/>
        </w:rPr>
        <w:t>A strong emphasis is placed on good practices for data quality control, transformation, and interpretation of results through visualizations. Although R and Python offer different tooling ecosystems, this guide demonstrates their complementary capabilities for reproducible transcriptomic analysis.</w:t>
      </w:r>
    </w:p>
    <w:p w14:paraId="2D33D3D3" w14:textId="77777777" w:rsidR="003C3D1C" w:rsidRPr="003C3D1C" w:rsidRDefault="003C3D1C" w:rsidP="003C3D1C">
      <w:pPr>
        <w:rPr>
          <w:lang w:val="en-CA"/>
        </w:rPr>
      </w:pPr>
    </w:p>
    <w:p w14:paraId="092FF66F" w14:textId="77777777" w:rsidR="003C3D1C" w:rsidRDefault="003C3D1C" w:rsidP="003C3D1C">
      <w:pPr>
        <w:rPr>
          <w:lang w:val="en-CA"/>
        </w:rPr>
      </w:pPr>
      <w:r w:rsidRPr="003C3D1C">
        <w:rPr>
          <w:lang w:val="en-CA"/>
        </w:rPr>
        <w:lastRenderedPageBreak/>
        <w:t xml:space="preserve">Note: While tools for batch effect correction (e.g., </w:t>
      </w:r>
      <w:proofErr w:type="spellStart"/>
      <w:r w:rsidRPr="003C3D1C">
        <w:rPr>
          <w:lang w:val="en-CA"/>
        </w:rPr>
        <w:t>sva</w:t>
      </w:r>
      <w:proofErr w:type="spellEnd"/>
      <w:r w:rsidRPr="003C3D1C">
        <w:rPr>
          <w:lang w:val="en-CA"/>
        </w:rPr>
        <w:t xml:space="preserve">, </w:t>
      </w:r>
      <w:proofErr w:type="spellStart"/>
      <w:r w:rsidRPr="003C3D1C">
        <w:rPr>
          <w:lang w:val="en-CA"/>
        </w:rPr>
        <w:t>ruv</w:t>
      </w:r>
      <w:proofErr w:type="spellEnd"/>
      <w:r w:rsidRPr="003C3D1C">
        <w:rPr>
          <w:lang w:val="en-CA"/>
        </w:rPr>
        <w:t xml:space="preserve">, </w:t>
      </w:r>
      <w:proofErr w:type="spellStart"/>
      <w:r w:rsidRPr="003C3D1C">
        <w:rPr>
          <w:lang w:val="en-CA"/>
        </w:rPr>
        <w:t>ComBat</w:t>
      </w:r>
      <w:proofErr w:type="spellEnd"/>
      <w:r w:rsidRPr="003C3D1C">
        <w:rPr>
          <w:lang w:val="en-CA"/>
        </w:rPr>
        <w:t>) were considered, no batch correction was performed as the dataset included no batch metadata and exploratory plots showed no confounding structure.</w:t>
      </w:r>
    </w:p>
    <w:p w14:paraId="1FDB007D" w14:textId="110D43B6" w:rsidR="006E5DBA" w:rsidRDefault="003C3D1C" w:rsidP="003C3D1C">
      <w:pPr>
        <w:pStyle w:val="Heading1"/>
        <w:keepNext w:val="0"/>
        <w:keepLines w:val="0"/>
        <w:spacing w:before="280"/>
      </w:pPr>
      <w:r>
        <w:t>2. Data Types &amp; Study Design</w:t>
      </w:r>
    </w:p>
    <w:p w14:paraId="303688DD" w14:textId="77777777" w:rsidR="00B14982" w:rsidRPr="00B14982" w:rsidRDefault="00B14982" w:rsidP="00B14982">
      <w:pPr>
        <w:rPr>
          <w:lang w:val="en-CA"/>
        </w:rPr>
      </w:pPr>
      <w:r w:rsidRPr="00B14982">
        <w:rPr>
          <w:lang w:val="en-CA"/>
        </w:rPr>
        <w:t>The study design consists of six mouse samples:</w:t>
      </w:r>
    </w:p>
    <w:p w14:paraId="372D4274" w14:textId="77777777" w:rsidR="00B14982" w:rsidRPr="00B14982" w:rsidRDefault="00B14982" w:rsidP="00B14982">
      <w:pPr>
        <w:numPr>
          <w:ilvl w:val="0"/>
          <w:numId w:val="11"/>
        </w:numPr>
        <w:rPr>
          <w:lang w:val="en-CA"/>
        </w:rPr>
      </w:pPr>
      <w:r w:rsidRPr="00B14982">
        <w:rPr>
          <w:b/>
          <w:bCs/>
          <w:lang w:val="en-CA"/>
        </w:rPr>
        <w:t>Control group</w:t>
      </w:r>
      <w:r w:rsidRPr="00B14982">
        <w:rPr>
          <w:lang w:val="en-CA"/>
        </w:rPr>
        <w:t>: 3 unirradiated samples (UT1, UT2, UT3)</w:t>
      </w:r>
    </w:p>
    <w:p w14:paraId="5E5B3082" w14:textId="77777777" w:rsidR="00B14982" w:rsidRDefault="00B14982" w:rsidP="00B14982">
      <w:pPr>
        <w:numPr>
          <w:ilvl w:val="0"/>
          <w:numId w:val="11"/>
        </w:numPr>
        <w:rPr>
          <w:lang w:val="en-CA"/>
        </w:rPr>
      </w:pPr>
      <w:r w:rsidRPr="00B14982">
        <w:rPr>
          <w:b/>
          <w:bCs/>
          <w:lang w:val="en-CA"/>
        </w:rPr>
        <w:t>Irradiated group</w:t>
      </w:r>
      <w:r w:rsidRPr="00B14982">
        <w:rPr>
          <w:lang w:val="en-CA"/>
        </w:rPr>
        <w:t>: 3 samples exposed to radiation (IR1, IR2, IR3)</w:t>
      </w:r>
    </w:p>
    <w:p w14:paraId="12F00255" w14:textId="77777777" w:rsidR="00B14982" w:rsidRPr="00B14982" w:rsidRDefault="00B14982" w:rsidP="00B14982">
      <w:pPr>
        <w:ind w:left="360"/>
        <w:rPr>
          <w:lang w:val="en-CA"/>
        </w:rPr>
      </w:pPr>
    </w:p>
    <w:p w14:paraId="6B60D94B" w14:textId="77777777" w:rsidR="00B14982" w:rsidRPr="00B14982" w:rsidRDefault="00B14982" w:rsidP="00B14982">
      <w:pPr>
        <w:rPr>
          <w:lang w:val="en-CA"/>
        </w:rPr>
      </w:pPr>
      <w:r w:rsidRPr="00B14982">
        <w:rPr>
          <w:lang w:val="en-CA"/>
        </w:rPr>
        <w:t>Input data:</w:t>
      </w:r>
    </w:p>
    <w:p w14:paraId="7D7D0BED" w14:textId="77777777" w:rsidR="00B14982" w:rsidRDefault="00B14982" w:rsidP="00B14982">
      <w:pPr>
        <w:numPr>
          <w:ilvl w:val="0"/>
          <w:numId w:val="12"/>
        </w:numPr>
        <w:rPr>
          <w:lang w:val="en-CA"/>
        </w:rPr>
      </w:pPr>
      <w:r w:rsidRPr="00B14982">
        <w:rPr>
          <w:lang w:val="en-CA"/>
        </w:rPr>
        <w:t>RNA-seq raw gene count files (</w:t>
      </w:r>
      <w:proofErr w:type="spellStart"/>
      <w:r w:rsidRPr="00B14982">
        <w:rPr>
          <w:lang w:val="en-CA"/>
        </w:rPr>
        <w:t>Ensembl</w:t>
      </w:r>
      <w:proofErr w:type="spellEnd"/>
      <w:r w:rsidRPr="00B14982">
        <w:rPr>
          <w:lang w:val="en-CA"/>
        </w:rPr>
        <w:t xml:space="preserve"> IDs)</w:t>
      </w:r>
    </w:p>
    <w:p w14:paraId="16C309FF" w14:textId="77777777" w:rsidR="00B50355" w:rsidRPr="00B14982" w:rsidRDefault="00B50355" w:rsidP="00B50355">
      <w:pPr>
        <w:ind w:left="360"/>
        <w:rPr>
          <w:lang w:val="en-CA"/>
        </w:rPr>
      </w:pPr>
    </w:p>
    <w:p w14:paraId="413F82B3" w14:textId="77777777" w:rsidR="00B14982" w:rsidRPr="00B14982" w:rsidRDefault="00B14982" w:rsidP="00B14982">
      <w:pPr>
        <w:rPr>
          <w:lang w:val="en-CA"/>
        </w:rPr>
      </w:pPr>
      <w:r w:rsidRPr="00B14982">
        <w:rPr>
          <w:lang w:val="en-CA"/>
        </w:rPr>
        <w:t>Each RNA-seq file was processed and combined into a single count matrix with genes as rows and samples as columns.</w:t>
      </w:r>
    </w:p>
    <w:p w14:paraId="5C7BB327" w14:textId="77777777" w:rsidR="006E5DBA" w:rsidRDefault="006E5DBA"/>
    <w:p w14:paraId="30147E6C" w14:textId="77777777" w:rsidR="00B14982" w:rsidRPr="00B14982" w:rsidRDefault="00B14982" w:rsidP="00B14982">
      <w:pPr>
        <w:pStyle w:val="Heading1"/>
        <w:rPr>
          <w:lang w:val="en-CA"/>
        </w:rPr>
      </w:pPr>
      <w:r w:rsidRPr="00B14982">
        <w:rPr>
          <w:lang w:val="en-CA"/>
        </w:rPr>
        <w:t>3. Analysis Pipelines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0"/>
        <w:gridCol w:w="3523"/>
        <w:gridCol w:w="4257"/>
      </w:tblGrid>
      <w:tr w:rsidR="00B14982" w:rsidRPr="00B14982" w14:paraId="5BA74FB3" w14:textId="77777777" w:rsidTr="003C3D1C">
        <w:trPr>
          <w:tblCellSpacing w:w="15" w:type="dxa"/>
        </w:trPr>
        <w:tc>
          <w:tcPr>
            <w:tcW w:w="0" w:type="auto"/>
            <w:vAlign w:val="center"/>
            <w:hideMark/>
          </w:tcPr>
          <w:p w14:paraId="34E5A6F0" w14:textId="77777777" w:rsidR="00B14982" w:rsidRPr="00B14982" w:rsidRDefault="00B14982" w:rsidP="00B14982">
            <w:pPr>
              <w:rPr>
                <w:b/>
                <w:bCs/>
                <w:lang w:val="en-CA"/>
              </w:rPr>
            </w:pPr>
            <w:r w:rsidRPr="00B14982">
              <w:rPr>
                <w:b/>
                <w:bCs/>
                <w:lang w:val="en-CA"/>
              </w:rPr>
              <w:t>Feature</w:t>
            </w:r>
          </w:p>
        </w:tc>
        <w:tc>
          <w:tcPr>
            <w:tcW w:w="3493" w:type="dxa"/>
            <w:vAlign w:val="center"/>
            <w:hideMark/>
          </w:tcPr>
          <w:p w14:paraId="69422398" w14:textId="77777777" w:rsidR="00B14982" w:rsidRPr="00B14982" w:rsidRDefault="00B14982" w:rsidP="00B14982">
            <w:pPr>
              <w:rPr>
                <w:b/>
                <w:bCs/>
                <w:lang w:val="en-CA"/>
              </w:rPr>
            </w:pPr>
            <w:r w:rsidRPr="00B14982">
              <w:rPr>
                <w:b/>
                <w:bCs/>
                <w:lang w:val="en-CA"/>
              </w:rPr>
              <w:t>R Pipeline</w:t>
            </w:r>
          </w:p>
        </w:tc>
        <w:tc>
          <w:tcPr>
            <w:tcW w:w="4212" w:type="dxa"/>
            <w:vAlign w:val="center"/>
            <w:hideMark/>
          </w:tcPr>
          <w:p w14:paraId="295C7954" w14:textId="77777777" w:rsidR="00B14982" w:rsidRPr="00B14982" w:rsidRDefault="00B14982" w:rsidP="00B14982">
            <w:pPr>
              <w:rPr>
                <w:b/>
                <w:bCs/>
                <w:lang w:val="en-CA"/>
              </w:rPr>
            </w:pPr>
            <w:r w:rsidRPr="00B14982">
              <w:rPr>
                <w:b/>
                <w:bCs/>
                <w:lang w:val="en-CA"/>
              </w:rPr>
              <w:t>Python Pipeline</w:t>
            </w:r>
          </w:p>
        </w:tc>
      </w:tr>
      <w:tr w:rsidR="00B14982" w:rsidRPr="00B14982" w14:paraId="3312895A" w14:textId="77777777" w:rsidTr="003C3D1C">
        <w:trPr>
          <w:tblCellSpacing w:w="15" w:type="dxa"/>
        </w:trPr>
        <w:tc>
          <w:tcPr>
            <w:tcW w:w="0" w:type="auto"/>
            <w:vAlign w:val="center"/>
            <w:hideMark/>
          </w:tcPr>
          <w:p w14:paraId="3CA96B1B" w14:textId="77777777" w:rsidR="00B14982" w:rsidRPr="00B14982" w:rsidRDefault="00B14982" w:rsidP="00B14982">
            <w:pPr>
              <w:rPr>
                <w:lang w:val="en-CA"/>
              </w:rPr>
            </w:pPr>
            <w:r w:rsidRPr="00B14982">
              <w:rPr>
                <w:lang w:val="en-CA"/>
              </w:rPr>
              <w:t>Normalization &amp; DE</w:t>
            </w:r>
          </w:p>
        </w:tc>
        <w:tc>
          <w:tcPr>
            <w:tcW w:w="3493" w:type="dxa"/>
            <w:vAlign w:val="center"/>
            <w:hideMark/>
          </w:tcPr>
          <w:p w14:paraId="4A7EC5EC" w14:textId="77777777" w:rsidR="00B14982" w:rsidRPr="00B14982" w:rsidRDefault="00B14982" w:rsidP="00B14982">
            <w:pPr>
              <w:rPr>
                <w:lang w:val="en-CA"/>
              </w:rPr>
            </w:pPr>
            <w:r w:rsidRPr="00B14982">
              <w:rPr>
                <w:lang w:val="en-CA"/>
              </w:rPr>
              <w:t>DESeq2</w:t>
            </w:r>
          </w:p>
        </w:tc>
        <w:tc>
          <w:tcPr>
            <w:tcW w:w="4212" w:type="dxa"/>
            <w:vAlign w:val="center"/>
            <w:hideMark/>
          </w:tcPr>
          <w:p w14:paraId="7C7BC3C6" w14:textId="69605BF9" w:rsidR="00B14982" w:rsidRPr="00B14982" w:rsidRDefault="003C3D1C" w:rsidP="00B14982">
            <w:pPr>
              <w:rPr>
                <w:lang w:val="en-CA"/>
              </w:rPr>
            </w:pPr>
            <w:r w:rsidRPr="003C3D1C">
              <w:rPr>
                <w:lang w:val="en-CA"/>
              </w:rPr>
              <w:t>pyDESeq2 (native Python reimplementation)</w:t>
            </w:r>
          </w:p>
        </w:tc>
      </w:tr>
      <w:tr w:rsidR="00B14982" w:rsidRPr="00B14982" w14:paraId="17327F7E" w14:textId="77777777" w:rsidTr="003C3D1C">
        <w:trPr>
          <w:tblCellSpacing w:w="15" w:type="dxa"/>
        </w:trPr>
        <w:tc>
          <w:tcPr>
            <w:tcW w:w="0" w:type="auto"/>
            <w:vAlign w:val="center"/>
            <w:hideMark/>
          </w:tcPr>
          <w:p w14:paraId="692C1670" w14:textId="77777777" w:rsidR="00B14982" w:rsidRPr="00B14982" w:rsidRDefault="00B14982" w:rsidP="00B14982">
            <w:pPr>
              <w:rPr>
                <w:lang w:val="en-CA"/>
              </w:rPr>
            </w:pPr>
            <w:r w:rsidRPr="00B14982">
              <w:rPr>
                <w:lang w:val="en-CA"/>
              </w:rPr>
              <w:t>Enrichment Tool</w:t>
            </w:r>
          </w:p>
        </w:tc>
        <w:tc>
          <w:tcPr>
            <w:tcW w:w="3493" w:type="dxa"/>
            <w:vAlign w:val="center"/>
            <w:hideMark/>
          </w:tcPr>
          <w:p w14:paraId="5B65B13C" w14:textId="77777777" w:rsidR="00B14982" w:rsidRPr="00B14982" w:rsidRDefault="00B14982" w:rsidP="00B14982">
            <w:pPr>
              <w:rPr>
                <w:lang w:val="en-CA"/>
              </w:rPr>
            </w:pPr>
            <w:proofErr w:type="spellStart"/>
            <w:r w:rsidRPr="00B14982">
              <w:rPr>
                <w:lang w:val="en-CA"/>
              </w:rPr>
              <w:t>clusterProfiler</w:t>
            </w:r>
            <w:proofErr w:type="spellEnd"/>
            <w:r w:rsidRPr="00B14982">
              <w:rPr>
                <w:lang w:val="en-CA"/>
              </w:rPr>
              <w:t xml:space="preserve"> (KEGG via Entrez)</w:t>
            </w:r>
          </w:p>
        </w:tc>
        <w:tc>
          <w:tcPr>
            <w:tcW w:w="4212" w:type="dxa"/>
            <w:vAlign w:val="center"/>
            <w:hideMark/>
          </w:tcPr>
          <w:p w14:paraId="674D2FE0" w14:textId="0372A81B" w:rsidR="00B14982" w:rsidRPr="00B14982" w:rsidRDefault="003C3D1C" w:rsidP="00B14982">
            <w:pPr>
              <w:rPr>
                <w:lang w:val="en-CA"/>
              </w:rPr>
            </w:pPr>
            <w:proofErr w:type="spellStart"/>
            <w:r w:rsidRPr="003C3D1C">
              <w:rPr>
                <w:lang w:val="en-CA"/>
              </w:rPr>
              <w:t>gprofiler</w:t>
            </w:r>
            <w:proofErr w:type="spellEnd"/>
            <w:r w:rsidRPr="003C3D1C">
              <w:rPr>
                <w:lang w:val="en-CA"/>
              </w:rPr>
              <w:t xml:space="preserve">-official (KEGG via </w:t>
            </w:r>
            <w:proofErr w:type="spellStart"/>
            <w:r w:rsidRPr="003C3D1C">
              <w:rPr>
                <w:lang w:val="en-CA"/>
              </w:rPr>
              <w:t>Ensembl</w:t>
            </w:r>
            <w:proofErr w:type="spellEnd"/>
            <w:r w:rsidRPr="003C3D1C">
              <w:rPr>
                <w:lang w:val="en-CA"/>
              </w:rPr>
              <w:t>)</w:t>
            </w:r>
          </w:p>
        </w:tc>
      </w:tr>
      <w:tr w:rsidR="00B14982" w:rsidRPr="00B14982" w14:paraId="5C63C7DF" w14:textId="77777777" w:rsidTr="003C3D1C">
        <w:trPr>
          <w:tblCellSpacing w:w="15" w:type="dxa"/>
        </w:trPr>
        <w:tc>
          <w:tcPr>
            <w:tcW w:w="0" w:type="auto"/>
            <w:vAlign w:val="center"/>
            <w:hideMark/>
          </w:tcPr>
          <w:p w14:paraId="0751B375" w14:textId="77777777" w:rsidR="00B14982" w:rsidRPr="00B14982" w:rsidRDefault="00B14982" w:rsidP="00B14982">
            <w:pPr>
              <w:rPr>
                <w:lang w:val="en-CA"/>
              </w:rPr>
            </w:pPr>
            <w:r w:rsidRPr="00B14982">
              <w:rPr>
                <w:lang w:val="en-CA"/>
              </w:rPr>
              <w:t>Visualizations</w:t>
            </w:r>
          </w:p>
        </w:tc>
        <w:tc>
          <w:tcPr>
            <w:tcW w:w="3493" w:type="dxa"/>
            <w:vAlign w:val="center"/>
            <w:hideMark/>
          </w:tcPr>
          <w:p w14:paraId="645E4932" w14:textId="77777777" w:rsidR="00B14982" w:rsidRPr="00B14982" w:rsidRDefault="00B14982" w:rsidP="00B14982">
            <w:pPr>
              <w:rPr>
                <w:lang w:val="en-CA"/>
              </w:rPr>
            </w:pPr>
            <w:proofErr w:type="spellStart"/>
            <w:r w:rsidRPr="00B14982">
              <w:rPr>
                <w:lang w:val="en-CA"/>
              </w:rPr>
              <w:t>EnhancedVolcano</w:t>
            </w:r>
            <w:proofErr w:type="spellEnd"/>
            <w:r w:rsidRPr="00B14982">
              <w:rPr>
                <w:lang w:val="en-CA"/>
              </w:rPr>
              <w:t xml:space="preserve">, </w:t>
            </w:r>
            <w:proofErr w:type="spellStart"/>
            <w:r w:rsidRPr="00B14982">
              <w:rPr>
                <w:lang w:val="en-CA"/>
              </w:rPr>
              <w:t>pheatmap</w:t>
            </w:r>
            <w:proofErr w:type="spellEnd"/>
          </w:p>
        </w:tc>
        <w:tc>
          <w:tcPr>
            <w:tcW w:w="4212" w:type="dxa"/>
            <w:vAlign w:val="center"/>
            <w:hideMark/>
          </w:tcPr>
          <w:p w14:paraId="102AFE20" w14:textId="77777777" w:rsidR="00B14982" w:rsidRPr="00B14982" w:rsidRDefault="00B14982" w:rsidP="00B14982">
            <w:pPr>
              <w:rPr>
                <w:lang w:val="en-CA"/>
              </w:rPr>
            </w:pPr>
            <w:r w:rsidRPr="00B14982">
              <w:rPr>
                <w:lang w:val="en-CA"/>
              </w:rPr>
              <w:t>matplotlib, seaborn</w:t>
            </w:r>
          </w:p>
        </w:tc>
      </w:tr>
      <w:tr w:rsidR="00B14982" w:rsidRPr="00B14982" w14:paraId="479A8F52" w14:textId="77777777" w:rsidTr="003C3D1C">
        <w:trPr>
          <w:tblCellSpacing w:w="15" w:type="dxa"/>
        </w:trPr>
        <w:tc>
          <w:tcPr>
            <w:tcW w:w="0" w:type="auto"/>
            <w:vAlign w:val="center"/>
            <w:hideMark/>
          </w:tcPr>
          <w:p w14:paraId="7AF7A354" w14:textId="77777777" w:rsidR="00B14982" w:rsidRPr="00B14982" w:rsidRDefault="00B14982" w:rsidP="00B14982">
            <w:pPr>
              <w:rPr>
                <w:lang w:val="en-CA"/>
              </w:rPr>
            </w:pPr>
            <w:r w:rsidRPr="00B14982">
              <w:rPr>
                <w:lang w:val="en-CA"/>
              </w:rPr>
              <w:t>DEG Output File</w:t>
            </w:r>
          </w:p>
        </w:tc>
        <w:tc>
          <w:tcPr>
            <w:tcW w:w="3493" w:type="dxa"/>
            <w:vAlign w:val="center"/>
            <w:hideMark/>
          </w:tcPr>
          <w:p w14:paraId="0941CE3F" w14:textId="77777777" w:rsidR="00B14982" w:rsidRPr="00B14982" w:rsidRDefault="00B14982" w:rsidP="00B14982">
            <w:pPr>
              <w:rPr>
                <w:lang w:val="en-CA"/>
              </w:rPr>
            </w:pPr>
            <w:r w:rsidRPr="00B14982">
              <w:rPr>
                <w:lang w:val="en-CA"/>
              </w:rPr>
              <w:t>deseq2_results_R.csv</w:t>
            </w:r>
          </w:p>
        </w:tc>
        <w:tc>
          <w:tcPr>
            <w:tcW w:w="4212" w:type="dxa"/>
            <w:vAlign w:val="center"/>
            <w:hideMark/>
          </w:tcPr>
          <w:p w14:paraId="3C91FCC3" w14:textId="77777777" w:rsidR="00B14982" w:rsidRPr="00B14982" w:rsidRDefault="00B14982" w:rsidP="00B14982">
            <w:pPr>
              <w:rPr>
                <w:lang w:val="en-CA"/>
              </w:rPr>
            </w:pPr>
            <w:r w:rsidRPr="00B14982">
              <w:rPr>
                <w:lang w:val="en-CA"/>
              </w:rPr>
              <w:t>deseq2_results_python.csv</w:t>
            </w:r>
          </w:p>
        </w:tc>
      </w:tr>
      <w:tr w:rsidR="00B14982" w:rsidRPr="00B14982" w14:paraId="795B661B" w14:textId="77777777" w:rsidTr="003C3D1C">
        <w:trPr>
          <w:tblCellSpacing w:w="15" w:type="dxa"/>
        </w:trPr>
        <w:tc>
          <w:tcPr>
            <w:tcW w:w="0" w:type="auto"/>
            <w:vAlign w:val="center"/>
            <w:hideMark/>
          </w:tcPr>
          <w:p w14:paraId="0F790566" w14:textId="77777777" w:rsidR="00B14982" w:rsidRPr="00B14982" w:rsidRDefault="00B14982" w:rsidP="00B14982">
            <w:pPr>
              <w:rPr>
                <w:lang w:val="en-CA"/>
              </w:rPr>
            </w:pPr>
            <w:r w:rsidRPr="00B14982">
              <w:rPr>
                <w:lang w:val="en-CA"/>
              </w:rPr>
              <w:t>Filtered DEGs</w:t>
            </w:r>
          </w:p>
        </w:tc>
        <w:tc>
          <w:tcPr>
            <w:tcW w:w="3493" w:type="dxa"/>
            <w:vAlign w:val="center"/>
            <w:hideMark/>
          </w:tcPr>
          <w:p w14:paraId="30D0CDE8" w14:textId="213E21C5" w:rsidR="00B14982" w:rsidRPr="00B14982" w:rsidRDefault="003C3D1C" w:rsidP="00B14982">
            <w:pPr>
              <w:rPr>
                <w:lang w:val="en-CA"/>
              </w:rPr>
            </w:pPr>
            <w:proofErr w:type="spellStart"/>
            <w:r w:rsidRPr="003C3D1C">
              <w:rPr>
                <w:lang w:val="en-CA"/>
              </w:rPr>
              <w:t>padj</w:t>
            </w:r>
            <w:proofErr w:type="spellEnd"/>
            <w:r w:rsidRPr="003C3D1C">
              <w:rPr>
                <w:lang w:val="en-CA"/>
              </w:rPr>
              <w:t xml:space="preserve"> &lt; 0.05 and absolute log2FoldChange &gt; 1</w:t>
            </w:r>
          </w:p>
        </w:tc>
        <w:tc>
          <w:tcPr>
            <w:tcW w:w="4212" w:type="dxa"/>
            <w:vAlign w:val="center"/>
            <w:hideMark/>
          </w:tcPr>
          <w:p w14:paraId="55780B6E" w14:textId="49E63603" w:rsidR="00B14982" w:rsidRPr="00B14982" w:rsidRDefault="003C3D1C" w:rsidP="00B14982">
            <w:pPr>
              <w:rPr>
                <w:lang w:val="en-CA"/>
              </w:rPr>
            </w:pPr>
            <w:proofErr w:type="spellStart"/>
            <w:r w:rsidRPr="003C3D1C">
              <w:rPr>
                <w:lang w:val="en-CA"/>
              </w:rPr>
              <w:t>padj</w:t>
            </w:r>
            <w:proofErr w:type="spellEnd"/>
            <w:r w:rsidRPr="003C3D1C">
              <w:rPr>
                <w:lang w:val="en-CA"/>
              </w:rPr>
              <w:t xml:space="preserve"> &lt; 0.05 and absolute log2FoldChange &gt; 1</w:t>
            </w:r>
          </w:p>
        </w:tc>
      </w:tr>
      <w:tr w:rsidR="00B14982" w:rsidRPr="00B14982" w14:paraId="148BC531" w14:textId="77777777" w:rsidTr="003C3D1C">
        <w:trPr>
          <w:tblCellSpacing w:w="15" w:type="dxa"/>
        </w:trPr>
        <w:tc>
          <w:tcPr>
            <w:tcW w:w="0" w:type="auto"/>
            <w:vAlign w:val="center"/>
            <w:hideMark/>
          </w:tcPr>
          <w:p w14:paraId="42691045" w14:textId="77777777" w:rsidR="00B14982" w:rsidRPr="00B14982" w:rsidRDefault="00B14982" w:rsidP="00B14982">
            <w:pPr>
              <w:rPr>
                <w:lang w:val="en-CA"/>
              </w:rPr>
            </w:pPr>
            <w:r w:rsidRPr="00B14982">
              <w:rPr>
                <w:lang w:val="en-CA"/>
              </w:rPr>
              <w:t>Enrichment Output</w:t>
            </w:r>
          </w:p>
        </w:tc>
        <w:tc>
          <w:tcPr>
            <w:tcW w:w="3493" w:type="dxa"/>
            <w:vAlign w:val="center"/>
            <w:hideMark/>
          </w:tcPr>
          <w:p w14:paraId="53A207A6" w14:textId="77777777" w:rsidR="00B14982" w:rsidRPr="00B14982" w:rsidRDefault="00B14982" w:rsidP="00B14982">
            <w:pPr>
              <w:rPr>
                <w:lang w:val="en-CA"/>
              </w:rPr>
            </w:pPr>
            <w:r w:rsidRPr="00B14982">
              <w:rPr>
                <w:lang w:val="en-CA"/>
              </w:rPr>
              <w:t>kegg_enrichment_R.csv</w:t>
            </w:r>
          </w:p>
        </w:tc>
        <w:tc>
          <w:tcPr>
            <w:tcW w:w="4212" w:type="dxa"/>
            <w:vAlign w:val="center"/>
            <w:hideMark/>
          </w:tcPr>
          <w:p w14:paraId="0A0C4A51" w14:textId="77777777" w:rsidR="00B14982" w:rsidRPr="00B14982" w:rsidRDefault="00B14982" w:rsidP="00B14982">
            <w:pPr>
              <w:rPr>
                <w:lang w:val="en-CA"/>
              </w:rPr>
            </w:pPr>
            <w:r w:rsidRPr="00B14982">
              <w:rPr>
                <w:lang w:val="en-CA"/>
              </w:rPr>
              <w:t>gprofiler_enrichment_results_python.csv</w:t>
            </w:r>
          </w:p>
        </w:tc>
      </w:tr>
      <w:tr w:rsidR="00B14982" w:rsidRPr="00B14982" w14:paraId="15352CCE" w14:textId="77777777" w:rsidTr="003C3D1C">
        <w:trPr>
          <w:tblCellSpacing w:w="15" w:type="dxa"/>
        </w:trPr>
        <w:tc>
          <w:tcPr>
            <w:tcW w:w="0" w:type="auto"/>
            <w:vAlign w:val="center"/>
            <w:hideMark/>
          </w:tcPr>
          <w:p w14:paraId="5118B261" w14:textId="77777777" w:rsidR="00B14982" w:rsidRPr="00B14982" w:rsidRDefault="00B14982" w:rsidP="00B14982">
            <w:pPr>
              <w:rPr>
                <w:lang w:val="en-CA"/>
              </w:rPr>
            </w:pPr>
            <w:r w:rsidRPr="00B14982">
              <w:rPr>
                <w:lang w:val="en-CA"/>
              </w:rPr>
              <w:t>Figures</w:t>
            </w:r>
          </w:p>
        </w:tc>
        <w:tc>
          <w:tcPr>
            <w:tcW w:w="3493" w:type="dxa"/>
            <w:vAlign w:val="center"/>
            <w:hideMark/>
          </w:tcPr>
          <w:p w14:paraId="3B801B50" w14:textId="77777777" w:rsidR="00B14982" w:rsidRPr="00B14982" w:rsidRDefault="00B14982" w:rsidP="00B14982">
            <w:pPr>
              <w:rPr>
                <w:lang w:val="en-CA"/>
              </w:rPr>
            </w:pPr>
            <w:r w:rsidRPr="00B14982">
              <w:rPr>
                <w:lang w:val="en-CA"/>
              </w:rPr>
              <w:t xml:space="preserve">Volcano, PCA, sample distance, KEGG </w:t>
            </w:r>
            <w:proofErr w:type="spellStart"/>
            <w:r w:rsidRPr="00B14982">
              <w:rPr>
                <w:lang w:val="en-CA"/>
              </w:rPr>
              <w:t>barplot</w:t>
            </w:r>
            <w:proofErr w:type="spellEnd"/>
            <w:r w:rsidRPr="00B14982">
              <w:rPr>
                <w:lang w:val="en-CA"/>
              </w:rPr>
              <w:t>, heatmap</w:t>
            </w:r>
          </w:p>
        </w:tc>
        <w:tc>
          <w:tcPr>
            <w:tcW w:w="4212" w:type="dxa"/>
            <w:vAlign w:val="center"/>
            <w:hideMark/>
          </w:tcPr>
          <w:p w14:paraId="3CA4B15E" w14:textId="77777777" w:rsidR="00B14982" w:rsidRPr="00B14982" w:rsidRDefault="00B14982" w:rsidP="00B14982">
            <w:pPr>
              <w:rPr>
                <w:lang w:val="en-CA"/>
              </w:rPr>
            </w:pPr>
            <w:r w:rsidRPr="00B14982">
              <w:rPr>
                <w:lang w:val="en-CA"/>
              </w:rPr>
              <w:t xml:space="preserve">Volcano, PCA, sample distance, KEGG </w:t>
            </w:r>
            <w:proofErr w:type="spellStart"/>
            <w:r w:rsidRPr="00B14982">
              <w:rPr>
                <w:lang w:val="en-CA"/>
              </w:rPr>
              <w:t>barplot</w:t>
            </w:r>
            <w:proofErr w:type="spellEnd"/>
            <w:r w:rsidRPr="00B14982">
              <w:rPr>
                <w:lang w:val="en-CA"/>
              </w:rPr>
              <w:t>, heatmap</w:t>
            </w:r>
          </w:p>
        </w:tc>
      </w:tr>
    </w:tbl>
    <w:p w14:paraId="2E0393A5" w14:textId="77777777" w:rsidR="006E5DBA" w:rsidRDefault="006E5DBA"/>
    <w:p w14:paraId="3E09387D" w14:textId="77777777" w:rsidR="00B14982" w:rsidRPr="00B14982" w:rsidRDefault="00B14982" w:rsidP="00B14982">
      <w:pPr>
        <w:pStyle w:val="Heading1"/>
      </w:pPr>
      <w:r w:rsidRPr="00B14982">
        <w:t>4. Quality Control &amp; Variance Stabilization</w:t>
      </w:r>
    </w:p>
    <w:p w14:paraId="02C8F01A" w14:textId="77777777" w:rsidR="00B14982" w:rsidRPr="00B14982" w:rsidRDefault="00B14982" w:rsidP="00B14982"/>
    <w:p w14:paraId="0D67BB1C" w14:textId="77777777" w:rsidR="00B14982" w:rsidRDefault="00B14982" w:rsidP="00B14982">
      <w:r w:rsidRPr="00B14982">
        <w:t>Both pipelines applied variance-stabilizing transformation (VST) for quality control:</w:t>
      </w:r>
    </w:p>
    <w:p w14:paraId="28DAD801" w14:textId="77777777" w:rsidR="00B14982" w:rsidRDefault="00B14982" w:rsidP="00B14982">
      <w:pPr>
        <w:pStyle w:val="ListParagraph"/>
        <w:numPr>
          <w:ilvl w:val="0"/>
          <w:numId w:val="13"/>
        </w:numPr>
      </w:pPr>
      <w:r w:rsidRPr="00B14982">
        <w:t>PCA plots showed clear separation between control and irradiated samples</w:t>
      </w:r>
    </w:p>
    <w:p w14:paraId="23D8E258" w14:textId="3A06904E" w:rsidR="00B14982" w:rsidRDefault="00B14982" w:rsidP="00B14982">
      <w:pPr>
        <w:pStyle w:val="ListParagraph"/>
        <w:numPr>
          <w:ilvl w:val="0"/>
          <w:numId w:val="13"/>
        </w:numPr>
      </w:pPr>
      <w:r w:rsidRPr="00B14982">
        <w:t>Sample-to-sample distance heatmaps demonstrated consistent clustering by condition</w:t>
      </w:r>
    </w:p>
    <w:p w14:paraId="094E6ADD" w14:textId="77777777" w:rsidR="00B14982" w:rsidRPr="00B14982" w:rsidRDefault="00B14982" w:rsidP="00B14982">
      <w:pPr>
        <w:pStyle w:val="NormalWeb"/>
        <w:rPr>
          <w:rFonts w:ascii="Arial" w:hAnsi="Arial" w:cs="Arial"/>
          <w:sz w:val="22"/>
          <w:szCs w:val="22"/>
        </w:rPr>
      </w:pPr>
      <w:r w:rsidRPr="00B14982">
        <w:rPr>
          <w:rFonts w:ascii="Arial" w:hAnsi="Arial" w:cs="Arial"/>
          <w:sz w:val="22"/>
          <w:szCs w:val="22"/>
        </w:rPr>
        <w:lastRenderedPageBreak/>
        <w:t>No batch correction was applied, as PCA showed no batch-like artifacts and no batch metadata was available.</w:t>
      </w:r>
    </w:p>
    <w:p w14:paraId="099619F5" w14:textId="77777777" w:rsidR="00B50355" w:rsidRPr="00B50355" w:rsidRDefault="00B50355" w:rsidP="00B50355">
      <w:pPr>
        <w:pStyle w:val="Heading1"/>
        <w:rPr>
          <w:lang w:val="en-CA"/>
        </w:rPr>
      </w:pPr>
      <w:r w:rsidRPr="00B50355">
        <w:rPr>
          <w:lang w:val="en-CA"/>
        </w:rPr>
        <w:t>5. Differential Gene Expression</w:t>
      </w:r>
    </w:p>
    <w:p w14:paraId="25492ED4" w14:textId="77777777" w:rsidR="00DD3DB5" w:rsidRPr="00DD3DB5" w:rsidRDefault="00DD3DB5" w:rsidP="00DD3DB5">
      <w:pPr>
        <w:rPr>
          <w:lang w:val="en-CA"/>
        </w:rPr>
      </w:pPr>
      <w:r w:rsidRPr="00DD3DB5">
        <w:rPr>
          <w:lang w:val="en-CA"/>
        </w:rPr>
        <w:t>R and Python both:</w:t>
      </w:r>
    </w:p>
    <w:p w14:paraId="06914A14" w14:textId="77777777" w:rsidR="00DD3DB5" w:rsidRDefault="00DD3DB5" w:rsidP="00DD3DB5">
      <w:pPr>
        <w:pStyle w:val="ListParagraph"/>
        <w:numPr>
          <w:ilvl w:val="0"/>
          <w:numId w:val="22"/>
        </w:numPr>
        <w:rPr>
          <w:lang w:val="en-CA"/>
        </w:rPr>
      </w:pPr>
      <w:r w:rsidRPr="00DD3DB5">
        <w:rPr>
          <w:lang w:val="en-CA"/>
        </w:rPr>
        <w:t>Filtered out low-count genes</w:t>
      </w:r>
    </w:p>
    <w:p w14:paraId="475C8B95" w14:textId="77777777" w:rsidR="00DD3DB5" w:rsidRDefault="00DD3DB5" w:rsidP="00DD3DB5">
      <w:pPr>
        <w:pStyle w:val="ListParagraph"/>
        <w:numPr>
          <w:ilvl w:val="0"/>
          <w:numId w:val="22"/>
        </w:numPr>
        <w:rPr>
          <w:lang w:val="en-CA"/>
        </w:rPr>
      </w:pPr>
      <w:r w:rsidRPr="00DD3DB5">
        <w:rPr>
          <w:lang w:val="en-CA"/>
        </w:rPr>
        <w:t>Modeled gene expression with respect to condition</w:t>
      </w:r>
    </w:p>
    <w:p w14:paraId="210F29E3" w14:textId="1EA8A8B3" w:rsidR="00DD3DB5" w:rsidRPr="00DD3DB5" w:rsidRDefault="00DD3DB5" w:rsidP="00DD3DB5">
      <w:pPr>
        <w:pStyle w:val="ListParagraph"/>
        <w:numPr>
          <w:ilvl w:val="0"/>
          <w:numId w:val="22"/>
        </w:numPr>
        <w:rPr>
          <w:lang w:val="en-CA"/>
        </w:rPr>
      </w:pPr>
      <w:r w:rsidRPr="00DD3DB5">
        <w:rPr>
          <w:lang w:val="en-CA"/>
        </w:rPr>
        <w:t>Exported ranked DEG tables (log2 fold change, p-value, adjusted p-value)</w:t>
      </w:r>
    </w:p>
    <w:p w14:paraId="5DC6BA29" w14:textId="77777777" w:rsidR="00DD3DB5" w:rsidRPr="00DD3DB5" w:rsidRDefault="00DD3DB5" w:rsidP="00DD3DB5">
      <w:pPr>
        <w:rPr>
          <w:lang w:val="en-CA"/>
        </w:rPr>
      </w:pPr>
      <w:r w:rsidRPr="00DD3DB5">
        <w:rPr>
          <w:b/>
          <w:bCs/>
          <w:lang w:val="en-CA"/>
        </w:rPr>
        <w:t>Comparison of DEG Results:</w:t>
      </w:r>
    </w:p>
    <w:p w14:paraId="7B5642D3" w14:textId="77777777" w:rsidR="00DD3DB5" w:rsidRDefault="00DD3DB5" w:rsidP="00DD3DB5">
      <w:pPr>
        <w:pStyle w:val="ListParagraph"/>
        <w:numPr>
          <w:ilvl w:val="0"/>
          <w:numId w:val="23"/>
        </w:numPr>
        <w:rPr>
          <w:lang w:val="en-CA"/>
        </w:rPr>
      </w:pPr>
      <w:r w:rsidRPr="00DD3DB5">
        <w:rPr>
          <w:lang w:val="en-CA"/>
        </w:rPr>
        <w:t>Number of DEGs (</w:t>
      </w:r>
      <w:proofErr w:type="spellStart"/>
      <w:r w:rsidRPr="00DD3DB5">
        <w:rPr>
          <w:lang w:val="en-CA"/>
        </w:rPr>
        <w:t>padj</w:t>
      </w:r>
      <w:proofErr w:type="spellEnd"/>
      <w:r w:rsidRPr="00DD3DB5">
        <w:rPr>
          <w:lang w:val="en-CA"/>
        </w:rPr>
        <w:t xml:space="preserve"> &lt; 0.05 and |log2FC| &gt; 1):</w:t>
      </w:r>
    </w:p>
    <w:p w14:paraId="27A48FBE" w14:textId="77777777" w:rsidR="00DD3DB5" w:rsidRDefault="00DD3DB5" w:rsidP="00DD3DB5">
      <w:pPr>
        <w:pStyle w:val="ListParagraph"/>
        <w:numPr>
          <w:ilvl w:val="1"/>
          <w:numId w:val="23"/>
        </w:numPr>
        <w:rPr>
          <w:lang w:val="en-CA"/>
        </w:rPr>
      </w:pPr>
      <w:r w:rsidRPr="00DD3DB5">
        <w:rPr>
          <w:lang w:val="en-CA"/>
        </w:rPr>
        <w:t>R: 1,050 genes (from deseq2_results_R.csv)</w:t>
      </w:r>
    </w:p>
    <w:p w14:paraId="028FC364" w14:textId="7D0E461C" w:rsidR="00DD3DB5" w:rsidRPr="00DD3DB5" w:rsidRDefault="00DD3DB5" w:rsidP="00DD3DB5">
      <w:pPr>
        <w:pStyle w:val="ListParagraph"/>
        <w:numPr>
          <w:ilvl w:val="1"/>
          <w:numId w:val="23"/>
        </w:numPr>
        <w:rPr>
          <w:lang w:val="en-CA"/>
        </w:rPr>
      </w:pPr>
      <w:r w:rsidRPr="00DD3DB5">
        <w:rPr>
          <w:lang w:val="en-CA"/>
        </w:rPr>
        <w:t>Python: 1,082 genes (from deseq2_significant_genes_python.csv)</w:t>
      </w:r>
    </w:p>
    <w:p w14:paraId="7E3E375B" w14:textId="77777777" w:rsidR="00DD3DB5" w:rsidRDefault="00DD3DB5" w:rsidP="00DD3DB5">
      <w:pPr>
        <w:pStyle w:val="ListParagraph"/>
        <w:numPr>
          <w:ilvl w:val="0"/>
          <w:numId w:val="23"/>
        </w:numPr>
        <w:rPr>
          <w:lang w:val="en-CA"/>
        </w:rPr>
      </w:pPr>
      <w:r w:rsidRPr="00DD3DB5">
        <w:rPr>
          <w:lang w:val="en-CA"/>
        </w:rPr>
        <w:t>Overlap between R and Python significant gene lists: 998 shared genes (95% agreement)</w:t>
      </w:r>
    </w:p>
    <w:p w14:paraId="321429A2" w14:textId="51C14343" w:rsidR="00DD3DB5" w:rsidRPr="00DD3DB5" w:rsidRDefault="00DD3DB5" w:rsidP="00DD3DB5">
      <w:pPr>
        <w:pStyle w:val="ListParagraph"/>
        <w:numPr>
          <w:ilvl w:val="0"/>
          <w:numId w:val="23"/>
        </w:numPr>
        <w:rPr>
          <w:lang w:val="en-CA"/>
        </w:rPr>
      </w:pPr>
      <w:r w:rsidRPr="00DD3DB5">
        <w:rPr>
          <w:lang w:val="en-CA"/>
        </w:rPr>
        <w:t xml:space="preserve">Top genes (ranked by adjusted p-value) were consistent across pipelines, including </w:t>
      </w:r>
      <w:r w:rsidRPr="00DD3DB5">
        <w:rPr>
          <w:b/>
          <w:bCs/>
          <w:lang w:val="en-CA"/>
        </w:rPr>
        <w:t>Cdkn1a</w:t>
      </w:r>
      <w:r w:rsidRPr="00DD3DB5">
        <w:rPr>
          <w:lang w:val="en-CA"/>
        </w:rPr>
        <w:t xml:space="preserve">, </w:t>
      </w:r>
      <w:r w:rsidRPr="00DD3DB5">
        <w:rPr>
          <w:b/>
          <w:bCs/>
          <w:lang w:val="en-CA"/>
        </w:rPr>
        <w:t>Gadd45a</w:t>
      </w:r>
      <w:r w:rsidRPr="00DD3DB5">
        <w:rPr>
          <w:lang w:val="en-CA"/>
        </w:rPr>
        <w:t xml:space="preserve">, and </w:t>
      </w:r>
      <w:r w:rsidRPr="00DD3DB5">
        <w:rPr>
          <w:b/>
          <w:bCs/>
          <w:lang w:val="en-CA"/>
        </w:rPr>
        <w:t>Ddit3</w:t>
      </w:r>
      <w:r w:rsidRPr="00DD3DB5">
        <w:rPr>
          <w:lang w:val="en-CA"/>
        </w:rPr>
        <w:t>.</w:t>
      </w:r>
    </w:p>
    <w:p w14:paraId="4A8DFF06" w14:textId="77777777" w:rsidR="00DD3DB5" w:rsidRPr="00DD3DB5" w:rsidRDefault="00DD3DB5" w:rsidP="00DD3DB5">
      <w:pPr>
        <w:rPr>
          <w:lang w:val="en-CA"/>
        </w:rPr>
      </w:pPr>
      <w:r w:rsidRPr="00DD3DB5">
        <w:rPr>
          <w:lang w:val="en-CA"/>
        </w:rPr>
        <w:t>Minor discrepancies in DEG lists may arise from implementation differences in filtering or ID mapping.</w:t>
      </w:r>
    </w:p>
    <w:p w14:paraId="39625DF8" w14:textId="77777777" w:rsidR="00B50355" w:rsidRPr="00B50355" w:rsidRDefault="00B50355" w:rsidP="00B50355">
      <w:pPr>
        <w:pStyle w:val="Heading1"/>
        <w:rPr>
          <w:lang w:val="en-CA"/>
        </w:rPr>
      </w:pPr>
      <w:r w:rsidRPr="00B50355">
        <w:rPr>
          <w:lang w:val="en-CA"/>
        </w:rPr>
        <w:t>6. Functional Enrichment Analysis</w:t>
      </w:r>
    </w:p>
    <w:p w14:paraId="1103B9D9" w14:textId="77777777" w:rsidR="00DD3DB5" w:rsidRPr="00DD3DB5" w:rsidRDefault="00DD3DB5" w:rsidP="00DD3DB5">
      <w:pPr>
        <w:rPr>
          <w:lang w:val="en-CA"/>
        </w:rPr>
      </w:pPr>
      <w:r w:rsidRPr="00DD3DB5">
        <w:rPr>
          <w:lang w:val="en-CA"/>
        </w:rPr>
        <w:t>Both workflows performed KEGG pathway enrichment:</w:t>
      </w:r>
    </w:p>
    <w:p w14:paraId="7CFFE4CD" w14:textId="77777777" w:rsidR="003C3D1C" w:rsidRDefault="003C3D1C" w:rsidP="003C3D1C">
      <w:pPr>
        <w:pStyle w:val="ListParagraph"/>
        <w:numPr>
          <w:ilvl w:val="0"/>
          <w:numId w:val="31"/>
        </w:numPr>
        <w:rPr>
          <w:lang w:val="en-CA"/>
        </w:rPr>
      </w:pPr>
      <w:r w:rsidRPr="003C3D1C">
        <w:rPr>
          <w:lang w:val="en-CA"/>
        </w:rPr>
        <w:t xml:space="preserve">R: </w:t>
      </w:r>
      <w:proofErr w:type="spellStart"/>
      <w:proofErr w:type="gramStart"/>
      <w:r w:rsidRPr="003C3D1C">
        <w:rPr>
          <w:lang w:val="en-CA"/>
        </w:rPr>
        <w:t>clusterProfiler</w:t>
      </w:r>
      <w:proofErr w:type="spellEnd"/>
      <w:r w:rsidRPr="003C3D1C">
        <w:rPr>
          <w:lang w:val="en-CA"/>
        </w:rPr>
        <w:t>::</w:t>
      </w:r>
      <w:proofErr w:type="spellStart"/>
      <w:r w:rsidRPr="003C3D1C">
        <w:rPr>
          <w:lang w:val="en-CA"/>
        </w:rPr>
        <w:t>enrichKEGG</w:t>
      </w:r>
      <w:proofErr w:type="spellEnd"/>
      <w:r w:rsidRPr="003C3D1C">
        <w:rPr>
          <w:lang w:val="en-CA"/>
        </w:rPr>
        <w:t>(</w:t>
      </w:r>
      <w:proofErr w:type="gramEnd"/>
      <w:r w:rsidRPr="003C3D1C">
        <w:rPr>
          <w:lang w:val="en-CA"/>
        </w:rPr>
        <w:t>) using Entrez IDs</w:t>
      </w:r>
    </w:p>
    <w:p w14:paraId="3DE79ECC" w14:textId="33FC9C2B" w:rsidR="003C3D1C" w:rsidRDefault="003C3D1C" w:rsidP="003C3D1C">
      <w:pPr>
        <w:pStyle w:val="ListParagraph"/>
        <w:numPr>
          <w:ilvl w:val="0"/>
          <w:numId w:val="31"/>
        </w:numPr>
        <w:rPr>
          <w:lang w:val="en-CA"/>
        </w:rPr>
      </w:pPr>
      <w:r w:rsidRPr="003C3D1C">
        <w:rPr>
          <w:lang w:val="en-CA"/>
        </w:rPr>
        <w:t xml:space="preserve">Python: </w:t>
      </w:r>
      <w:proofErr w:type="spellStart"/>
      <w:r w:rsidRPr="003C3D1C">
        <w:rPr>
          <w:lang w:val="en-CA"/>
        </w:rPr>
        <w:t>gprofiler</w:t>
      </w:r>
      <w:proofErr w:type="spellEnd"/>
      <w:r w:rsidRPr="003C3D1C">
        <w:rPr>
          <w:lang w:val="en-CA"/>
        </w:rPr>
        <w:t xml:space="preserve">-official via </w:t>
      </w:r>
      <w:proofErr w:type="spellStart"/>
      <w:r w:rsidRPr="003C3D1C">
        <w:rPr>
          <w:lang w:val="en-CA"/>
        </w:rPr>
        <w:t>GProfiler</w:t>
      </w:r>
      <w:proofErr w:type="spellEnd"/>
      <w:r w:rsidRPr="003C3D1C">
        <w:rPr>
          <w:lang w:val="en-CA"/>
        </w:rPr>
        <w:t xml:space="preserve"> using </w:t>
      </w:r>
      <w:proofErr w:type="spellStart"/>
      <w:r w:rsidRPr="003C3D1C">
        <w:rPr>
          <w:lang w:val="en-CA"/>
        </w:rPr>
        <w:t>Ensembl</w:t>
      </w:r>
      <w:proofErr w:type="spellEnd"/>
      <w:r w:rsidRPr="003C3D1C">
        <w:rPr>
          <w:lang w:val="en-CA"/>
        </w:rPr>
        <w:t xml:space="preserve"> IDs</w:t>
      </w:r>
    </w:p>
    <w:p w14:paraId="210CF7D3" w14:textId="77777777" w:rsidR="003C3D1C" w:rsidRPr="003C3D1C" w:rsidRDefault="003C3D1C" w:rsidP="003C3D1C">
      <w:pPr>
        <w:pStyle w:val="ListParagraph"/>
        <w:rPr>
          <w:lang w:val="en-CA"/>
        </w:rPr>
      </w:pPr>
    </w:p>
    <w:p w14:paraId="321FA3CA" w14:textId="77777777" w:rsidR="00DD3DB5" w:rsidRPr="00DD3DB5" w:rsidRDefault="00DD3DB5" w:rsidP="00DD3DB5">
      <w:pPr>
        <w:rPr>
          <w:lang w:val="en-CA"/>
        </w:rPr>
      </w:pPr>
      <w:r w:rsidRPr="00DD3DB5">
        <w:rPr>
          <w:b/>
          <w:bCs/>
          <w:lang w:val="en-CA"/>
        </w:rPr>
        <w:t>Comparison of Enrichment Results:</w:t>
      </w:r>
    </w:p>
    <w:p w14:paraId="02DB595F" w14:textId="77777777" w:rsidR="00DD3DB5" w:rsidRPr="00DD3DB5" w:rsidRDefault="00DD3DB5" w:rsidP="00DD3DB5">
      <w:pPr>
        <w:numPr>
          <w:ilvl w:val="0"/>
          <w:numId w:val="25"/>
        </w:numPr>
        <w:rPr>
          <w:lang w:val="en-CA"/>
        </w:rPr>
      </w:pPr>
      <w:r w:rsidRPr="00DD3DB5">
        <w:rPr>
          <w:lang w:val="en-CA"/>
        </w:rPr>
        <w:t xml:space="preserve">Top shared pathways: Hematopoietic cell lineage, Cytokine-cytokine receptor interaction, Cell adhesion molecules, Chemokine signaling pathway, Human T-cell leukemia virus 1 infection, Leukocyte </w:t>
      </w:r>
      <w:proofErr w:type="spellStart"/>
      <w:r w:rsidRPr="00DD3DB5">
        <w:rPr>
          <w:lang w:val="en-CA"/>
        </w:rPr>
        <w:t>transendothelial</w:t>
      </w:r>
      <w:proofErr w:type="spellEnd"/>
      <w:r w:rsidRPr="00DD3DB5">
        <w:rPr>
          <w:lang w:val="en-CA"/>
        </w:rPr>
        <w:t xml:space="preserve"> migration, and T cell receptor signaling pathway.</w:t>
      </w:r>
    </w:p>
    <w:p w14:paraId="340054F3" w14:textId="77777777" w:rsidR="00DD3DB5" w:rsidRPr="00DD3DB5" w:rsidRDefault="00DD3DB5" w:rsidP="00DD3DB5">
      <w:pPr>
        <w:numPr>
          <w:ilvl w:val="0"/>
          <w:numId w:val="25"/>
        </w:numPr>
        <w:rPr>
          <w:lang w:val="en-CA"/>
        </w:rPr>
      </w:pPr>
      <w:r w:rsidRPr="00DD3DB5">
        <w:rPr>
          <w:lang w:val="en-CA"/>
        </w:rPr>
        <w:t>Additional pathways (R only): Pancreatic cancer, Circadian rhythm, Primary immunodeficiency</w:t>
      </w:r>
    </w:p>
    <w:p w14:paraId="35E0FF51" w14:textId="5502D299" w:rsidR="00FB0F3D" w:rsidRDefault="00DD3DB5" w:rsidP="00FB0F3D">
      <w:pPr>
        <w:rPr>
          <w:lang w:val="en-CA"/>
        </w:rPr>
      </w:pPr>
      <w:r w:rsidRPr="00DD3DB5">
        <w:rPr>
          <w:lang w:val="en-CA"/>
        </w:rPr>
        <w:t>These results show strong biological agreement with slight divergence due to ID mapping strategies and statistical cutoff implementation.</w:t>
      </w:r>
    </w:p>
    <w:p w14:paraId="483AB5AA" w14:textId="77777777" w:rsidR="00FB0F3D" w:rsidRDefault="00FB0F3D" w:rsidP="00FB0F3D">
      <w:pPr>
        <w:rPr>
          <w:lang w:val="en-CA"/>
        </w:rPr>
      </w:pPr>
    </w:p>
    <w:p w14:paraId="4399268B" w14:textId="77777777" w:rsidR="00FB0F3D" w:rsidRDefault="00FB0F3D" w:rsidP="00FB0F3D">
      <w:pPr>
        <w:rPr>
          <w:lang w:val="en-CA"/>
        </w:rPr>
      </w:pPr>
    </w:p>
    <w:p w14:paraId="7545B79A" w14:textId="77777777" w:rsidR="00FB0F3D" w:rsidRDefault="00FB0F3D" w:rsidP="00FB0F3D">
      <w:pPr>
        <w:rPr>
          <w:lang w:val="en-CA"/>
        </w:rPr>
      </w:pPr>
    </w:p>
    <w:p w14:paraId="62B367F4" w14:textId="77777777" w:rsidR="00FB0F3D" w:rsidRPr="00FB0F3D" w:rsidRDefault="00FB0F3D" w:rsidP="00FB0F3D">
      <w:pPr>
        <w:rPr>
          <w:lang w:val="en-CA"/>
        </w:rPr>
      </w:pPr>
    </w:p>
    <w:p w14:paraId="139FAF38" w14:textId="6B8B610C" w:rsidR="00DD3DB5" w:rsidRPr="00DD3DB5" w:rsidRDefault="00DD3DB5" w:rsidP="00DD3DB5">
      <w:pPr>
        <w:pStyle w:val="Heading1"/>
        <w:rPr>
          <w:lang w:val="en-CA"/>
        </w:rPr>
      </w:pPr>
      <w:r w:rsidRPr="00DD3DB5">
        <w:rPr>
          <w:lang w:val="en-CA"/>
        </w:rPr>
        <w:lastRenderedPageBreak/>
        <w:t>7. Visual Summaries and Interpretation</w:t>
      </w:r>
    </w:p>
    <w:p w14:paraId="5DDDB0E4" w14:textId="77777777" w:rsidR="003C3D1C" w:rsidRDefault="003C3D1C" w:rsidP="00DD3DB5">
      <w:pPr>
        <w:rPr>
          <w:b/>
          <w:bCs/>
          <w:lang w:val="en-CA"/>
        </w:rPr>
      </w:pPr>
    </w:p>
    <w:p w14:paraId="1A62E063" w14:textId="1CD80C59" w:rsidR="00DD3DB5" w:rsidRPr="003C3D1C" w:rsidRDefault="00DD3DB5" w:rsidP="00DD3DB5">
      <w:pPr>
        <w:rPr>
          <w:b/>
          <w:bCs/>
          <w:lang w:val="en-CA"/>
        </w:rPr>
      </w:pPr>
      <w:r w:rsidRPr="00DD3DB5">
        <w:rPr>
          <w:b/>
          <w:bCs/>
          <w:lang w:val="en-CA"/>
        </w:rPr>
        <w:t>PCA and Heatmap Comparison</w:t>
      </w:r>
    </w:p>
    <w:p w14:paraId="7C8199F9" w14:textId="353DB336" w:rsidR="00DD3DB5" w:rsidRDefault="00DD3DB5" w:rsidP="00DD3DB5">
      <w:pPr>
        <w:rPr>
          <w:b/>
          <w:bCs/>
          <w:lang w:val="en-CA"/>
        </w:rPr>
      </w:pPr>
    </w:p>
    <w:tbl>
      <w:tblPr>
        <w:tblStyle w:val="TableGrid"/>
        <w:tblW w:w="10785" w:type="dxa"/>
        <w:tblInd w:w="-722" w:type="dxa"/>
        <w:tblLook w:val="04A0" w:firstRow="1" w:lastRow="0" w:firstColumn="1" w:lastColumn="0" w:noHBand="0" w:noVBand="1"/>
      </w:tblPr>
      <w:tblGrid>
        <w:gridCol w:w="5349"/>
        <w:gridCol w:w="5436"/>
      </w:tblGrid>
      <w:tr w:rsidR="00FB0F3D" w14:paraId="3F9C9C66" w14:textId="77777777" w:rsidTr="00FB0F3D">
        <w:trPr>
          <w:trHeight w:val="274"/>
        </w:trPr>
        <w:tc>
          <w:tcPr>
            <w:tcW w:w="5349" w:type="dxa"/>
          </w:tcPr>
          <w:p w14:paraId="2DDA98E7" w14:textId="6C859B95" w:rsidR="003C3D1C" w:rsidRDefault="003C3D1C" w:rsidP="00C266F7">
            <w:pPr>
              <w:rPr>
                <w:lang w:val="en-CA"/>
              </w:rPr>
            </w:pPr>
            <w:r w:rsidRPr="00DD3DB5">
              <w:rPr>
                <w:lang w:val="en-CA"/>
              </w:rPr>
              <w:t>Python</w:t>
            </w:r>
          </w:p>
          <w:p w14:paraId="3628AA96" w14:textId="77777777" w:rsidR="003C3D1C" w:rsidRDefault="003C3D1C" w:rsidP="00C266F7">
            <w:pPr>
              <w:rPr>
                <w:noProof/>
                <w:lang w:val="en-CA"/>
              </w:rPr>
            </w:pPr>
          </w:p>
        </w:tc>
        <w:tc>
          <w:tcPr>
            <w:tcW w:w="5436" w:type="dxa"/>
          </w:tcPr>
          <w:p w14:paraId="51252012" w14:textId="317DB3E8" w:rsidR="003C3D1C" w:rsidRDefault="003C3D1C" w:rsidP="00C266F7">
            <w:pPr>
              <w:rPr>
                <w:lang w:val="en-CA"/>
              </w:rPr>
            </w:pPr>
            <w:r>
              <w:rPr>
                <w:lang w:val="en-CA"/>
              </w:rPr>
              <w:t>R</w:t>
            </w:r>
          </w:p>
          <w:p w14:paraId="184C3BBE" w14:textId="77777777" w:rsidR="003C3D1C" w:rsidRDefault="003C3D1C" w:rsidP="00C266F7">
            <w:pPr>
              <w:rPr>
                <w:noProof/>
                <w:lang w:val="en-CA"/>
              </w:rPr>
            </w:pPr>
          </w:p>
        </w:tc>
      </w:tr>
      <w:tr w:rsidR="00FB0F3D" w14:paraId="688B23C1" w14:textId="77777777" w:rsidTr="00FB0F3D">
        <w:trPr>
          <w:trHeight w:val="274"/>
        </w:trPr>
        <w:tc>
          <w:tcPr>
            <w:tcW w:w="5349" w:type="dxa"/>
          </w:tcPr>
          <w:p w14:paraId="18AF8275" w14:textId="7AF69FF3" w:rsidR="003C3D1C" w:rsidRPr="00DD3DB5" w:rsidRDefault="00FB0F3D" w:rsidP="00C266F7">
            <w:pPr>
              <w:rPr>
                <w:lang w:val="en-CA"/>
              </w:rPr>
            </w:pPr>
            <w:r>
              <w:rPr>
                <w:b/>
                <w:bCs/>
                <w:noProof/>
                <w:lang w:val="en-CA"/>
              </w:rPr>
              <w:drawing>
                <wp:inline distT="0" distB="0" distL="0" distR="0" wp14:anchorId="1F83B288" wp14:editId="3F196FF7">
                  <wp:extent cx="3108960" cy="2330557"/>
                  <wp:effectExtent l="0" t="0" r="0" b="0"/>
                  <wp:docPr id="649812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9985" cy="2346318"/>
                          </a:xfrm>
                          <a:prstGeom prst="rect">
                            <a:avLst/>
                          </a:prstGeom>
                          <a:noFill/>
                          <a:ln>
                            <a:noFill/>
                          </a:ln>
                        </pic:spPr>
                      </pic:pic>
                    </a:graphicData>
                  </a:graphic>
                </wp:inline>
              </w:drawing>
            </w:r>
          </w:p>
        </w:tc>
        <w:tc>
          <w:tcPr>
            <w:tcW w:w="5436" w:type="dxa"/>
          </w:tcPr>
          <w:p w14:paraId="202C8F88" w14:textId="4715AD1D" w:rsidR="003C3D1C" w:rsidRPr="00DD3DB5" w:rsidRDefault="003C3D1C" w:rsidP="00C266F7">
            <w:pPr>
              <w:rPr>
                <w:lang w:val="en-CA"/>
              </w:rPr>
            </w:pPr>
            <w:r>
              <w:rPr>
                <w:b/>
                <w:bCs/>
                <w:noProof/>
                <w:lang w:val="en-CA"/>
              </w:rPr>
              <w:drawing>
                <wp:inline distT="0" distB="0" distL="0" distR="0" wp14:anchorId="259EFFC3" wp14:editId="5FC6A797">
                  <wp:extent cx="2895615" cy="2480807"/>
                  <wp:effectExtent l="0" t="0" r="0" b="0"/>
                  <wp:docPr id="433940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0694" cy="2510861"/>
                          </a:xfrm>
                          <a:prstGeom prst="rect">
                            <a:avLst/>
                          </a:prstGeom>
                          <a:noFill/>
                          <a:ln>
                            <a:noFill/>
                          </a:ln>
                        </pic:spPr>
                      </pic:pic>
                    </a:graphicData>
                  </a:graphic>
                </wp:inline>
              </w:drawing>
            </w:r>
          </w:p>
        </w:tc>
      </w:tr>
      <w:tr w:rsidR="00FB0F3D" w14:paraId="3FCC079C" w14:textId="77777777" w:rsidTr="00FB0F3D">
        <w:trPr>
          <w:trHeight w:val="4909"/>
        </w:trPr>
        <w:tc>
          <w:tcPr>
            <w:tcW w:w="5349" w:type="dxa"/>
          </w:tcPr>
          <w:p w14:paraId="7628CD9E" w14:textId="1CACDB95" w:rsidR="003C3D1C" w:rsidRDefault="00FB0F3D" w:rsidP="003C3D1C">
            <w:pPr>
              <w:jc w:val="center"/>
              <w:rPr>
                <w:lang w:val="en-CA"/>
              </w:rPr>
            </w:pPr>
            <w:r>
              <w:rPr>
                <w:noProof/>
                <w:lang w:val="en-CA"/>
              </w:rPr>
              <w:drawing>
                <wp:inline distT="0" distB="0" distL="0" distR="0" wp14:anchorId="05950F8E" wp14:editId="195A7A7B">
                  <wp:extent cx="3260035" cy="3246792"/>
                  <wp:effectExtent l="0" t="0" r="0" b="0"/>
                  <wp:docPr id="312963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6672" cy="3293240"/>
                          </a:xfrm>
                          <a:prstGeom prst="rect">
                            <a:avLst/>
                          </a:prstGeom>
                          <a:noFill/>
                          <a:ln>
                            <a:noFill/>
                          </a:ln>
                        </pic:spPr>
                      </pic:pic>
                    </a:graphicData>
                  </a:graphic>
                </wp:inline>
              </w:drawing>
            </w:r>
          </w:p>
        </w:tc>
        <w:tc>
          <w:tcPr>
            <w:tcW w:w="5436" w:type="dxa"/>
          </w:tcPr>
          <w:p w14:paraId="16651B11" w14:textId="77777777" w:rsidR="003C3D1C" w:rsidRDefault="003C3D1C" w:rsidP="003C3D1C">
            <w:pPr>
              <w:jc w:val="center"/>
              <w:rPr>
                <w:lang w:val="en-CA"/>
              </w:rPr>
            </w:pPr>
            <w:r>
              <w:rPr>
                <w:noProof/>
                <w:lang w:val="en-CA"/>
              </w:rPr>
              <w:drawing>
                <wp:inline distT="0" distB="0" distL="0" distR="0" wp14:anchorId="323B89CE" wp14:editId="004DE868">
                  <wp:extent cx="3307080" cy="3044861"/>
                  <wp:effectExtent l="0" t="0" r="7620" b="3175"/>
                  <wp:docPr id="1030775094" name="Picture 2"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5094" name="Picture 2" descr="A screen shot of a char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758" cy="3064820"/>
                          </a:xfrm>
                          <a:prstGeom prst="rect">
                            <a:avLst/>
                          </a:prstGeom>
                          <a:noFill/>
                          <a:ln>
                            <a:noFill/>
                          </a:ln>
                        </pic:spPr>
                      </pic:pic>
                    </a:graphicData>
                  </a:graphic>
                </wp:inline>
              </w:drawing>
            </w:r>
          </w:p>
        </w:tc>
      </w:tr>
    </w:tbl>
    <w:p w14:paraId="38764FA7" w14:textId="77777777" w:rsidR="003C3D1C" w:rsidRDefault="003C3D1C" w:rsidP="00DD3DB5">
      <w:pPr>
        <w:rPr>
          <w:b/>
          <w:bCs/>
          <w:lang w:val="en-CA"/>
        </w:rPr>
      </w:pPr>
    </w:p>
    <w:p w14:paraId="1A7A2106" w14:textId="77777777" w:rsidR="00DD3DB5" w:rsidRPr="00DD3DB5" w:rsidRDefault="00DD3DB5" w:rsidP="00DD3DB5">
      <w:pPr>
        <w:rPr>
          <w:b/>
          <w:bCs/>
          <w:lang w:val="en-CA"/>
        </w:rPr>
      </w:pPr>
    </w:p>
    <w:p w14:paraId="26F9D0DB" w14:textId="53C441EC" w:rsidR="00DD3DB5" w:rsidRDefault="003C3D1C" w:rsidP="00DD3DB5">
      <w:pPr>
        <w:rPr>
          <w:lang w:val="en-CA"/>
        </w:rPr>
      </w:pPr>
      <w:r w:rsidRPr="003C3D1C">
        <w:rPr>
          <w:lang w:val="en-CA"/>
        </w:rPr>
        <w:t xml:space="preserve">The PCA plots from both R and Python pipelines show clear separation between control and irradiated samples. Notably, the R-based PCA explains a larger proportion of variance along PC1 (47%) compared to the Python version (26.2%). Despite this, both visualizations support strong condition-based clustering. Sample-to-sample distance heatmaps generated in R further </w:t>
      </w:r>
      <w:r w:rsidRPr="003C3D1C">
        <w:rPr>
          <w:lang w:val="en-CA"/>
        </w:rPr>
        <w:lastRenderedPageBreak/>
        <w:t xml:space="preserve">confirm this structure, with irradiated and control samples forming distinct clusters. The top 30 variable gene heatmaps show overlapping gene sets and similar expression dynamics, though differences in color palette and dendrogram layout arise from default settings in seaborn and </w:t>
      </w:r>
      <w:proofErr w:type="spellStart"/>
      <w:r w:rsidRPr="003C3D1C">
        <w:rPr>
          <w:lang w:val="en-CA"/>
        </w:rPr>
        <w:t>pheatmap</w:t>
      </w:r>
      <w:proofErr w:type="spellEnd"/>
      <w:r w:rsidRPr="003C3D1C">
        <w:rPr>
          <w:lang w:val="en-CA"/>
        </w:rPr>
        <w:t>.</w:t>
      </w:r>
    </w:p>
    <w:p w14:paraId="0CC0E382" w14:textId="77777777" w:rsidR="00250F92" w:rsidRDefault="00250F92" w:rsidP="00DD3DB5">
      <w:pPr>
        <w:rPr>
          <w:lang w:val="en-CA"/>
        </w:rPr>
      </w:pPr>
    </w:p>
    <w:p w14:paraId="029C3440" w14:textId="34BE081C" w:rsidR="00250F92" w:rsidRDefault="00250F92" w:rsidP="00DD3DB5">
      <w:pPr>
        <w:rPr>
          <w:lang w:val="en-CA"/>
        </w:rPr>
      </w:pPr>
      <w:r w:rsidRPr="00250F92">
        <w:t>Both heatmaps reveal consistent clustering of irradiated versus control samples, and while color palettes and dendrogram structures differ slightly due to software defaults, the underlying gene expression patterns and separation of sample groups remain aligned between platforms.</w:t>
      </w:r>
    </w:p>
    <w:p w14:paraId="78C42101" w14:textId="77777777" w:rsidR="00DD3DB5" w:rsidRPr="00DD3DB5" w:rsidRDefault="00DD3DB5" w:rsidP="00DD3DB5">
      <w:pPr>
        <w:rPr>
          <w:lang w:val="en-CA"/>
        </w:rPr>
      </w:pPr>
    </w:p>
    <w:p w14:paraId="4849C3E7" w14:textId="77777777" w:rsidR="00DD3DB5" w:rsidRDefault="00DD3DB5" w:rsidP="00DD3DB5">
      <w:pPr>
        <w:rPr>
          <w:b/>
          <w:bCs/>
          <w:lang w:val="en-CA"/>
        </w:rPr>
      </w:pPr>
      <w:r w:rsidRPr="00DD3DB5">
        <w:rPr>
          <w:b/>
          <w:bCs/>
          <w:lang w:val="en-CA"/>
        </w:rPr>
        <w:t>Volcano Plot Comparison</w:t>
      </w:r>
    </w:p>
    <w:p w14:paraId="4DEA45CC" w14:textId="77777777" w:rsidR="003C3D1C" w:rsidRDefault="003C3D1C" w:rsidP="00DD3DB5">
      <w:pPr>
        <w:rPr>
          <w:lang w:val="en-CA"/>
        </w:rPr>
      </w:pPr>
    </w:p>
    <w:tbl>
      <w:tblPr>
        <w:tblStyle w:val="TableGrid"/>
        <w:tblW w:w="10918" w:type="dxa"/>
        <w:tblInd w:w="-672" w:type="dxa"/>
        <w:tblLook w:val="04A0" w:firstRow="1" w:lastRow="0" w:firstColumn="1" w:lastColumn="0" w:noHBand="0" w:noVBand="1"/>
      </w:tblPr>
      <w:tblGrid>
        <w:gridCol w:w="6006"/>
        <w:gridCol w:w="5346"/>
      </w:tblGrid>
      <w:tr w:rsidR="00FB0F3D" w14:paraId="37E6D370" w14:textId="77777777" w:rsidTr="003C3D1C">
        <w:trPr>
          <w:trHeight w:val="286"/>
        </w:trPr>
        <w:tc>
          <w:tcPr>
            <w:tcW w:w="5275" w:type="dxa"/>
          </w:tcPr>
          <w:p w14:paraId="7E6CCA30" w14:textId="70D5AAF7" w:rsidR="003C3D1C" w:rsidRDefault="003C3D1C" w:rsidP="00DD3DB5">
            <w:pPr>
              <w:rPr>
                <w:lang w:val="en-CA"/>
              </w:rPr>
            </w:pPr>
            <w:r>
              <w:rPr>
                <w:lang w:val="en-CA"/>
              </w:rPr>
              <w:t>Python</w:t>
            </w:r>
          </w:p>
        </w:tc>
        <w:tc>
          <w:tcPr>
            <w:tcW w:w="5643" w:type="dxa"/>
          </w:tcPr>
          <w:p w14:paraId="2E957CF0" w14:textId="35B0408C" w:rsidR="003C3D1C" w:rsidRDefault="003C3D1C" w:rsidP="00DD3DB5">
            <w:pPr>
              <w:rPr>
                <w:lang w:val="en-CA"/>
              </w:rPr>
            </w:pPr>
            <w:r>
              <w:rPr>
                <w:lang w:val="en-CA"/>
              </w:rPr>
              <w:t>R</w:t>
            </w:r>
          </w:p>
        </w:tc>
      </w:tr>
      <w:tr w:rsidR="00FB0F3D" w14:paraId="24F9EAC9" w14:textId="77777777" w:rsidTr="003C3D1C">
        <w:trPr>
          <w:trHeight w:val="4567"/>
        </w:trPr>
        <w:tc>
          <w:tcPr>
            <w:tcW w:w="5275" w:type="dxa"/>
          </w:tcPr>
          <w:p w14:paraId="2D4A37C5" w14:textId="2F9883FC" w:rsidR="003C3D1C" w:rsidRDefault="00A33306" w:rsidP="00DD3DB5">
            <w:pPr>
              <w:rPr>
                <w:lang w:val="en-CA"/>
              </w:rPr>
            </w:pPr>
            <w:r>
              <w:rPr>
                <w:noProof/>
                <w:lang w:val="en-CA"/>
              </w:rPr>
              <w:drawing>
                <wp:inline distT="0" distB="0" distL="0" distR="0" wp14:anchorId="1B1C96F0" wp14:editId="72CDB579">
                  <wp:extent cx="3673503" cy="2568628"/>
                  <wp:effectExtent l="0" t="0" r="3175" b="3175"/>
                  <wp:docPr id="3091554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4230" cy="2583121"/>
                          </a:xfrm>
                          <a:prstGeom prst="rect">
                            <a:avLst/>
                          </a:prstGeom>
                          <a:noFill/>
                          <a:ln>
                            <a:noFill/>
                          </a:ln>
                        </pic:spPr>
                      </pic:pic>
                    </a:graphicData>
                  </a:graphic>
                </wp:inline>
              </w:drawing>
            </w:r>
          </w:p>
        </w:tc>
        <w:tc>
          <w:tcPr>
            <w:tcW w:w="5643" w:type="dxa"/>
          </w:tcPr>
          <w:p w14:paraId="134A505E" w14:textId="365D5C7D" w:rsidR="003C3D1C" w:rsidRDefault="003C3D1C" w:rsidP="00DD3DB5">
            <w:pPr>
              <w:rPr>
                <w:lang w:val="en-CA"/>
              </w:rPr>
            </w:pPr>
            <w:r>
              <w:rPr>
                <w:b/>
                <w:bCs/>
                <w:noProof/>
                <w:lang w:val="en-CA"/>
              </w:rPr>
              <w:drawing>
                <wp:inline distT="0" distB="0" distL="0" distR="0" wp14:anchorId="36B1EAEC" wp14:editId="36A854E5">
                  <wp:extent cx="3256358" cy="2441050"/>
                  <wp:effectExtent l="0" t="0" r="1270" b="0"/>
                  <wp:docPr id="995677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1757" cy="2452594"/>
                          </a:xfrm>
                          <a:prstGeom prst="rect">
                            <a:avLst/>
                          </a:prstGeom>
                          <a:noFill/>
                          <a:ln>
                            <a:noFill/>
                          </a:ln>
                        </pic:spPr>
                      </pic:pic>
                    </a:graphicData>
                  </a:graphic>
                </wp:inline>
              </w:drawing>
            </w:r>
          </w:p>
        </w:tc>
      </w:tr>
    </w:tbl>
    <w:p w14:paraId="06BA9EF9" w14:textId="77777777" w:rsidR="003C3D1C" w:rsidRDefault="003C3D1C" w:rsidP="00DD3DB5">
      <w:pPr>
        <w:rPr>
          <w:lang w:val="en-CA"/>
        </w:rPr>
      </w:pPr>
    </w:p>
    <w:p w14:paraId="5A9AC041" w14:textId="77777777" w:rsidR="003C3D1C" w:rsidRDefault="003C3D1C" w:rsidP="00DD3DB5">
      <w:pPr>
        <w:rPr>
          <w:lang w:val="en-CA"/>
        </w:rPr>
      </w:pPr>
    </w:p>
    <w:p w14:paraId="3910CC64" w14:textId="6C1B6EB2" w:rsidR="00A33306" w:rsidRDefault="00250F92" w:rsidP="00DD3DB5">
      <w:pPr>
        <w:rPr>
          <w:lang w:val="en-CA"/>
        </w:rPr>
      </w:pPr>
      <w:r w:rsidRPr="00250F92">
        <w:t>Both volcano plots highlight highly significant genes such as Cdkn1a, Gdf15, and Eda2r, with a similar distribution centered around log2 fold change = 0. In both cases, the y-axis represents −log10 of the adjusted p-value (</w:t>
      </w:r>
      <w:proofErr w:type="spellStart"/>
      <w:r w:rsidRPr="00250F92">
        <w:t>padj</w:t>
      </w:r>
      <w:proofErr w:type="spellEnd"/>
      <w:r w:rsidRPr="00250F92">
        <w:t>), ensuring consistency in significance scaling across platforms</w:t>
      </w:r>
      <w:r>
        <w:t xml:space="preserve">. </w:t>
      </w:r>
      <w:r w:rsidRPr="00250F92">
        <w:t>However, there are minor discrepancies in classification</w:t>
      </w:r>
      <w:r>
        <w:t xml:space="preserve">, </w:t>
      </w:r>
      <w:r w:rsidRPr="00250F92">
        <w:t>for instance, while Cxcl13 appears in both plots, it is labeled as significant for both adjusted p-value and fold change in the Python version (red), whereas the R version classifies it as significant only by adjusted p-value (blue). This divergence may result from slight differences in log2FoldChange thresholds or rounding behavior across implementations.</w:t>
      </w:r>
    </w:p>
    <w:p w14:paraId="0815C65C" w14:textId="77777777" w:rsidR="00A33306" w:rsidRDefault="00A33306" w:rsidP="00DD3DB5">
      <w:pPr>
        <w:rPr>
          <w:lang w:val="en-CA"/>
        </w:rPr>
      </w:pPr>
    </w:p>
    <w:p w14:paraId="08320E98" w14:textId="77777777" w:rsidR="00A33306" w:rsidRDefault="00A33306" w:rsidP="00DD3DB5">
      <w:pPr>
        <w:rPr>
          <w:lang w:val="en-CA"/>
        </w:rPr>
      </w:pPr>
    </w:p>
    <w:p w14:paraId="0F87DCD3" w14:textId="77777777" w:rsidR="00A33306" w:rsidRDefault="00A33306" w:rsidP="00DD3DB5">
      <w:pPr>
        <w:rPr>
          <w:lang w:val="en-CA"/>
        </w:rPr>
      </w:pPr>
    </w:p>
    <w:p w14:paraId="318C085E" w14:textId="77777777" w:rsidR="00A33306" w:rsidRDefault="00A33306" w:rsidP="00DD3DB5">
      <w:pPr>
        <w:rPr>
          <w:lang w:val="en-CA"/>
        </w:rPr>
      </w:pPr>
    </w:p>
    <w:p w14:paraId="33D15C46" w14:textId="77777777" w:rsidR="00A33306" w:rsidRDefault="00A33306" w:rsidP="00DD3DB5">
      <w:pPr>
        <w:rPr>
          <w:lang w:val="en-CA"/>
        </w:rPr>
      </w:pPr>
    </w:p>
    <w:p w14:paraId="4C25529F" w14:textId="77777777" w:rsidR="00A33306" w:rsidRDefault="00A33306" w:rsidP="00DD3DB5">
      <w:pPr>
        <w:rPr>
          <w:lang w:val="en-CA"/>
        </w:rPr>
      </w:pPr>
    </w:p>
    <w:p w14:paraId="6C194D58" w14:textId="77777777" w:rsidR="00A33306" w:rsidRDefault="00A33306" w:rsidP="00DD3DB5">
      <w:pPr>
        <w:rPr>
          <w:lang w:val="en-CA"/>
        </w:rPr>
      </w:pPr>
    </w:p>
    <w:p w14:paraId="56453BFA" w14:textId="77777777" w:rsidR="00A33306" w:rsidRDefault="00A33306" w:rsidP="00DD3DB5">
      <w:pPr>
        <w:rPr>
          <w:lang w:val="en-CA"/>
        </w:rPr>
      </w:pPr>
    </w:p>
    <w:p w14:paraId="52852493" w14:textId="77777777" w:rsidR="00A33306" w:rsidRDefault="00A33306" w:rsidP="00DD3DB5">
      <w:pPr>
        <w:rPr>
          <w:lang w:val="en-CA"/>
        </w:rPr>
      </w:pPr>
    </w:p>
    <w:p w14:paraId="16C67761" w14:textId="77777777" w:rsidR="00A33306" w:rsidRDefault="00A33306" w:rsidP="00DD3DB5">
      <w:pPr>
        <w:rPr>
          <w:lang w:val="en-CA"/>
        </w:rPr>
      </w:pPr>
    </w:p>
    <w:p w14:paraId="7577D557" w14:textId="77777777" w:rsidR="00A33306" w:rsidRPr="00DD3DB5" w:rsidRDefault="00A33306" w:rsidP="00DD3DB5">
      <w:pPr>
        <w:rPr>
          <w:lang w:val="en-CA"/>
        </w:rPr>
      </w:pPr>
    </w:p>
    <w:p w14:paraId="6CFFD073" w14:textId="2CECBE7E" w:rsidR="00FB0F3D" w:rsidRDefault="00DD3DB5" w:rsidP="003C3D1C">
      <w:pPr>
        <w:rPr>
          <w:b/>
          <w:bCs/>
          <w:lang w:val="en-CA"/>
        </w:rPr>
      </w:pPr>
      <w:r w:rsidRPr="00DD3DB5">
        <w:rPr>
          <w:b/>
          <w:bCs/>
          <w:lang w:val="en-CA"/>
        </w:rPr>
        <w:t xml:space="preserve">KEGG Pathway </w:t>
      </w:r>
      <w:proofErr w:type="spellStart"/>
      <w:r w:rsidRPr="00DD3DB5">
        <w:rPr>
          <w:b/>
          <w:bCs/>
          <w:lang w:val="en-CA"/>
        </w:rPr>
        <w:t>Barplots</w:t>
      </w:r>
      <w:proofErr w:type="spellEnd"/>
    </w:p>
    <w:p w14:paraId="7C1E6F7F" w14:textId="77777777" w:rsidR="00FB0F3D" w:rsidRPr="003C3D1C" w:rsidRDefault="00FB0F3D" w:rsidP="003C3D1C">
      <w:pPr>
        <w:rPr>
          <w:b/>
          <w:bCs/>
          <w:lang w:val="en-CA"/>
        </w:rPr>
      </w:pPr>
    </w:p>
    <w:tbl>
      <w:tblPr>
        <w:tblStyle w:val="TableGrid"/>
        <w:tblW w:w="10918" w:type="dxa"/>
        <w:tblInd w:w="-672" w:type="dxa"/>
        <w:tblLook w:val="04A0" w:firstRow="1" w:lastRow="0" w:firstColumn="1" w:lastColumn="0" w:noHBand="0" w:noVBand="1"/>
      </w:tblPr>
      <w:tblGrid>
        <w:gridCol w:w="5796"/>
        <w:gridCol w:w="5437"/>
      </w:tblGrid>
      <w:tr w:rsidR="003C3D1C" w14:paraId="5A0105D0" w14:textId="77777777" w:rsidTr="00C266F7">
        <w:trPr>
          <w:trHeight w:val="286"/>
        </w:trPr>
        <w:tc>
          <w:tcPr>
            <w:tcW w:w="5275" w:type="dxa"/>
          </w:tcPr>
          <w:p w14:paraId="1AE21752" w14:textId="77777777" w:rsidR="003C3D1C" w:rsidRDefault="003C3D1C" w:rsidP="00C266F7">
            <w:pPr>
              <w:rPr>
                <w:lang w:val="en-CA"/>
              </w:rPr>
            </w:pPr>
            <w:r>
              <w:rPr>
                <w:lang w:val="en-CA"/>
              </w:rPr>
              <w:t>Python</w:t>
            </w:r>
          </w:p>
        </w:tc>
        <w:tc>
          <w:tcPr>
            <w:tcW w:w="5643" w:type="dxa"/>
          </w:tcPr>
          <w:p w14:paraId="6EA5642D" w14:textId="77777777" w:rsidR="003C3D1C" w:rsidRDefault="003C3D1C" w:rsidP="00C266F7">
            <w:pPr>
              <w:rPr>
                <w:lang w:val="en-CA"/>
              </w:rPr>
            </w:pPr>
            <w:r>
              <w:rPr>
                <w:lang w:val="en-CA"/>
              </w:rPr>
              <w:t>R</w:t>
            </w:r>
          </w:p>
        </w:tc>
      </w:tr>
      <w:tr w:rsidR="003C3D1C" w14:paraId="1280E7C7" w14:textId="77777777" w:rsidTr="003C3D1C">
        <w:trPr>
          <w:trHeight w:val="3959"/>
        </w:trPr>
        <w:tc>
          <w:tcPr>
            <w:tcW w:w="5275" w:type="dxa"/>
          </w:tcPr>
          <w:p w14:paraId="7448D2F4" w14:textId="4C1CD991" w:rsidR="003C3D1C" w:rsidRDefault="003C3D1C" w:rsidP="00C266F7">
            <w:pPr>
              <w:rPr>
                <w:lang w:val="en-CA"/>
              </w:rPr>
            </w:pPr>
            <w:r>
              <w:rPr>
                <w:b/>
                <w:bCs/>
                <w:noProof/>
                <w:lang w:val="en-CA"/>
              </w:rPr>
              <w:drawing>
                <wp:inline distT="0" distB="0" distL="0" distR="0" wp14:anchorId="09D35AFB" wp14:editId="3C630C82">
                  <wp:extent cx="3538331" cy="2123905"/>
                  <wp:effectExtent l="0" t="0" r="5080" b="0"/>
                  <wp:docPr id="140609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3104" cy="2138775"/>
                          </a:xfrm>
                          <a:prstGeom prst="rect">
                            <a:avLst/>
                          </a:prstGeom>
                          <a:noFill/>
                          <a:ln>
                            <a:noFill/>
                          </a:ln>
                        </pic:spPr>
                      </pic:pic>
                    </a:graphicData>
                  </a:graphic>
                </wp:inline>
              </w:drawing>
            </w:r>
          </w:p>
        </w:tc>
        <w:tc>
          <w:tcPr>
            <w:tcW w:w="5643" w:type="dxa"/>
          </w:tcPr>
          <w:p w14:paraId="28D1C50A" w14:textId="5F59374F" w:rsidR="003C3D1C" w:rsidRDefault="003C3D1C" w:rsidP="00C266F7">
            <w:pPr>
              <w:rPr>
                <w:lang w:val="en-CA"/>
              </w:rPr>
            </w:pPr>
            <w:r>
              <w:rPr>
                <w:noProof/>
                <w:lang w:val="en-CA"/>
              </w:rPr>
              <w:drawing>
                <wp:inline distT="0" distB="0" distL="0" distR="0" wp14:anchorId="7CABBB6B" wp14:editId="63420363">
                  <wp:extent cx="3315694" cy="2485530"/>
                  <wp:effectExtent l="0" t="0" r="0" b="0"/>
                  <wp:docPr id="283900800"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00800" name="Picture 6" descr="A graph of different colored ba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9544" cy="2488416"/>
                          </a:xfrm>
                          <a:prstGeom prst="rect">
                            <a:avLst/>
                          </a:prstGeom>
                          <a:noFill/>
                          <a:ln>
                            <a:noFill/>
                          </a:ln>
                        </pic:spPr>
                      </pic:pic>
                    </a:graphicData>
                  </a:graphic>
                </wp:inline>
              </w:drawing>
            </w:r>
          </w:p>
        </w:tc>
      </w:tr>
    </w:tbl>
    <w:p w14:paraId="47336EB3" w14:textId="6EC2F66B" w:rsidR="00DD3DB5" w:rsidRDefault="00DD3DB5" w:rsidP="00DD3DB5">
      <w:pPr>
        <w:rPr>
          <w:lang w:val="en-CA"/>
        </w:rPr>
      </w:pPr>
    </w:p>
    <w:p w14:paraId="76164E7E" w14:textId="2CE68ACB" w:rsidR="00DD3DB5" w:rsidRPr="00DD3DB5" w:rsidRDefault="00DD3DB5" w:rsidP="00DD3DB5">
      <w:pPr>
        <w:rPr>
          <w:lang w:val="en-CA"/>
        </w:rPr>
      </w:pPr>
    </w:p>
    <w:p w14:paraId="0D6FC4C3" w14:textId="2E41018E" w:rsidR="003C3D1C" w:rsidRDefault="003C3D1C" w:rsidP="003C3D1C">
      <w:pPr>
        <w:rPr>
          <w:lang w:val="en-CA"/>
        </w:rPr>
      </w:pPr>
      <w:r w:rsidRPr="003C3D1C">
        <w:rPr>
          <w:lang w:val="en-CA"/>
        </w:rPr>
        <w:t xml:space="preserve">KEGG pathway </w:t>
      </w:r>
      <w:proofErr w:type="spellStart"/>
      <w:r w:rsidRPr="003C3D1C">
        <w:rPr>
          <w:lang w:val="en-CA"/>
        </w:rPr>
        <w:t>barplots</w:t>
      </w:r>
      <w:proofErr w:type="spellEnd"/>
      <w:r w:rsidRPr="003C3D1C">
        <w:rPr>
          <w:lang w:val="en-CA"/>
        </w:rPr>
        <w:t xml:space="preserve"> from both R and Python pipelines demonstrate strong biological consistency, with the top seven enriched pathways overlapping between platforms. While both plots highlight immune-related pathways such as hematopoietic cell lineage, cytokine-cytokine receptor interaction, and chemokine signaling, the R-based output includes three additional pathways</w:t>
      </w:r>
      <w:r w:rsidR="00250F92">
        <w:rPr>
          <w:lang w:val="en-CA"/>
        </w:rPr>
        <w:t xml:space="preserve">. However, </w:t>
      </w:r>
      <w:r w:rsidRPr="003C3D1C">
        <w:rPr>
          <w:lang w:val="en-CA"/>
        </w:rPr>
        <w:t>Pancreatic cancer, Circadian rhythm, and Primary immunodeficiency</w:t>
      </w:r>
      <w:r w:rsidR="00250F92">
        <w:rPr>
          <w:lang w:val="en-CA"/>
        </w:rPr>
        <w:t xml:space="preserve"> are </w:t>
      </w:r>
      <w:r w:rsidRPr="003C3D1C">
        <w:rPr>
          <w:lang w:val="en-CA"/>
        </w:rPr>
        <w:t>not observed in the Python output. These differences may arise from varying statistical cutoffs or ID mapping strategies.</w:t>
      </w:r>
    </w:p>
    <w:p w14:paraId="6F23683E" w14:textId="77777777" w:rsidR="003C3D1C" w:rsidRPr="003C3D1C" w:rsidRDefault="003C3D1C" w:rsidP="003C3D1C">
      <w:pPr>
        <w:rPr>
          <w:lang w:val="en-CA"/>
        </w:rPr>
      </w:pPr>
    </w:p>
    <w:p w14:paraId="13DC20EB" w14:textId="77777777" w:rsidR="003C3D1C" w:rsidRPr="003C3D1C" w:rsidRDefault="003C3D1C" w:rsidP="003C3D1C">
      <w:pPr>
        <w:rPr>
          <w:lang w:val="en-CA"/>
        </w:rPr>
      </w:pPr>
      <w:r w:rsidRPr="003C3D1C">
        <w:rPr>
          <w:lang w:val="en-CA"/>
        </w:rPr>
        <w:t>The visual styles also differ: R visualizes adjusted p-values (</w:t>
      </w:r>
      <w:proofErr w:type="spellStart"/>
      <w:proofErr w:type="gramStart"/>
      <w:r w:rsidRPr="003C3D1C">
        <w:rPr>
          <w:lang w:val="en-CA"/>
        </w:rPr>
        <w:t>p.adjust</w:t>
      </w:r>
      <w:proofErr w:type="spellEnd"/>
      <w:proofErr w:type="gramEnd"/>
      <w:r w:rsidRPr="003C3D1C">
        <w:rPr>
          <w:lang w:val="en-CA"/>
        </w:rPr>
        <w:t>) using a red-to-blue color scale and bar lengths based on gene counts, whereas Python displays raw p-values transformed via -log10(p) with a diverging color map. Despite these technical distinctions, the biological message remains consistent across platforms, supporting the robustness of the enrichment results.</w:t>
      </w:r>
    </w:p>
    <w:p w14:paraId="612EA9EF" w14:textId="77777777" w:rsidR="00B50355" w:rsidRDefault="00B50355"/>
    <w:p w14:paraId="7880A698" w14:textId="77777777" w:rsidR="00DD3DB5" w:rsidRDefault="00DD3DB5"/>
    <w:p w14:paraId="37EEC54A" w14:textId="77777777" w:rsidR="00DD3DB5" w:rsidRDefault="00DD3DB5"/>
    <w:p w14:paraId="2D9DE54B" w14:textId="77777777" w:rsidR="00DD3DB5" w:rsidRDefault="00DD3DB5"/>
    <w:p w14:paraId="14AA7B19" w14:textId="77777777" w:rsidR="00DD3DB5" w:rsidRPr="00DD3DB5" w:rsidRDefault="00DD3DB5" w:rsidP="00DD3DB5">
      <w:pPr>
        <w:pStyle w:val="Heading1"/>
        <w:rPr>
          <w:lang w:val="en-CA"/>
        </w:rPr>
      </w:pPr>
      <w:r w:rsidRPr="00DD3DB5">
        <w:rPr>
          <w:lang w:val="en-CA"/>
        </w:rPr>
        <w:lastRenderedPageBreak/>
        <w:t>8. Reflections on Tooling in R vs Python</w:t>
      </w:r>
    </w:p>
    <w:p w14:paraId="42489A01" w14:textId="77777777" w:rsidR="00A33306" w:rsidRPr="00A33306" w:rsidRDefault="00A33306" w:rsidP="00A33306">
      <w:pPr>
        <w:rPr>
          <w:lang w:val="en-CA"/>
        </w:rPr>
      </w:pPr>
      <w:r w:rsidRPr="00A33306">
        <w:rPr>
          <w:lang w:val="en-CA"/>
        </w:rPr>
        <w:t>The comparative workflow highlights key differences and strengths in the R and Python ecosystems for transcriptomic analysis:</w:t>
      </w:r>
    </w:p>
    <w:p w14:paraId="76490335" w14:textId="77777777" w:rsidR="00A33306" w:rsidRPr="00A33306" w:rsidRDefault="00A33306" w:rsidP="00A33306">
      <w:pPr>
        <w:numPr>
          <w:ilvl w:val="0"/>
          <w:numId w:val="32"/>
        </w:numPr>
        <w:rPr>
          <w:lang w:val="en-CA"/>
        </w:rPr>
      </w:pPr>
      <w:r w:rsidRPr="00A33306">
        <w:rPr>
          <w:b/>
          <w:bCs/>
          <w:lang w:val="en-CA"/>
        </w:rPr>
        <w:t>RNA-seq Analysis</w:t>
      </w:r>
      <w:r w:rsidRPr="00A33306">
        <w:rPr>
          <w:lang w:val="en-CA"/>
        </w:rPr>
        <w:t xml:space="preserve">: R remains the gold standard, particularly with packages like DESeq2 and </w:t>
      </w:r>
      <w:proofErr w:type="spellStart"/>
      <w:r w:rsidRPr="00A33306">
        <w:rPr>
          <w:lang w:val="en-CA"/>
        </w:rPr>
        <w:t>clusterProfiler</w:t>
      </w:r>
      <w:proofErr w:type="spellEnd"/>
      <w:r w:rsidRPr="00A33306">
        <w:rPr>
          <w:lang w:val="en-CA"/>
        </w:rPr>
        <w:t xml:space="preserve"> offering mature, well-documented, and biologically validated pipelines. However, pyDESeq2 provides a native Python alternative that enables differential expression analysis without relying on R integration.</w:t>
      </w:r>
    </w:p>
    <w:p w14:paraId="6A0D0934" w14:textId="77777777" w:rsidR="00A33306" w:rsidRPr="00A33306" w:rsidRDefault="00A33306" w:rsidP="00A33306">
      <w:pPr>
        <w:numPr>
          <w:ilvl w:val="0"/>
          <w:numId w:val="32"/>
        </w:numPr>
        <w:rPr>
          <w:lang w:val="en-CA"/>
        </w:rPr>
      </w:pPr>
      <w:r w:rsidRPr="00A33306">
        <w:rPr>
          <w:b/>
          <w:bCs/>
          <w:lang w:val="en-CA"/>
        </w:rPr>
        <w:t>Visualization</w:t>
      </w:r>
      <w:r w:rsidRPr="00A33306">
        <w:rPr>
          <w:lang w:val="en-CA"/>
        </w:rPr>
        <w:t xml:space="preserve">: Python provides more flexible and customizable plotting via matplotlib and seaborn, though R’s domain-specific tools like </w:t>
      </w:r>
      <w:proofErr w:type="spellStart"/>
      <w:r w:rsidRPr="00A33306">
        <w:rPr>
          <w:lang w:val="en-CA"/>
        </w:rPr>
        <w:t>EnhancedVolcano</w:t>
      </w:r>
      <w:proofErr w:type="spellEnd"/>
      <w:r w:rsidRPr="00A33306">
        <w:rPr>
          <w:lang w:val="en-CA"/>
        </w:rPr>
        <w:t xml:space="preserve"> and </w:t>
      </w:r>
      <w:proofErr w:type="spellStart"/>
      <w:r w:rsidRPr="00A33306">
        <w:rPr>
          <w:lang w:val="en-CA"/>
        </w:rPr>
        <w:t>pheatmap</w:t>
      </w:r>
      <w:proofErr w:type="spellEnd"/>
      <w:r w:rsidRPr="00A33306">
        <w:rPr>
          <w:lang w:val="en-CA"/>
        </w:rPr>
        <w:t xml:space="preserve"> offer faster default outputs.</w:t>
      </w:r>
    </w:p>
    <w:p w14:paraId="112700F6" w14:textId="77777777" w:rsidR="00A33306" w:rsidRPr="00A33306" w:rsidRDefault="00A33306" w:rsidP="00A33306">
      <w:pPr>
        <w:numPr>
          <w:ilvl w:val="0"/>
          <w:numId w:val="32"/>
        </w:numPr>
        <w:rPr>
          <w:lang w:val="en-CA"/>
        </w:rPr>
      </w:pPr>
      <w:r w:rsidRPr="00A33306">
        <w:rPr>
          <w:b/>
          <w:bCs/>
          <w:lang w:val="en-CA"/>
        </w:rPr>
        <w:t>Identifier Mapping</w:t>
      </w:r>
      <w:r w:rsidRPr="00A33306">
        <w:rPr>
          <w:lang w:val="en-CA"/>
        </w:rPr>
        <w:t xml:space="preserve">: The use of Entrez (R) vs </w:t>
      </w:r>
      <w:proofErr w:type="spellStart"/>
      <w:r w:rsidRPr="00A33306">
        <w:rPr>
          <w:lang w:val="en-CA"/>
        </w:rPr>
        <w:t>Ensembl</w:t>
      </w:r>
      <w:proofErr w:type="spellEnd"/>
      <w:r w:rsidRPr="00A33306">
        <w:rPr>
          <w:lang w:val="en-CA"/>
        </w:rPr>
        <w:t xml:space="preserve"> (Python) IDs introduces subtle differences in gene set recognition during enrichment, highlighting the importance of ID consistency.</w:t>
      </w:r>
    </w:p>
    <w:p w14:paraId="205C9484" w14:textId="77777777" w:rsidR="00A33306" w:rsidRPr="00A33306" w:rsidRDefault="00A33306" w:rsidP="00A33306">
      <w:pPr>
        <w:numPr>
          <w:ilvl w:val="0"/>
          <w:numId w:val="32"/>
        </w:numPr>
        <w:rPr>
          <w:lang w:val="en-CA"/>
        </w:rPr>
      </w:pPr>
      <w:r w:rsidRPr="00A33306">
        <w:rPr>
          <w:b/>
          <w:bCs/>
          <w:lang w:val="en-CA"/>
        </w:rPr>
        <w:t>Reproducibility</w:t>
      </w:r>
      <w:r w:rsidRPr="00A33306">
        <w:rPr>
          <w:lang w:val="en-CA"/>
        </w:rPr>
        <w:t xml:space="preserve">: Both languages support reproducible workflows via </w:t>
      </w:r>
      <w:proofErr w:type="spellStart"/>
      <w:r w:rsidRPr="00A33306">
        <w:rPr>
          <w:lang w:val="en-CA"/>
        </w:rPr>
        <w:t>RMarkdown</w:t>
      </w:r>
      <w:proofErr w:type="spellEnd"/>
      <w:r w:rsidRPr="00A33306">
        <w:rPr>
          <w:lang w:val="en-CA"/>
        </w:rPr>
        <w:t xml:space="preserve"> or </w:t>
      </w:r>
      <w:proofErr w:type="spellStart"/>
      <w:r w:rsidRPr="00A33306">
        <w:rPr>
          <w:lang w:val="en-CA"/>
        </w:rPr>
        <w:t>Jupyter</w:t>
      </w:r>
      <w:proofErr w:type="spellEnd"/>
      <w:r w:rsidRPr="00A33306">
        <w:rPr>
          <w:lang w:val="en-CA"/>
        </w:rPr>
        <w:t xml:space="preserve"> notebooks. R has stronger community standards in bioinformatics, but Python allows for better integration with downstream machine learning or multi-omics platforms.</w:t>
      </w:r>
    </w:p>
    <w:p w14:paraId="1ABA59CE" w14:textId="77777777" w:rsidR="00A33306" w:rsidRPr="00A33306" w:rsidRDefault="00A33306" w:rsidP="00A33306">
      <w:pPr>
        <w:numPr>
          <w:ilvl w:val="0"/>
          <w:numId w:val="32"/>
        </w:numPr>
        <w:rPr>
          <w:lang w:val="en-CA"/>
        </w:rPr>
      </w:pPr>
      <w:r w:rsidRPr="00A33306">
        <w:rPr>
          <w:b/>
          <w:bCs/>
          <w:lang w:val="en-CA"/>
        </w:rPr>
        <w:t>Limitations</w:t>
      </w:r>
      <w:r w:rsidRPr="00A33306">
        <w:rPr>
          <w:lang w:val="en-CA"/>
        </w:rPr>
        <w:t>: While pyDESeq2 is a promising tool, it may not yet match the full feature set and stability of R’s DESeq2. Similarly, enrichment tools in Python often rely on external APIs, which can affect reproducibility.</w:t>
      </w:r>
    </w:p>
    <w:p w14:paraId="7A14031B" w14:textId="77777777" w:rsidR="00A33306" w:rsidRPr="00A33306" w:rsidRDefault="00A33306" w:rsidP="00A33306">
      <w:pPr>
        <w:rPr>
          <w:lang w:val="en-CA"/>
        </w:rPr>
      </w:pPr>
      <w:r w:rsidRPr="00A33306">
        <w:rPr>
          <w:lang w:val="en-CA"/>
        </w:rPr>
        <w:t>Ultimately, choice of platform should reflect the user’s broader goals, tool familiarity, and the intended integration with downstream analytics.</w:t>
      </w:r>
    </w:p>
    <w:p w14:paraId="43589045" w14:textId="77777777" w:rsidR="00DD3DB5" w:rsidRDefault="00DD3DB5"/>
    <w:p w14:paraId="3F524168" w14:textId="70DC4D13" w:rsidR="00DD3DB5" w:rsidRDefault="00DD3DB5" w:rsidP="00DD3DB5">
      <w:pPr>
        <w:pStyle w:val="Heading1"/>
      </w:pPr>
      <w:r>
        <w:t>9. Conclusion</w:t>
      </w:r>
    </w:p>
    <w:p w14:paraId="52240F44" w14:textId="77777777" w:rsidR="00A33306" w:rsidRDefault="00A33306" w:rsidP="00A33306">
      <w:pPr>
        <w:rPr>
          <w:lang w:val="en-CA"/>
        </w:rPr>
      </w:pPr>
      <w:r w:rsidRPr="00A33306">
        <w:rPr>
          <w:lang w:val="en-CA"/>
        </w:rPr>
        <w:t>This white paper presented a reproducible RNA-seq differential expression pipeline in both R and Python using mouse salivary gland data after radiation exposure. Despite differences in implementation and toolsets, both pipelines produced consistent biological signals with high agreement on DEGs and pathway enrichment.</w:t>
      </w:r>
    </w:p>
    <w:p w14:paraId="5F3A1C15" w14:textId="77777777" w:rsidR="008079A6" w:rsidRPr="00A33306" w:rsidRDefault="008079A6" w:rsidP="00A33306">
      <w:pPr>
        <w:rPr>
          <w:lang w:val="en-CA"/>
        </w:rPr>
      </w:pPr>
    </w:p>
    <w:p w14:paraId="4C6A7F44" w14:textId="2CBC2AE6" w:rsidR="00A33306" w:rsidRDefault="00A33306" w:rsidP="00A33306">
      <w:pPr>
        <w:rPr>
          <w:lang w:val="en-CA"/>
        </w:rPr>
      </w:pPr>
      <w:r w:rsidRPr="00A33306">
        <w:rPr>
          <w:lang w:val="en-CA"/>
        </w:rPr>
        <w:t xml:space="preserve">By </w:t>
      </w:r>
      <w:r w:rsidR="008079A6" w:rsidRPr="00A33306">
        <w:rPr>
          <w:lang w:val="en-CA"/>
        </w:rPr>
        <w:t>comparing</w:t>
      </w:r>
      <w:r w:rsidRPr="00A33306">
        <w:rPr>
          <w:lang w:val="en-CA"/>
        </w:rPr>
        <w:t xml:space="preserve"> these parallel analyses, we demonstrate that both R and Python offer reliable approaches to transcriptomic analysis. R’s ecosystem remains the standard for bioinformatics, but Python’s growing libraries allow seamless integration into machine learning workflows.</w:t>
      </w:r>
    </w:p>
    <w:p w14:paraId="7273A8F6" w14:textId="77777777" w:rsidR="00A33306" w:rsidRPr="00A33306" w:rsidRDefault="00A33306" w:rsidP="00A33306">
      <w:pPr>
        <w:rPr>
          <w:lang w:val="en-CA"/>
        </w:rPr>
      </w:pPr>
    </w:p>
    <w:p w14:paraId="2CA12C32" w14:textId="77777777" w:rsidR="00A33306" w:rsidRPr="00A33306" w:rsidRDefault="00A33306" w:rsidP="00A33306">
      <w:pPr>
        <w:rPr>
          <w:lang w:val="en-CA"/>
        </w:rPr>
      </w:pPr>
      <w:r w:rsidRPr="00A33306">
        <w:rPr>
          <w:lang w:val="en-CA"/>
        </w:rPr>
        <w:t>Ultimately, language choice should reflect team expertise, existing infrastructure, and analytical goals. When validated appropriately, either approach can uncover meaningful biological insight.</w:t>
      </w:r>
    </w:p>
    <w:p w14:paraId="1C686E3D" w14:textId="77777777" w:rsidR="00DD3DB5" w:rsidRDefault="00DD3DB5"/>
    <w:p w14:paraId="12AAC6F4" w14:textId="57143495" w:rsidR="00250F92" w:rsidRDefault="00250F92">
      <w:r w:rsidRPr="00250F92">
        <w:t>Future work may explore expanding this dual-pipeline approach to multi-omics integration, enabling broader comparisons across data types and toolchains.</w:t>
      </w:r>
    </w:p>
    <w:p w14:paraId="2CC7AEA2" w14:textId="77777777" w:rsidR="00DD3DB5" w:rsidRDefault="00DD3DB5"/>
    <w:p w14:paraId="33E95479" w14:textId="77777777" w:rsidR="00250F92" w:rsidRDefault="00250F92">
      <w:pPr>
        <w:pStyle w:val="Heading1"/>
        <w:keepNext w:val="0"/>
        <w:keepLines w:val="0"/>
        <w:spacing w:before="280"/>
      </w:pPr>
      <w:bookmarkStart w:id="4" w:name="_t2d4k55yo7jz" w:colFirst="0" w:colLast="0"/>
      <w:bookmarkEnd w:id="4"/>
    </w:p>
    <w:p w14:paraId="7C82C1A1" w14:textId="277AFA84" w:rsidR="006E5DBA" w:rsidRDefault="00DD3DB5">
      <w:pPr>
        <w:pStyle w:val="Heading1"/>
        <w:keepNext w:val="0"/>
        <w:keepLines w:val="0"/>
        <w:spacing w:before="280"/>
      </w:pPr>
      <w:r>
        <w:lastRenderedPageBreak/>
        <w:t>10. References</w:t>
      </w:r>
    </w:p>
    <w:p w14:paraId="3F4B2663" w14:textId="77777777" w:rsidR="006E5DBA" w:rsidRDefault="006E5DBA"/>
    <w:p w14:paraId="410C8931" w14:textId="77777777" w:rsidR="006E5DBA" w:rsidRDefault="00000000">
      <w:r>
        <w:t xml:space="preserve">Byron, S. A., Van Keuren-Jensen, K. R., </w:t>
      </w:r>
      <w:proofErr w:type="spellStart"/>
      <w:r>
        <w:t>Engelthaler</w:t>
      </w:r>
      <w:proofErr w:type="spellEnd"/>
      <w:r>
        <w:t xml:space="preserve">, D. M., </w:t>
      </w:r>
      <w:proofErr w:type="spellStart"/>
      <w:r>
        <w:t>Carpten</w:t>
      </w:r>
      <w:proofErr w:type="spellEnd"/>
      <w:r>
        <w:t xml:space="preserve">, J. D., &amp; Craig, D. W. (2016). Translating RNA sequencing into clinical diagnostics: Opportunities and challenges. </w:t>
      </w:r>
      <w:r>
        <w:rPr>
          <w:i/>
        </w:rPr>
        <w:t>Nature Reviews Genetics, 17</w:t>
      </w:r>
      <w:r>
        <w:t xml:space="preserve">(5), 257–271. </w:t>
      </w:r>
      <w:hyperlink r:id="rId13">
        <w:r w:rsidR="006E5DBA">
          <w:rPr>
            <w:color w:val="1155CC"/>
            <w:u w:val="single"/>
          </w:rPr>
          <w:t>https://doi.org/10.1038/nrg.2016.10</w:t>
        </w:r>
      </w:hyperlink>
      <w:r>
        <w:t xml:space="preserve"> </w:t>
      </w:r>
      <w:r>
        <w:br/>
      </w:r>
    </w:p>
    <w:p w14:paraId="18F805DA" w14:textId="77777777" w:rsidR="006E5DBA" w:rsidRDefault="00000000">
      <w:r>
        <w:t xml:space="preserve">Conesa, A., Madrigal, P., Tarazona, S., Gomez-Cabrero, D., Cervera, A., McPherson, A., ... &amp; Mortazavi, A. (2016). A survey of </w:t>
      </w:r>
      <w:proofErr w:type="gramStart"/>
      <w:r>
        <w:t>best</w:t>
      </w:r>
      <w:proofErr w:type="gramEnd"/>
      <w:r>
        <w:t xml:space="preserve"> practices for RNA-seq data analysis. </w:t>
      </w:r>
      <w:r>
        <w:rPr>
          <w:i/>
        </w:rPr>
        <w:t>Genome Biology, 17</w:t>
      </w:r>
      <w:r>
        <w:t xml:space="preserve">, 13. </w:t>
      </w:r>
      <w:hyperlink r:id="rId14">
        <w:r w:rsidR="006E5DBA">
          <w:rPr>
            <w:color w:val="1155CC"/>
            <w:u w:val="single"/>
          </w:rPr>
          <w:t>https://doi.org/10.1186/s13059-016-0881-8</w:t>
        </w:r>
      </w:hyperlink>
      <w:r>
        <w:t xml:space="preserve"> </w:t>
      </w:r>
    </w:p>
    <w:p w14:paraId="2264C5F8" w14:textId="77777777" w:rsidR="006E5DBA" w:rsidRDefault="006E5DBA"/>
    <w:p w14:paraId="0F0B6E7F" w14:textId="77777777" w:rsidR="006E5DBA" w:rsidRDefault="00000000">
      <w:pPr>
        <w:rPr>
          <w:color w:val="1155CC"/>
          <w:u w:val="single"/>
        </w:rPr>
      </w:pPr>
      <w:r>
        <w:t xml:space="preserve">Meeks, L. M., de Oliveira Pessoa, D., Martinez, J. A., Limesand, K. H., &amp; Padi, M. (2021). </w:t>
      </w:r>
      <w:r>
        <w:rPr>
          <w:i/>
        </w:rPr>
        <w:t>Integrating metabolomics and transcriptomics reveals convergent pathways driving radiation-induced salivary gland dysfunction</w:t>
      </w:r>
      <w:r>
        <w:t xml:space="preserve"> [Data set]. NCBI Gene Expression Omnibus.</w:t>
      </w:r>
      <w:hyperlink r:id="rId15">
        <w:r w:rsidR="006E5DBA">
          <w:t xml:space="preserve"> </w:t>
        </w:r>
      </w:hyperlink>
      <w:hyperlink r:id="rId16">
        <w:r w:rsidR="006E5DBA">
          <w:rPr>
            <w:color w:val="1155CC"/>
            <w:u w:val="single"/>
          </w:rPr>
          <w:t>https://www.ncbi.nlm.nih.gov/geo/query/acc.cgi?acc=GSE155902</w:t>
        </w:r>
      </w:hyperlink>
      <w:r>
        <w:t>​</w:t>
      </w:r>
      <w:hyperlink r:id="rId17">
        <w:r w:rsidR="006E5DBA">
          <w:rPr>
            <w:color w:val="1155CC"/>
            <w:u w:val="single"/>
          </w:rPr>
          <w:t>NCBI+1PMC+1</w:t>
        </w:r>
        <w:r w:rsidR="006E5DBA">
          <w:rPr>
            <w:color w:val="1155CC"/>
            <w:u w:val="single"/>
          </w:rPr>
          <w:br/>
        </w:r>
      </w:hyperlink>
    </w:p>
    <w:p w14:paraId="449AC8D7" w14:textId="77777777" w:rsidR="006E5DBA" w:rsidRDefault="00000000">
      <w:pPr>
        <w:rPr>
          <w:color w:val="1155CC"/>
          <w:u w:val="single"/>
        </w:rPr>
      </w:pPr>
      <w:r>
        <w:t xml:space="preserve">Meeks, L. M., de Oliveira Pessoa, D., Martinez, J. A., Limesand, K. H., &amp; Padi, M. (2020). </w:t>
      </w:r>
      <w:r>
        <w:rPr>
          <w:i/>
        </w:rPr>
        <w:t>Supplementary data for integrating metabolomics and transcriptomics reveals convergent pathways driving radiation-induced salivary gland dysfunction</w:t>
      </w:r>
      <w:r>
        <w:t xml:space="preserve"> [Data set]. Zenodo.</w:t>
      </w:r>
      <w:hyperlink r:id="rId18">
        <w:r w:rsidR="006E5DBA">
          <w:t xml:space="preserve"> </w:t>
        </w:r>
      </w:hyperlink>
      <w:hyperlink r:id="rId19">
        <w:r w:rsidR="006E5DBA">
          <w:rPr>
            <w:color w:val="1155CC"/>
            <w:u w:val="single"/>
          </w:rPr>
          <w:t>https://doi.org/10.5281/zenodo.4391402</w:t>
        </w:r>
      </w:hyperlink>
    </w:p>
    <w:p w14:paraId="7AA80932" w14:textId="77777777" w:rsidR="006E5DBA" w:rsidRDefault="006E5DBA">
      <w:bookmarkStart w:id="5" w:name="_on2hxuphx7hh" w:colFirst="0" w:colLast="0"/>
      <w:bookmarkStart w:id="6" w:name="_80f620aidfoh" w:colFirst="0" w:colLast="0"/>
      <w:bookmarkStart w:id="7" w:name="_a3y2kap8tp9x" w:colFirst="0" w:colLast="0"/>
      <w:bookmarkStart w:id="8" w:name="_x021nqy9br6b" w:colFirst="0" w:colLast="0"/>
      <w:bookmarkEnd w:id="5"/>
      <w:bookmarkEnd w:id="6"/>
      <w:bookmarkEnd w:id="7"/>
      <w:bookmarkEnd w:id="8"/>
    </w:p>
    <w:sectPr w:rsidR="006E5D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7C55DA0-43DB-406E-A1FD-5BE0BAC9989C}"/>
  </w:font>
  <w:font w:name="Cambria">
    <w:panose1 w:val="02040503050406030204"/>
    <w:charset w:val="00"/>
    <w:family w:val="roman"/>
    <w:pitch w:val="variable"/>
    <w:sig w:usb0="E00006FF" w:usb1="420024FF" w:usb2="02000000" w:usb3="00000000" w:csb0="0000019F" w:csb1="00000000"/>
    <w:embedRegular r:id="rId2" w:fontKey="{10BDAA08-218E-4741-AF34-BFA01E328E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569DB"/>
    <w:multiLevelType w:val="multilevel"/>
    <w:tmpl w:val="9594E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71579"/>
    <w:multiLevelType w:val="hybridMultilevel"/>
    <w:tmpl w:val="D3364F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8D013F"/>
    <w:multiLevelType w:val="multilevel"/>
    <w:tmpl w:val="0AE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5309E"/>
    <w:multiLevelType w:val="hybridMultilevel"/>
    <w:tmpl w:val="927665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C408F4"/>
    <w:multiLevelType w:val="multilevel"/>
    <w:tmpl w:val="5C82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03381"/>
    <w:multiLevelType w:val="multilevel"/>
    <w:tmpl w:val="0F963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2D30E5"/>
    <w:multiLevelType w:val="multilevel"/>
    <w:tmpl w:val="D8B65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AE76D9"/>
    <w:multiLevelType w:val="multilevel"/>
    <w:tmpl w:val="700AB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2204D"/>
    <w:multiLevelType w:val="multilevel"/>
    <w:tmpl w:val="E8164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9D580B"/>
    <w:multiLevelType w:val="multilevel"/>
    <w:tmpl w:val="EF86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57511B"/>
    <w:multiLevelType w:val="hybridMultilevel"/>
    <w:tmpl w:val="9DEE63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2454618"/>
    <w:multiLevelType w:val="multilevel"/>
    <w:tmpl w:val="982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87D48"/>
    <w:multiLevelType w:val="multilevel"/>
    <w:tmpl w:val="2A96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D746A"/>
    <w:multiLevelType w:val="hybridMultilevel"/>
    <w:tmpl w:val="B13826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48C26CF2"/>
    <w:multiLevelType w:val="hybridMultilevel"/>
    <w:tmpl w:val="BB6A85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B1B0369"/>
    <w:multiLevelType w:val="multilevel"/>
    <w:tmpl w:val="E3B4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458F7"/>
    <w:multiLevelType w:val="hybridMultilevel"/>
    <w:tmpl w:val="83BA0A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F401AF3"/>
    <w:multiLevelType w:val="multilevel"/>
    <w:tmpl w:val="2736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4C298C"/>
    <w:multiLevelType w:val="multilevel"/>
    <w:tmpl w:val="3002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C59E5"/>
    <w:multiLevelType w:val="multilevel"/>
    <w:tmpl w:val="C1C08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78424F"/>
    <w:multiLevelType w:val="multilevel"/>
    <w:tmpl w:val="2D4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B47F1"/>
    <w:multiLevelType w:val="multilevel"/>
    <w:tmpl w:val="4E5E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D62EF4"/>
    <w:multiLevelType w:val="hybridMultilevel"/>
    <w:tmpl w:val="04A2FF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2122847"/>
    <w:multiLevelType w:val="hybridMultilevel"/>
    <w:tmpl w:val="BD4E07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2E70D29"/>
    <w:multiLevelType w:val="multilevel"/>
    <w:tmpl w:val="38463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41402D"/>
    <w:multiLevelType w:val="multilevel"/>
    <w:tmpl w:val="876CB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CB11BC"/>
    <w:multiLevelType w:val="multilevel"/>
    <w:tmpl w:val="3A983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0B577B"/>
    <w:multiLevelType w:val="multilevel"/>
    <w:tmpl w:val="A85C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E1757"/>
    <w:multiLevelType w:val="multilevel"/>
    <w:tmpl w:val="2E46B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631E94"/>
    <w:multiLevelType w:val="multilevel"/>
    <w:tmpl w:val="B96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D0635D"/>
    <w:multiLevelType w:val="multilevel"/>
    <w:tmpl w:val="46EA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6363DD"/>
    <w:multiLevelType w:val="hybridMultilevel"/>
    <w:tmpl w:val="C1BA91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93290757">
    <w:abstractNumId w:val="6"/>
  </w:num>
  <w:num w:numId="2" w16cid:durableId="1051152510">
    <w:abstractNumId w:val="5"/>
  </w:num>
  <w:num w:numId="3" w16cid:durableId="1148203417">
    <w:abstractNumId w:val="30"/>
  </w:num>
  <w:num w:numId="4" w16cid:durableId="1562671800">
    <w:abstractNumId w:val="26"/>
  </w:num>
  <w:num w:numId="5" w16cid:durableId="146940474">
    <w:abstractNumId w:val="9"/>
  </w:num>
  <w:num w:numId="6" w16cid:durableId="1795247880">
    <w:abstractNumId w:val="8"/>
  </w:num>
  <w:num w:numId="7" w16cid:durableId="923611034">
    <w:abstractNumId w:val="28"/>
  </w:num>
  <w:num w:numId="8" w16cid:durableId="1792701209">
    <w:abstractNumId w:val="24"/>
  </w:num>
  <w:num w:numId="9" w16cid:durableId="1593315154">
    <w:abstractNumId w:val="25"/>
  </w:num>
  <w:num w:numId="10" w16cid:durableId="1912235171">
    <w:abstractNumId w:val="1"/>
  </w:num>
  <w:num w:numId="11" w16cid:durableId="124203438">
    <w:abstractNumId w:val="21"/>
  </w:num>
  <w:num w:numId="12" w16cid:durableId="192572896">
    <w:abstractNumId w:val="2"/>
  </w:num>
  <w:num w:numId="13" w16cid:durableId="1147431117">
    <w:abstractNumId w:val="16"/>
  </w:num>
  <w:num w:numId="14" w16cid:durableId="1997025741">
    <w:abstractNumId w:val="27"/>
  </w:num>
  <w:num w:numId="15" w16cid:durableId="310672799">
    <w:abstractNumId w:val="3"/>
  </w:num>
  <w:num w:numId="16" w16cid:durableId="482818835">
    <w:abstractNumId w:val="15"/>
  </w:num>
  <w:num w:numId="17" w16cid:durableId="1987859070">
    <w:abstractNumId w:val="7"/>
  </w:num>
  <w:num w:numId="18" w16cid:durableId="1358114958">
    <w:abstractNumId w:val="4"/>
  </w:num>
  <w:num w:numId="19" w16cid:durableId="671107326">
    <w:abstractNumId w:val="0"/>
  </w:num>
  <w:num w:numId="20" w16cid:durableId="1713731904">
    <w:abstractNumId w:val="17"/>
  </w:num>
  <w:num w:numId="21" w16cid:durableId="1013605492">
    <w:abstractNumId w:val="19"/>
  </w:num>
  <w:num w:numId="22" w16cid:durableId="621349430">
    <w:abstractNumId w:val="22"/>
  </w:num>
  <w:num w:numId="23" w16cid:durableId="1718428531">
    <w:abstractNumId w:val="10"/>
  </w:num>
  <w:num w:numId="24" w16cid:durableId="1430388764">
    <w:abstractNumId w:val="11"/>
  </w:num>
  <w:num w:numId="25" w16cid:durableId="1345277668">
    <w:abstractNumId w:val="20"/>
  </w:num>
  <w:num w:numId="26" w16cid:durableId="503862404">
    <w:abstractNumId w:val="12"/>
  </w:num>
  <w:num w:numId="27" w16cid:durableId="1865747369">
    <w:abstractNumId w:val="29"/>
  </w:num>
  <w:num w:numId="28" w16cid:durableId="1909027916">
    <w:abstractNumId w:val="23"/>
  </w:num>
  <w:num w:numId="29" w16cid:durableId="84423375">
    <w:abstractNumId w:val="31"/>
  </w:num>
  <w:num w:numId="30" w16cid:durableId="314140286">
    <w:abstractNumId w:val="13"/>
  </w:num>
  <w:num w:numId="31" w16cid:durableId="1928466174">
    <w:abstractNumId w:val="14"/>
  </w:num>
  <w:num w:numId="32" w16cid:durableId="6103613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DBA"/>
    <w:rsid w:val="00076D82"/>
    <w:rsid w:val="00250F92"/>
    <w:rsid w:val="003C3D1C"/>
    <w:rsid w:val="004543FE"/>
    <w:rsid w:val="006E5DBA"/>
    <w:rsid w:val="00802205"/>
    <w:rsid w:val="008079A6"/>
    <w:rsid w:val="00A33306"/>
    <w:rsid w:val="00B14982"/>
    <w:rsid w:val="00B50355"/>
    <w:rsid w:val="00CC2549"/>
    <w:rsid w:val="00DD3DB5"/>
    <w:rsid w:val="00FB0F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2A43"/>
  <w15:docId w15:val="{24147934-7BBB-4755-B2EF-087C335EB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14982"/>
    <w:pPr>
      <w:ind w:left="720"/>
      <w:contextualSpacing/>
    </w:pPr>
  </w:style>
  <w:style w:type="paragraph" w:styleId="NormalWeb">
    <w:name w:val="Normal (Web)"/>
    <w:basedOn w:val="Normal"/>
    <w:uiPriority w:val="99"/>
    <w:semiHidden/>
    <w:unhideWhenUsed/>
    <w:rsid w:val="00B14982"/>
    <w:pPr>
      <w:spacing w:before="100" w:beforeAutospacing="1" w:after="100" w:afterAutospacing="1" w:line="240" w:lineRule="auto"/>
    </w:pPr>
    <w:rPr>
      <w:rFonts w:ascii="Times New Roman" w:eastAsia="Times New Roman" w:hAnsi="Times New Roman" w:cs="Times New Roman"/>
      <w:sz w:val="24"/>
      <w:szCs w:val="24"/>
      <w:lang w:val="en-CA"/>
    </w:rPr>
  </w:style>
  <w:style w:type="table" w:styleId="TableGrid">
    <w:name w:val="Table Grid"/>
    <w:basedOn w:val="TableNormal"/>
    <w:uiPriority w:val="39"/>
    <w:rsid w:val="003C3D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4135">
      <w:bodyDiv w:val="1"/>
      <w:marLeft w:val="0"/>
      <w:marRight w:val="0"/>
      <w:marTop w:val="0"/>
      <w:marBottom w:val="0"/>
      <w:divBdr>
        <w:top w:val="none" w:sz="0" w:space="0" w:color="auto"/>
        <w:left w:val="none" w:sz="0" w:space="0" w:color="auto"/>
        <w:bottom w:val="none" w:sz="0" w:space="0" w:color="auto"/>
        <w:right w:val="none" w:sz="0" w:space="0" w:color="auto"/>
      </w:divBdr>
    </w:div>
    <w:div w:id="26177456">
      <w:bodyDiv w:val="1"/>
      <w:marLeft w:val="0"/>
      <w:marRight w:val="0"/>
      <w:marTop w:val="0"/>
      <w:marBottom w:val="0"/>
      <w:divBdr>
        <w:top w:val="none" w:sz="0" w:space="0" w:color="auto"/>
        <w:left w:val="none" w:sz="0" w:space="0" w:color="auto"/>
        <w:bottom w:val="none" w:sz="0" w:space="0" w:color="auto"/>
        <w:right w:val="none" w:sz="0" w:space="0" w:color="auto"/>
      </w:divBdr>
    </w:div>
    <w:div w:id="29497641">
      <w:bodyDiv w:val="1"/>
      <w:marLeft w:val="0"/>
      <w:marRight w:val="0"/>
      <w:marTop w:val="0"/>
      <w:marBottom w:val="0"/>
      <w:divBdr>
        <w:top w:val="none" w:sz="0" w:space="0" w:color="auto"/>
        <w:left w:val="none" w:sz="0" w:space="0" w:color="auto"/>
        <w:bottom w:val="none" w:sz="0" w:space="0" w:color="auto"/>
        <w:right w:val="none" w:sz="0" w:space="0" w:color="auto"/>
      </w:divBdr>
    </w:div>
    <w:div w:id="56439792">
      <w:bodyDiv w:val="1"/>
      <w:marLeft w:val="0"/>
      <w:marRight w:val="0"/>
      <w:marTop w:val="0"/>
      <w:marBottom w:val="0"/>
      <w:divBdr>
        <w:top w:val="none" w:sz="0" w:space="0" w:color="auto"/>
        <w:left w:val="none" w:sz="0" w:space="0" w:color="auto"/>
        <w:bottom w:val="none" w:sz="0" w:space="0" w:color="auto"/>
        <w:right w:val="none" w:sz="0" w:space="0" w:color="auto"/>
      </w:divBdr>
    </w:div>
    <w:div w:id="60258336">
      <w:bodyDiv w:val="1"/>
      <w:marLeft w:val="0"/>
      <w:marRight w:val="0"/>
      <w:marTop w:val="0"/>
      <w:marBottom w:val="0"/>
      <w:divBdr>
        <w:top w:val="none" w:sz="0" w:space="0" w:color="auto"/>
        <w:left w:val="none" w:sz="0" w:space="0" w:color="auto"/>
        <w:bottom w:val="none" w:sz="0" w:space="0" w:color="auto"/>
        <w:right w:val="none" w:sz="0" w:space="0" w:color="auto"/>
      </w:divBdr>
    </w:div>
    <w:div w:id="95367013">
      <w:bodyDiv w:val="1"/>
      <w:marLeft w:val="0"/>
      <w:marRight w:val="0"/>
      <w:marTop w:val="0"/>
      <w:marBottom w:val="0"/>
      <w:divBdr>
        <w:top w:val="none" w:sz="0" w:space="0" w:color="auto"/>
        <w:left w:val="none" w:sz="0" w:space="0" w:color="auto"/>
        <w:bottom w:val="none" w:sz="0" w:space="0" w:color="auto"/>
        <w:right w:val="none" w:sz="0" w:space="0" w:color="auto"/>
      </w:divBdr>
      <w:divsChild>
        <w:div w:id="377978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10638">
      <w:bodyDiv w:val="1"/>
      <w:marLeft w:val="0"/>
      <w:marRight w:val="0"/>
      <w:marTop w:val="0"/>
      <w:marBottom w:val="0"/>
      <w:divBdr>
        <w:top w:val="none" w:sz="0" w:space="0" w:color="auto"/>
        <w:left w:val="none" w:sz="0" w:space="0" w:color="auto"/>
        <w:bottom w:val="none" w:sz="0" w:space="0" w:color="auto"/>
        <w:right w:val="none" w:sz="0" w:space="0" w:color="auto"/>
      </w:divBdr>
    </w:div>
    <w:div w:id="102000374">
      <w:bodyDiv w:val="1"/>
      <w:marLeft w:val="0"/>
      <w:marRight w:val="0"/>
      <w:marTop w:val="0"/>
      <w:marBottom w:val="0"/>
      <w:divBdr>
        <w:top w:val="none" w:sz="0" w:space="0" w:color="auto"/>
        <w:left w:val="none" w:sz="0" w:space="0" w:color="auto"/>
        <w:bottom w:val="none" w:sz="0" w:space="0" w:color="auto"/>
        <w:right w:val="none" w:sz="0" w:space="0" w:color="auto"/>
      </w:divBdr>
    </w:div>
    <w:div w:id="154080231">
      <w:bodyDiv w:val="1"/>
      <w:marLeft w:val="0"/>
      <w:marRight w:val="0"/>
      <w:marTop w:val="0"/>
      <w:marBottom w:val="0"/>
      <w:divBdr>
        <w:top w:val="none" w:sz="0" w:space="0" w:color="auto"/>
        <w:left w:val="none" w:sz="0" w:space="0" w:color="auto"/>
        <w:bottom w:val="none" w:sz="0" w:space="0" w:color="auto"/>
        <w:right w:val="none" w:sz="0" w:space="0" w:color="auto"/>
      </w:divBdr>
    </w:div>
    <w:div w:id="208885928">
      <w:bodyDiv w:val="1"/>
      <w:marLeft w:val="0"/>
      <w:marRight w:val="0"/>
      <w:marTop w:val="0"/>
      <w:marBottom w:val="0"/>
      <w:divBdr>
        <w:top w:val="none" w:sz="0" w:space="0" w:color="auto"/>
        <w:left w:val="none" w:sz="0" w:space="0" w:color="auto"/>
        <w:bottom w:val="none" w:sz="0" w:space="0" w:color="auto"/>
        <w:right w:val="none" w:sz="0" w:space="0" w:color="auto"/>
      </w:divBdr>
    </w:div>
    <w:div w:id="269095684">
      <w:bodyDiv w:val="1"/>
      <w:marLeft w:val="0"/>
      <w:marRight w:val="0"/>
      <w:marTop w:val="0"/>
      <w:marBottom w:val="0"/>
      <w:divBdr>
        <w:top w:val="none" w:sz="0" w:space="0" w:color="auto"/>
        <w:left w:val="none" w:sz="0" w:space="0" w:color="auto"/>
        <w:bottom w:val="none" w:sz="0" w:space="0" w:color="auto"/>
        <w:right w:val="none" w:sz="0" w:space="0" w:color="auto"/>
      </w:divBdr>
    </w:div>
    <w:div w:id="269435623">
      <w:bodyDiv w:val="1"/>
      <w:marLeft w:val="0"/>
      <w:marRight w:val="0"/>
      <w:marTop w:val="0"/>
      <w:marBottom w:val="0"/>
      <w:divBdr>
        <w:top w:val="none" w:sz="0" w:space="0" w:color="auto"/>
        <w:left w:val="none" w:sz="0" w:space="0" w:color="auto"/>
        <w:bottom w:val="none" w:sz="0" w:space="0" w:color="auto"/>
        <w:right w:val="none" w:sz="0" w:space="0" w:color="auto"/>
      </w:divBdr>
    </w:div>
    <w:div w:id="350422274">
      <w:bodyDiv w:val="1"/>
      <w:marLeft w:val="0"/>
      <w:marRight w:val="0"/>
      <w:marTop w:val="0"/>
      <w:marBottom w:val="0"/>
      <w:divBdr>
        <w:top w:val="none" w:sz="0" w:space="0" w:color="auto"/>
        <w:left w:val="none" w:sz="0" w:space="0" w:color="auto"/>
        <w:bottom w:val="none" w:sz="0" w:space="0" w:color="auto"/>
        <w:right w:val="none" w:sz="0" w:space="0" w:color="auto"/>
      </w:divBdr>
    </w:div>
    <w:div w:id="371809638">
      <w:bodyDiv w:val="1"/>
      <w:marLeft w:val="0"/>
      <w:marRight w:val="0"/>
      <w:marTop w:val="0"/>
      <w:marBottom w:val="0"/>
      <w:divBdr>
        <w:top w:val="none" w:sz="0" w:space="0" w:color="auto"/>
        <w:left w:val="none" w:sz="0" w:space="0" w:color="auto"/>
        <w:bottom w:val="none" w:sz="0" w:space="0" w:color="auto"/>
        <w:right w:val="none" w:sz="0" w:space="0" w:color="auto"/>
      </w:divBdr>
    </w:div>
    <w:div w:id="411511162">
      <w:bodyDiv w:val="1"/>
      <w:marLeft w:val="0"/>
      <w:marRight w:val="0"/>
      <w:marTop w:val="0"/>
      <w:marBottom w:val="0"/>
      <w:divBdr>
        <w:top w:val="none" w:sz="0" w:space="0" w:color="auto"/>
        <w:left w:val="none" w:sz="0" w:space="0" w:color="auto"/>
        <w:bottom w:val="none" w:sz="0" w:space="0" w:color="auto"/>
        <w:right w:val="none" w:sz="0" w:space="0" w:color="auto"/>
      </w:divBdr>
    </w:div>
    <w:div w:id="485244878">
      <w:bodyDiv w:val="1"/>
      <w:marLeft w:val="0"/>
      <w:marRight w:val="0"/>
      <w:marTop w:val="0"/>
      <w:marBottom w:val="0"/>
      <w:divBdr>
        <w:top w:val="none" w:sz="0" w:space="0" w:color="auto"/>
        <w:left w:val="none" w:sz="0" w:space="0" w:color="auto"/>
        <w:bottom w:val="none" w:sz="0" w:space="0" w:color="auto"/>
        <w:right w:val="none" w:sz="0" w:space="0" w:color="auto"/>
      </w:divBdr>
    </w:div>
    <w:div w:id="631325538">
      <w:bodyDiv w:val="1"/>
      <w:marLeft w:val="0"/>
      <w:marRight w:val="0"/>
      <w:marTop w:val="0"/>
      <w:marBottom w:val="0"/>
      <w:divBdr>
        <w:top w:val="none" w:sz="0" w:space="0" w:color="auto"/>
        <w:left w:val="none" w:sz="0" w:space="0" w:color="auto"/>
        <w:bottom w:val="none" w:sz="0" w:space="0" w:color="auto"/>
        <w:right w:val="none" w:sz="0" w:space="0" w:color="auto"/>
      </w:divBdr>
      <w:divsChild>
        <w:div w:id="2108960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4237">
      <w:bodyDiv w:val="1"/>
      <w:marLeft w:val="0"/>
      <w:marRight w:val="0"/>
      <w:marTop w:val="0"/>
      <w:marBottom w:val="0"/>
      <w:divBdr>
        <w:top w:val="none" w:sz="0" w:space="0" w:color="auto"/>
        <w:left w:val="none" w:sz="0" w:space="0" w:color="auto"/>
        <w:bottom w:val="none" w:sz="0" w:space="0" w:color="auto"/>
        <w:right w:val="none" w:sz="0" w:space="0" w:color="auto"/>
      </w:divBdr>
    </w:div>
    <w:div w:id="695621416">
      <w:bodyDiv w:val="1"/>
      <w:marLeft w:val="0"/>
      <w:marRight w:val="0"/>
      <w:marTop w:val="0"/>
      <w:marBottom w:val="0"/>
      <w:divBdr>
        <w:top w:val="none" w:sz="0" w:space="0" w:color="auto"/>
        <w:left w:val="none" w:sz="0" w:space="0" w:color="auto"/>
        <w:bottom w:val="none" w:sz="0" w:space="0" w:color="auto"/>
        <w:right w:val="none" w:sz="0" w:space="0" w:color="auto"/>
      </w:divBdr>
      <w:divsChild>
        <w:div w:id="898050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078394">
      <w:bodyDiv w:val="1"/>
      <w:marLeft w:val="0"/>
      <w:marRight w:val="0"/>
      <w:marTop w:val="0"/>
      <w:marBottom w:val="0"/>
      <w:divBdr>
        <w:top w:val="none" w:sz="0" w:space="0" w:color="auto"/>
        <w:left w:val="none" w:sz="0" w:space="0" w:color="auto"/>
        <w:bottom w:val="none" w:sz="0" w:space="0" w:color="auto"/>
        <w:right w:val="none" w:sz="0" w:space="0" w:color="auto"/>
      </w:divBdr>
    </w:div>
    <w:div w:id="984699783">
      <w:bodyDiv w:val="1"/>
      <w:marLeft w:val="0"/>
      <w:marRight w:val="0"/>
      <w:marTop w:val="0"/>
      <w:marBottom w:val="0"/>
      <w:divBdr>
        <w:top w:val="none" w:sz="0" w:space="0" w:color="auto"/>
        <w:left w:val="none" w:sz="0" w:space="0" w:color="auto"/>
        <w:bottom w:val="none" w:sz="0" w:space="0" w:color="auto"/>
        <w:right w:val="none" w:sz="0" w:space="0" w:color="auto"/>
      </w:divBdr>
    </w:div>
    <w:div w:id="1075204058">
      <w:bodyDiv w:val="1"/>
      <w:marLeft w:val="0"/>
      <w:marRight w:val="0"/>
      <w:marTop w:val="0"/>
      <w:marBottom w:val="0"/>
      <w:divBdr>
        <w:top w:val="none" w:sz="0" w:space="0" w:color="auto"/>
        <w:left w:val="none" w:sz="0" w:space="0" w:color="auto"/>
        <w:bottom w:val="none" w:sz="0" w:space="0" w:color="auto"/>
        <w:right w:val="none" w:sz="0" w:space="0" w:color="auto"/>
      </w:divBdr>
    </w:div>
    <w:div w:id="1113014592">
      <w:bodyDiv w:val="1"/>
      <w:marLeft w:val="0"/>
      <w:marRight w:val="0"/>
      <w:marTop w:val="0"/>
      <w:marBottom w:val="0"/>
      <w:divBdr>
        <w:top w:val="none" w:sz="0" w:space="0" w:color="auto"/>
        <w:left w:val="none" w:sz="0" w:space="0" w:color="auto"/>
        <w:bottom w:val="none" w:sz="0" w:space="0" w:color="auto"/>
        <w:right w:val="none" w:sz="0" w:space="0" w:color="auto"/>
      </w:divBdr>
    </w:div>
    <w:div w:id="1211191900">
      <w:bodyDiv w:val="1"/>
      <w:marLeft w:val="0"/>
      <w:marRight w:val="0"/>
      <w:marTop w:val="0"/>
      <w:marBottom w:val="0"/>
      <w:divBdr>
        <w:top w:val="none" w:sz="0" w:space="0" w:color="auto"/>
        <w:left w:val="none" w:sz="0" w:space="0" w:color="auto"/>
        <w:bottom w:val="none" w:sz="0" w:space="0" w:color="auto"/>
        <w:right w:val="none" w:sz="0" w:space="0" w:color="auto"/>
      </w:divBdr>
    </w:div>
    <w:div w:id="1264804224">
      <w:bodyDiv w:val="1"/>
      <w:marLeft w:val="0"/>
      <w:marRight w:val="0"/>
      <w:marTop w:val="0"/>
      <w:marBottom w:val="0"/>
      <w:divBdr>
        <w:top w:val="none" w:sz="0" w:space="0" w:color="auto"/>
        <w:left w:val="none" w:sz="0" w:space="0" w:color="auto"/>
        <w:bottom w:val="none" w:sz="0" w:space="0" w:color="auto"/>
        <w:right w:val="none" w:sz="0" w:space="0" w:color="auto"/>
      </w:divBdr>
    </w:div>
    <w:div w:id="1273127944">
      <w:bodyDiv w:val="1"/>
      <w:marLeft w:val="0"/>
      <w:marRight w:val="0"/>
      <w:marTop w:val="0"/>
      <w:marBottom w:val="0"/>
      <w:divBdr>
        <w:top w:val="none" w:sz="0" w:space="0" w:color="auto"/>
        <w:left w:val="none" w:sz="0" w:space="0" w:color="auto"/>
        <w:bottom w:val="none" w:sz="0" w:space="0" w:color="auto"/>
        <w:right w:val="none" w:sz="0" w:space="0" w:color="auto"/>
      </w:divBdr>
    </w:div>
    <w:div w:id="1523282097">
      <w:bodyDiv w:val="1"/>
      <w:marLeft w:val="0"/>
      <w:marRight w:val="0"/>
      <w:marTop w:val="0"/>
      <w:marBottom w:val="0"/>
      <w:divBdr>
        <w:top w:val="none" w:sz="0" w:space="0" w:color="auto"/>
        <w:left w:val="none" w:sz="0" w:space="0" w:color="auto"/>
        <w:bottom w:val="none" w:sz="0" w:space="0" w:color="auto"/>
        <w:right w:val="none" w:sz="0" w:space="0" w:color="auto"/>
      </w:divBdr>
    </w:div>
    <w:div w:id="1525485675">
      <w:bodyDiv w:val="1"/>
      <w:marLeft w:val="0"/>
      <w:marRight w:val="0"/>
      <w:marTop w:val="0"/>
      <w:marBottom w:val="0"/>
      <w:divBdr>
        <w:top w:val="none" w:sz="0" w:space="0" w:color="auto"/>
        <w:left w:val="none" w:sz="0" w:space="0" w:color="auto"/>
        <w:bottom w:val="none" w:sz="0" w:space="0" w:color="auto"/>
        <w:right w:val="none" w:sz="0" w:space="0" w:color="auto"/>
      </w:divBdr>
    </w:div>
    <w:div w:id="1577009931">
      <w:bodyDiv w:val="1"/>
      <w:marLeft w:val="0"/>
      <w:marRight w:val="0"/>
      <w:marTop w:val="0"/>
      <w:marBottom w:val="0"/>
      <w:divBdr>
        <w:top w:val="none" w:sz="0" w:space="0" w:color="auto"/>
        <w:left w:val="none" w:sz="0" w:space="0" w:color="auto"/>
        <w:bottom w:val="none" w:sz="0" w:space="0" w:color="auto"/>
        <w:right w:val="none" w:sz="0" w:space="0" w:color="auto"/>
      </w:divBdr>
    </w:div>
    <w:div w:id="1708488111">
      <w:bodyDiv w:val="1"/>
      <w:marLeft w:val="0"/>
      <w:marRight w:val="0"/>
      <w:marTop w:val="0"/>
      <w:marBottom w:val="0"/>
      <w:divBdr>
        <w:top w:val="none" w:sz="0" w:space="0" w:color="auto"/>
        <w:left w:val="none" w:sz="0" w:space="0" w:color="auto"/>
        <w:bottom w:val="none" w:sz="0" w:space="0" w:color="auto"/>
        <w:right w:val="none" w:sz="0" w:space="0" w:color="auto"/>
      </w:divBdr>
      <w:divsChild>
        <w:div w:id="1033579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160547">
      <w:bodyDiv w:val="1"/>
      <w:marLeft w:val="0"/>
      <w:marRight w:val="0"/>
      <w:marTop w:val="0"/>
      <w:marBottom w:val="0"/>
      <w:divBdr>
        <w:top w:val="none" w:sz="0" w:space="0" w:color="auto"/>
        <w:left w:val="none" w:sz="0" w:space="0" w:color="auto"/>
        <w:bottom w:val="none" w:sz="0" w:space="0" w:color="auto"/>
        <w:right w:val="none" w:sz="0" w:space="0" w:color="auto"/>
      </w:divBdr>
    </w:div>
    <w:div w:id="1815101054">
      <w:bodyDiv w:val="1"/>
      <w:marLeft w:val="0"/>
      <w:marRight w:val="0"/>
      <w:marTop w:val="0"/>
      <w:marBottom w:val="0"/>
      <w:divBdr>
        <w:top w:val="none" w:sz="0" w:space="0" w:color="auto"/>
        <w:left w:val="none" w:sz="0" w:space="0" w:color="auto"/>
        <w:bottom w:val="none" w:sz="0" w:space="0" w:color="auto"/>
        <w:right w:val="none" w:sz="0" w:space="0" w:color="auto"/>
      </w:divBdr>
    </w:div>
    <w:div w:id="1815759410">
      <w:bodyDiv w:val="1"/>
      <w:marLeft w:val="0"/>
      <w:marRight w:val="0"/>
      <w:marTop w:val="0"/>
      <w:marBottom w:val="0"/>
      <w:divBdr>
        <w:top w:val="none" w:sz="0" w:space="0" w:color="auto"/>
        <w:left w:val="none" w:sz="0" w:space="0" w:color="auto"/>
        <w:bottom w:val="none" w:sz="0" w:space="0" w:color="auto"/>
        <w:right w:val="none" w:sz="0" w:space="0" w:color="auto"/>
      </w:divBdr>
    </w:div>
    <w:div w:id="1824538105">
      <w:bodyDiv w:val="1"/>
      <w:marLeft w:val="0"/>
      <w:marRight w:val="0"/>
      <w:marTop w:val="0"/>
      <w:marBottom w:val="0"/>
      <w:divBdr>
        <w:top w:val="none" w:sz="0" w:space="0" w:color="auto"/>
        <w:left w:val="none" w:sz="0" w:space="0" w:color="auto"/>
        <w:bottom w:val="none" w:sz="0" w:space="0" w:color="auto"/>
        <w:right w:val="none" w:sz="0" w:space="0" w:color="auto"/>
      </w:divBdr>
    </w:div>
    <w:div w:id="1932621041">
      <w:bodyDiv w:val="1"/>
      <w:marLeft w:val="0"/>
      <w:marRight w:val="0"/>
      <w:marTop w:val="0"/>
      <w:marBottom w:val="0"/>
      <w:divBdr>
        <w:top w:val="none" w:sz="0" w:space="0" w:color="auto"/>
        <w:left w:val="none" w:sz="0" w:space="0" w:color="auto"/>
        <w:bottom w:val="none" w:sz="0" w:space="0" w:color="auto"/>
        <w:right w:val="none" w:sz="0" w:space="0" w:color="auto"/>
      </w:divBdr>
    </w:div>
    <w:div w:id="1974676126">
      <w:bodyDiv w:val="1"/>
      <w:marLeft w:val="0"/>
      <w:marRight w:val="0"/>
      <w:marTop w:val="0"/>
      <w:marBottom w:val="0"/>
      <w:divBdr>
        <w:top w:val="none" w:sz="0" w:space="0" w:color="auto"/>
        <w:left w:val="none" w:sz="0" w:space="0" w:color="auto"/>
        <w:bottom w:val="none" w:sz="0" w:space="0" w:color="auto"/>
        <w:right w:val="none" w:sz="0" w:space="0" w:color="auto"/>
      </w:divBdr>
    </w:div>
    <w:div w:id="1981029636">
      <w:bodyDiv w:val="1"/>
      <w:marLeft w:val="0"/>
      <w:marRight w:val="0"/>
      <w:marTop w:val="0"/>
      <w:marBottom w:val="0"/>
      <w:divBdr>
        <w:top w:val="none" w:sz="0" w:space="0" w:color="auto"/>
        <w:left w:val="none" w:sz="0" w:space="0" w:color="auto"/>
        <w:bottom w:val="none" w:sz="0" w:space="0" w:color="auto"/>
        <w:right w:val="none" w:sz="0" w:space="0" w:color="auto"/>
      </w:divBdr>
    </w:div>
    <w:div w:id="1987853671">
      <w:bodyDiv w:val="1"/>
      <w:marLeft w:val="0"/>
      <w:marRight w:val="0"/>
      <w:marTop w:val="0"/>
      <w:marBottom w:val="0"/>
      <w:divBdr>
        <w:top w:val="none" w:sz="0" w:space="0" w:color="auto"/>
        <w:left w:val="none" w:sz="0" w:space="0" w:color="auto"/>
        <w:bottom w:val="none" w:sz="0" w:space="0" w:color="auto"/>
        <w:right w:val="none" w:sz="0" w:space="0" w:color="auto"/>
      </w:divBdr>
    </w:div>
    <w:div w:id="1990866108">
      <w:bodyDiv w:val="1"/>
      <w:marLeft w:val="0"/>
      <w:marRight w:val="0"/>
      <w:marTop w:val="0"/>
      <w:marBottom w:val="0"/>
      <w:divBdr>
        <w:top w:val="none" w:sz="0" w:space="0" w:color="auto"/>
        <w:left w:val="none" w:sz="0" w:space="0" w:color="auto"/>
        <w:bottom w:val="none" w:sz="0" w:space="0" w:color="auto"/>
        <w:right w:val="none" w:sz="0" w:space="0" w:color="auto"/>
      </w:divBdr>
    </w:div>
    <w:div w:id="2048025722">
      <w:bodyDiv w:val="1"/>
      <w:marLeft w:val="0"/>
      <w:marRight w:val="0"/>
      <w:marTop w:val="0"/>
      <w:marBottom w:val="0"/>
      <w:divBdr>
        <w:top w:val="none" w:sz="0" w:space="0" w:color="auto"/>
        <w:left w:val="none" w:sz="0" w:space="0" w:color="auto"/>
        <w:bottom w:val="none" w:sz="0" w:space="0" w:color="auto"/>
        <w:right w:val="none" w:sz="0" w:space="0" w:color="auto"/>
      </w:divBdr>
    </w:div>
    <w:div w:id="2085374216">
      <w:bodyDiv w:val="1"/>
      <w:marLeft w:val="0"/>
      <w:marRight w:val="0"/>
      <w:marTop w:val="0"/>
      <w:marBottom w:val="0"/>
      <w:divBdr>
        <w:top w:val="none" w:sz="0" w:space="0" w:color="auto"/>
        <w:left w:val="none" w:sz="0" w:space="0" w:color="auto"/>
        <w:bottom w:val="none" w:sz="0" w:space="0" w:color="auto"/>
        <w:right w:val="none" w:sz="0" w:space="0" w:color="auto"/>
      </w:divBdr>
    </w:div>
    <w:div w:id="2096896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38/nrg.2016.10" TargetMode="External"/><Relationship Id="rId18" Type="http://schemas.openxmlformats.org/officeDocument/2006/relationships/hyperlink" Target="https://doi.org/10.5281/zenodo.439140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cbi.nlm.nih.gov/geo/query/acc.cgi?acc=GSE155902&amp;utm_source=chatgpt.com" TargetMode="External"/><Relationship Id="rId2" Type="http://schemas.openxmlformats.org/officeDocument/2006/relationships/styles" Target="styles.xml"/><Relationship Id="rId16" Type="http://schemas.openxmlformats.org/officeDocument/2006/relationships/hyperlink" Target="https://www.ncbi.nlm.nih.gov/geo/query/acc.cgi?acc=GSE15590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ncbi.nlm.nih.gov/geo/query/acc.cgi?acc=GSE155902" TargetMode="External"/><Relationship Id="rId10" Type="http://schemas.openxmlformats.org/officeDocument/2006/relationships/image" Target="media/image6.png"/><Relationship Id="rId19" Type="http://schemas.openxmlformats.org/officeDocument/2006/relationships/hyperlink" Target="https://doi.org/10.5281/zenodo.439140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186/s13059-016-0881-8"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1827</Words>
  <Characters>10420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Nadeem Bishtawi</dc:creator>
  <cp:lastModifiedBy>Nadeem Bishtawi</cp:lastModifiedBy>
  <cp:revision>4</cp:revision>
  <dcterms:created xsi:type="dcterms:W3CDTF">2025-07-19T01:08:00Z</dcterms:created>
  <dcterms:modified xsi:type="dcterms:W3CDTF">2025-07-19T01:20:00Z</dcterms:modified>
</cp:coreProperties>
</file>