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2880"/>
        <w:jc w:val="center"/>
      </w:pPr>
      <w:r>
        <w:rPr>
          <w:rFonts w:ascii="Arial" w:cs="Arial" w:eastAsia="Arial" w:hAnsi="Arial"/>
          <w:b/>
          <w:bCs/>
          <w:sz w:val="72"/>
          <w:szCs w:val="72"/>
        </w:rPr>
        <w:t xml:space="preserve">Mnema</w:t>
      </w:r>
    </w:p>
    <w:p>
      <w:pPr>
        <w:spacing w:after="240"/>
        <w:jc w:val="center"/>
      </w:pPr>
      <w:r>
        <w:rPr>
          <w:rFonts w:ascii="Arial" w:cs="Arial" w:eastAsia="Arial" w:hAnsi="Arial"/>
          <w:color w:val="333333"/>
          <w:sz w:val="48"/>
          <w:szCs w:val="48"/>
        </w:rPr>
        <w:t xml:space="preserve">Frontend UI Reference</w:t>
      </w:r>
    </w:p>
    <w:p>
      <w:pPr>
        <w:spacing w:after="480"/>
        <w:jc w:val="center"/>
      </w:pPr>
      <w:r>
        <w:rPr>
          <w:rFonts w:ascii="Arial" w:cs="Arial" w:eastAsia="Arial" w:hAnsi="Arial"/>
          <w:i/>
          <w:iCs/>
          <w:color w:val="666666"/>
          <w:sz w:val="28"/>
          <w:szCs w:val="28"/>
        </w:rPr>
        <w:t xml:space="preserve">Phase 4.5.1 — Atmosphere Addendum</w:t>
      </w:r>
    </w:p>
    <w:p>
      <w:pPr>
        <w:jc w:val="center"/>
      </w:pPr>
      <w:r>
        <w:rPr>
          <w:rFonts w:ascii="Arial" w:cs="Arial" w:eastAsia="Arial" w:hAnsi="Arial"/>
          <w:color w:val="888888"/>
          <w:sz w:val="24"/>
          <w:szCs w:val="24"/>
        </w:rPr>
        <w:t xml:space="preserve">May 2026</w:t>
      </w:r>
    </w:p>
    <w:p>
      <w:pPr>
        <w:pStyle w:val="Heading1"/>
        <w:pageBreakBefore/>
      </w:pPr>
      <w:r>
        <w:t xml:space="preserve">1. Landing Page — Hero</w:t>
      </w:r>
    </w:p>
    <w:p>
      <w:pPr>
        <w:spacing w:after="120"/>
      </w:pPr>
      <w:r>
        <w:rPr>
          <w:i/>
          <w:iCs/>
          <w:color w:val="555555"/>
          <w:sz w:val="20"/>
          <w:szCs w:val="20"/>
        </w:rPr>
        <w:t xml:space="preserve">Route: /</w:t>
      </w:r>
    </w:p>
    <w:p>
      <w:pPr>
        <w:spacing w:after="240"/>
      </w:pPr>
      <w:r>
        <w:rPr>
          <w:color w:val="333333"/>
          <w:sz w:val="22"/>
          <w:szCs w:val="22"/>
        </w:rPr>
        <w:t xml:space="preserve">Pure black surface with RadialGlow (warm radial gradient at centre), NoiseOverlay, and all 5 ConstellationMarks. Mixed-face headline: Geist Sans "AI-native docs that connect" + Instrument Serif italic "directly to Claude". Two CTAs and mono footer kicker.</w:t>
      </w:r>
    </w:p>
    <w:p>
      <w:pPr>
        <w:spacing w:after="240"/>
        <w:jc w:val="center"/>
      </w:pPr>
      <w:r>
        <w:drawing>
          <wp:inline distT="0" distB="0" distL="0" distR="0">
            <wp:extent cx="6191250" cy="3867150"/>
            <wp:effectExtent t="0" r="0" b="0" l="0"/>
            <wp:docPr id="1" name="01_landing_hero.png" descr="Pure black surface with RadialGlow (warm radial gradient at centre), NoiseOverlay, and all 5 ConstellationMarks. Mixed-face headline: Geist Sans &quot;AI-native docs that connect&quot; + Instrument Serif italic &quot;directly to Claude&quot;. Two CTAs and mono footer kicker." title="1. Landing Page — Her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86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pageBreakBefore/>
      </w:pPr>
      <w:r>
        <w:t xml:space="preserve">2. Landing Page — Stat Tiles</w:t>
      </w:r>
    </w:p>
    <w:p>
      <w:pPr>
        <w:spacing w:after="120"/>
      </w:pPr>
      <w:r>
        <w:rPr>
          <w:i/>
          <w:iCs/>
          <w:color w:val="555555"/>
          <w:sz w:val="20"/>
          <w:szCs w:val="20"/>
        </w:rPr>
        <w:t xml:space="preserve">Route: / (scrolled)</w:t>
      </w:r>
    </w:p>
    <w:p>
      <w:pPr>
        <w:spacing w:after="240"/>
      </w:pPr>
      <w:r>
        <w:rPr>
          <w:color w:val="333333"/>
          <w:sz w:val="22"/>
          <w:szCs w:val="22"/>
        </w:rPr>
        <w:t xml:space="preserve">"Built for trust" section with three surface-overlay cards: ~50ms search latency, Live sync reliability with inline DialRing SVG arc, and MCP Spec 2025-11-25. Values in Instrument Serif display size, labels in Geist Mono uppercase.</w:t>
      </w:r>
    </w:p>
    <w:p>
      <w:pPr>
        <w:spacing w:after="240"/>
        <w:jc w:val="center"/>
      </w:pPr>
      <w:r>
        <w:drawing>
          <wp:inline distT="0" distB="0" distL="0" distR="0">
            <wp:extent cx="6191250" cy="3867150"/>
            <wp:effectExtent t="0" r="0" b="0" l="0"/>
            <wp:docPr id="1" name="02_landing_stat_tiles.png" descr="&quot;Built for trust&quot; section with three surface-overlay cards: ~50ms search latency, Live sync reliability with inline DialRing SVG arc, and MCP Spec 2025-11-25. Values in Instrument Serif display size, labels in Geist Mono uppercase." title="2. Landing Page — Stat Til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86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pageBreakBefore/>
      </w:pPr>
      <w:r>
        <w:t xml:space="preserve">3. Landing Page — Feature Blocks</w:t>
      </w:r>
    </w:p>
    <w:p>
      <w:pPr>
        <w:spacing w:after="120"/>
      </w:pPr>
      <w:r>
        <w:rPr>
          <w:i/>
          <w:iCs/>
          <w:color w:val="555555"/>
          <w:sz w:val="20"/>
          <w:szCs w:val="20"/>
        </w:rPr>
        <w:t xml:space="preserve">Route: / (scrolled)</w:t>
      </w:r>
    </w:p>
    <w:p>
      <w:pPr>
        <w:spacing w:after="240"/>
      </w:pPr>
      <w:r>
        <w:rPr>
          <w:color w:val="333333"/>
          <w:sz w:val="22"/>
          <w:szCs w:val="22"/>
        </w:rPr>
        <w:t xml:space="preserve">Three-column feature grid: 01 Live not static, 02 Search that understands, 03 Built for Claude. MonoLabel numbering, 18px sans headings, 14px body copy.</w:t>
      </w:r>
    </w:p>
    <w:p>
      <w:pPr>
        <w:spacing w:after="240"/>
        <w:jc w:val="center"/>
      </w:pPr>
      <w:r>
        <w:drawing>
          <wp:inline distT="0" distB="0" distL="0" distR="0">
            <wp:extent cx="6191250" cy="3867150"/>
            <wp:effectExtent t="0" r="0" b="0" l="0"/>
            <wp:docPr id="1" name="03_landing_features.png" descr="Three-column feature grid: 01 Live not static, 02 Search that understands, 03 Built for Claude. MonoLabel numbering, 18px sans headings, 14px body copy." title="3. Landing Page — Feature Block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86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pageBreakBefore/>
      </w:pPr>
      <w:r>
        <w:t xml:space="preserve">4. Landing Page — CTA Strip</w:t>
      </w:r>
    </w:p>
    <w:p>
      <w:pPr>
        <w:spacing w:after="120"/>
      </w:pPr>
      <w:r>
        <w:rPr>
          <w:i/>
          <w:iCs/>
          <w:color w:val="555555"/>
          <w:sz w:val="20"/>
          <w:szCs w:val="20"/>
        </w:rPr>
        <w:t xml:space="preserve">Route: / (scrolled)</w:t>
      </w:r>
    </w:p>
    <w:p>
      <w:pPr>
        <w:spacing w:after="240"/>
      </w:pPr>
      <w:r>
        <w:rPr>
          <w:color w:val="333333"/>
          <w:sz w:val="22"/>
          <w:szCs w:val="22"/>
        </w:rPr>
        <w:t xml:space="preserve">Secondary RadialGlow at 0.8 intensity behind "Ready to try it?" Instrument Serif display heading. "Start free" primary CTA. Footer with MNEMA wordmark MonoLabel and ThemeToggle (system/sun/moon).</w:t>
      </w:r>
    </w:p>
    <w:p>
      <w:pPr>
        <w:spacing w:after="240"/>
        <w:jc w:val="center"/>
      </w:pPr>
      <w:r>
        <w:drawing>
          <wp:inline distT="0" distB="0" distL="0" distR="0">
            <wp:extent cx="6191250" cy="3867150"/>
            <wp:effectExtent t="0" r="0" b="0" l="0"/>
            <wp:docPr id="1" name="04_landing_cta.png" descr="Secondary RadialGlow at 0.8 intensity behind &quot;Ready to try it?&quot; Instrument Serif display heading. &quot;Start free&quot; primary CTA. Footer with MNEMA wordmark MonoLabel and ThemeToggle (system/sun/moon)." title="4. Landing Page — CTA Stri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86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pageBreakBefore/>
      </w:pPr>
      <w:r>
        <w:t xml:space="preserve">5. Pricing Page — Heading</w:t>
      </w:r>
    </w:p>
    <w:p>
      <w:pPr>
        <w:spacing w:after="120"/>
      </w:pPr>
      <w:r>
        <w:rPr>
          <w:i/>
          <w:iCs/>
          <w:color w:val="555555"/>
          <w:sz w:val="20"/>
          <w:szCs w:val="20"/>
        </w:rPr>
        <w:t xml:space="preserve">Route: /pricing</w:t>
      </w:r>
    </w:p>
    <w:p>
      <w:pPr>
        <w:spacing w:after="240"/>
      </w:pPr>
      <w:r>
        <w:rPr>
          <w:color w:val="333333"/>
          <w:sz w:val="22"/>
          <w:szCs w:val="22"/>
        </w:rPr>
        <w:t xml:space="preserve">"Pricing" nav pill active state. RadialGlow + NoiseOverlay behind heading. Mixed-face: Instrument Serif roman "Simple plans." + italic "Honest pricing." Active nav pill uses surface-overlay background.</w:t>
      </w:r>
    </w:p>
    <w:p>
      <w:pPr>
        <w:spacing w:after="240"/>
        <w:jc w:val="center"/>
      </w:pPr>
      <w:r>
        <w:drawing>
          <wp:inline distT="0" distB="0" distL="0" distR="0">
            <wp:extent cx="6191250" cy="3867150"/>
            <wp:effectExtent t="0" r="0" b="0" l="0"/>
            <wp:docPr id="1" name="05_pricing_hero.png" descr="&quot;Pricing&quot; nav pill active state. RadialGlow + NoiseOverlay behind heading. Mixed-face: Instrument Serif roman &quot;Simple plans.&quot; + italic &quot;Honest pricing.&quot; Active nav pill uses surface-overlay background." title="5. Pricing Page — Head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86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pageBreakBefore/>
      </w:pPr>
      <w:r>
        <w:t xml:space="preserve">6. Pricing Page — Plan Cards</w:t>
      </w:r>
    </w:p>
    <w:p>
      <w:pPr>
        <w:spacing w:after="120"/>
      </w:pPr>
      <w:r>
        <w:rPr>
          <w:i/>
          <w:iCs/>
          <w:color w:val="555555"/>
          <w:sz w:val="20"/>
          <w:szCs w:val="20"/>
        </w:rPr>
        <w:t xml:space="preserve">Route: /pricing (scrolled)</w:t>
      </w:r>
    </w:p>
    <w:p>
      <w:pPr>
        <w:spacing w:after="240"/>
      </w:pPr>
      <w:r>
        <w:rPr>
          <w:color w:val="333333"/>
          <w:sz w:val="22"/>
          <w:szCs w:val="22"/>
        </w:rPr>
        <w:t xml:space="preserve">Free ($0), Pro ($15), and Scale ($25) plan cards. Prices in Instrument Serif 44px. Pro card has border-strong and RECOMMENDED dot-pill at top-right inside the card border. Feature checklists below each price.</w:t>
      </w:r>
    </w:p>
    <w:p>
      <w:pPr>
        <w:spacing w:after="240"/>
        <w:jc w:val="center"/>
      </w:pPr>
      <w:r>
        <w:drawing>
          <wp:inline distT="0" distB="0" distL="0" distR="0">
            <wp:extent cx="6191250" cy="3867150"/>
            <wp:effectExtent t="0" r="0" b="0" l="0"/>
            <wp:docPr id="1" name="06_pricing_cards.png" descr="Free ($0), Pro ($15), and Scale ($25) plan cards. Prices in Instrument Serif 44px. Pro card has border-strong and RECOMMENDED dot-pill at top-right inside the card border. Feature checklists below each price." title="6. Pricing Page — Plan Card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86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pageBreakBefore/>
      </w:pPr>
      <w:r>
        <w:t xml:space="preserve">7. Signup Page</w:t>
      </w:r>
    </w:p>
    <w:p>
      <w:pPr>
        <w:spacing w:after="120"/>
      </w:pPr>
      <w:r>
        <w:rPr>
          <w:i/>
          <w:iCs/>
          <w:color w:val="555555"/>
          <w:sz w:val="20"/>
          <w:szCs w:val="20"/>
        </w:rPr>
        <w:t xml:space="preserve">Route: /signup</w:t>
      </w:r>
    </w:p>
    <w:p>
      <w:pPr>
        <w:spacing w:after="240"/>
      </w:pPr>
      <w:r>
        <w:rPr>
          <w:color w:val="333333"/>
          <w:sz w:val="22"/>
          <w:szCs w:val="22"/>
        </w:rPr>
        <w:t xml:space="preserve">Centred auth surface on pure black. "Mnema" wordmark at 22px. "Create your account" PageHeading. "Continue with email" primary button. No atmosphere treatment — correct per spec (atmosphere is marketing-only).</w:t>
      </w:r>
    </w:p>
    <w:p>
      <w:pPr>
        <w:spacing w:after="240"/>
        <w:jc w:val="center"/>
      </w:pPr>
      <w:r>
        <w:drawing>
          <wp:inline distT="0" distB="0" distL="0" distR="0">
            <wp:extent cx="6191250" cy="3867150"/>
            <wp:effectExtent t="0" r="0" b="0" l="0"/>
            <wp:docPr id="1" name="07_signup.png" descr="Centred auth surface on pure black. &quot;Mnema&quot; wordmark at 22px. &quot;Create your account&quot; PageHeading. &quot;Continue with email&quot; primary button. No atmosphere treatment — correct per spec (atmosphere is marketing-only)." title="7. Signup P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86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pageBreakBefore/>
      </w:pPr>
      <w:r>
        <w:t xml:space="preserve">8. Auth / Login Page</w:t>
      </w:r>
    </w:p>
    <w:p>
      <w:pPr>
        <w:spacing w:after="120"/>
      </w:pPr>
      <w:r>
        <w:rPr>
          <w:i/>
          <w:iCs/>
          <w:color w:val="555555"/>
          <w:sz w:val="20"/>
          <w:szCs w:val="20"/>
        </w:rPr>
        <w:t xml:space="preserve">Route: /auth/login</w:t>
      </w:r>
    </w:p>
    <w:p>
      <w:pPr>
        <w:spacing w:after="240"/>
      </w:pPr>
      <w:r>
        <w:rPr>
          <w:color w:val="333333"/>
          <w:sz w:val="22"/>
          <w:szCs w:val="22"/>
        </w:rPr>
        <w:t xml:space="preserve">WorkOS-backed sign-in screen. Minimal centred layout matching signup surface style.</w:t>
      </w:r>
    </w:p>
    <w:p>
      <w:pPr>
        <w:spacing w:after="240"/>
        <w:jc w:val="center"/>
      </w:pPr>
      <w:r>
        <w:drawing>
          <wp:inline distT="0" distB="0" distL="0" distR="0">
            <wp:extent cx="6191250" cy="3867150"/>
            <wp:effectExtent t="0" r="0" b="0" l="0"/>
            <wp:docPr id="1" name="08_auth_login.png" descr="WorkOS-backed sign-in screen. Minimal centred layout matching signup surface style." title="8. Auth / Login P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86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pageBreakBefore/>
      </w:pPr>
      <w:r>
        <w:t xml:space="preserve">9. Docs — Index</w:t>
      </w:r>
    </w:p>
    <w:p>
      <w:pPr>
        <w:spacing w:after="120"/>
      </w:pPr>
      <w:r>
        <w:rPr>
          <w:i/>
          <w:iCs/>
          <w:color w:val="555555"/>
          <w:sz w:val="20"/>
          <w:szCs w:val="20"/>
        </w:rPr>
        <w:t xml:space="preserve">Route: /docs</w:t>
      </w:r>
    </w:p>
    <w:p>
      <w:pPr>
        <w:spacing w:after="240"/>
      </w:pPr>
      <w:r>
        <w:rPr>
          <w:color w:val="333333"/>
          <w:sz w:val="22"/>
          <w:szCs w:val="22"/>
        </w:rPr>
        <w:t xml:space="preserve">Documentation landing page. Navigation and overview of available docs.</w:t>
      </w:r>
    </w:p>
    <w:p>
      <w:pPr>
        <w:spacing w:after="240"/>
        <w:jc w:val="center"/>
      </w:pPr>
      <w:r>
        <w:drawing>
          <wp:inline distT="0" distB="0" distL="0" distR="0">
            <wp:extent cx="6191250" cy="3867150"/>
            <wp:effectExtent t="0" r="0" b="0" l="0"/>
            <wp:docPr id="1" name="09_docs_index.png" descr="Documentation landing page. Navigation and overview of available docs." title="9. Docs — Inde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86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pageBreakBefore/>
      </w:pPr>
      <w:r>
        <w:t xml:space="preserve">10. Docs — Getting Started</w:t>
      </w:r>
    </w:p>
    <w:p>
      <w:pPr>
        <w:spacing w:after="120"/>
      </w:pPr>
      <w:r>
        <w:rPr>
          <w:i/>
          <w:iCs/>
          <w:color w:val="555555"/>
          <w:sz w:val="20"/>
          <w:szCs w:val="20"/>
        </w:rPr>
        <w:t xml:space="preserve">Route: /docs/getting-started</w:t>
      </w:r>
    </w:p>
    <w:p>
      <w:pPr>
        <w:spacing w:after="240"/>
      </w:pPr>
      <w:r>
        <w:rPr>
          <w:color w:val="333333"/>
          <w:sz w:val="22"/>
          <w:szCs w:val="22"/>
        </w:rPr>
        <w:t xml:space="preserve">Step-by-step guide for new users setting up Mnema with their Claude account.</w:t>
      </w:r>
    </w:p>
    <w:p>
      <w:pPr>
        <w:spacing w:after="240"/>
        <w:jc w:val="center"/>
      </w:pPr>
      <w:r>
        <w:drawing>
          <wp:inline distT="0" distB="0" distL="0" distR="0">
            <wp:extent cx="6191250" cy="3867150"/>
            <wp:effectExtent t="0" r="0" b="0" l="0"/>
            <wp:docPr id="1" name="10_docs_getting_started.png" descr="Step-by-step guide for new users setting up Mnema with their Claude account." title="10. Docs — Getting Star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86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pageBreakBefore/>
      </w:pPr>
      <w:r>
        <w:t xml:space="preserve">11. Docs — Connect to Claude</w:t>
      </w:r>
    </w:p>
    <w:p>
      <w:pPr>
        <w:spacing w:after="120"/>
      </w:pPr>
      <w:r>
        <w:rPr>
          <w:i/>
          <w:iCs/>
          <w:color w:val="555555"/>
          <w:sz w:val="20"/>
          <w:szCs w:val="20"/>
        </w:rPr>
        <w:t xml:space="preserve">Route: /docs/connect</w:t>
      </w:r>
    </w:p>
    <w:p>
      <w:pPr>
        <w:spacing w:after="240"/>
      </w:pPr>
      <w:r>
        <w:rPr>
          <w:color w:val="333333"/>
          <w:sz w:val="22"/>
          <w:szCs w:val="22"/>
        </w:rPr>
        <w:t xml:space="preserve">MCP connector setup guide. Instructions for linking the Mnema MCP server to Claude Desktop.</w:t>
      </w:r>
    </w:p>
    <w:p>
      <w:pPr>
        <w:spacing w:after="240"/>
        <w:jc w:val="center"/>
      </w:pPr>
      <w:r>
        <w:drawing>
          <wp:inline distT="0" distB="0" distL="0" distR="0">
            <wp:extent cx="6191250" cy="3867150"/>
            <wp:effectExtent t="0" r="0" b="0" l="0"/>
            <wp:docPr id="1" name="11_docs_connect.png" descr="MCP connector setup guide. Instructions for linking the Mnema MCP server to Claude Desktop." title="11. Docs — Connect to Clau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86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000000"/>
      <w:sz w:val="36"/>
      <w:szCs w:val="3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8573e6935a4f473e96fc032ded4f3aeb292dcc6c.png"/><Relationship Id="rId8" Type="http://schemas.openxmlformats.org/officeDocument/2006/relationships/image" Target="media/c8e8e1f307a31a1559e7964a0d96a358fe5add56.png"/><Relationship Id="rId9" Type="http://schemas.openxmlformats.org/officeDocument/2006/relationships/image" Target="media/773df66c913795b4523b2875282409f4fab32b6a.png"/><Relationship Id="rId10" Type="http://schemas.openxmlformats.org/officeDocument/2006/relationships/image" Target="media/74d5a0161eae14fc0bfc6b17e81d8dd48bee85e6.png"/><Relationship Id="rId11" Type="http://schemas.openxmlformats.org/officeDocument/2006/relationships/image" Target="media/7a21abdfe31e8a5fa44de5829b3ee9d4b52fbcac.png"/><Relationship Id="rId12" Type="http://schemas.openxmlformats.org/officeDocument/2006/relationships/image" Target="media/89cb808e944c491ea141cdebfda373f27cf024f9.png"/><Relationship Id="rId13" Type="http://schemas.openxmlformats.org/officeDocument/2006/relationships/image" Target="media/607f4c3ba48c06c83e72e36fd3b43e332d037135.png"/><Relationship Id="rId14" Type="http://schemas.openxmlformats.org/officeDocument/2006/relationships/image" Target="media/65fea9b5f2e4d07cd6f7c347b87e6f345fda6abd.png"/><Relationship Id="rId15" Type="http://schemas.openxmlformats.org/officeDocument/2006/relationships/image" Target="media/e1090e1ce951bd5fe73107a8adb87d55f7417dc1.png"/><Relationship Id="rId16" Type="http://schemas.openxmlformats.org/officeDocument/2006/relationships/image" Target="media/b0f121c3de1d4d27fe332d30fae0b36912367237.png"/><Relationship Id="rId17" Type="http://schemas.openxmlformats.org/officeDocument/2006/relationships/image" Target="media/82bb85aa0ad7e3bc89da7e808b93133c060552ba.png"/><Relationship Id="rId1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2026-05-18T19:32:04.251Z</dcterms:created>
  <dcterms:modified xsi:type="dcterms:W3CDTF">2026-05-18T19:32:04.251Z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