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3756" w14:textId="77777777" w:rsidR="00E14C03" w:rsidRPr="000B6B43" w:rsidRDefault="00E14C03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FD89A70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2960CB7D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916C045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A7F8BDB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BBC208C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4A85F76D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7D94B859" w14:textId="77777777" w:rsidR="000F7349" w:rsidRPr="000B6B43" w:rsidRDefault="000F734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3A5EEAAC" w14:textId="77777777" w:rsidR="00A7266E" w:rsidRPr="000B6B43" w:rsidRDefault="00A7266E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6323D202" w14:textId="77777777" w:rsidR="00B62F9F" w:rsidRPr="000B6B43" w:rsidRDefault="00B62F9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2DF6CDA7" w14:textId="77777777" w:rsidR="00B62F9F" w:rsidRPr="000B6B43" w:rsidRDefault="00B62F9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FEA7886" w14:textId="48DC7104" w:rsidR="000B6B43" w:rsidRPr="000B6B43" w:rsidRDefault="000B6B43" w:rsidP="000B6B4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>P</w:t>
      </w:r>
      <w:r w:rsidRPr="000B6B43">
        <w:rPr>
          <w:rFonts w:ascii="Arial" w:hAnsi="Arial" w:cs="Arial"/>
          <w:b/>
          <w:bCs/>
          <w:color w:val="000000" w:themeColor="text1"/>
          <w:sz w:val="40"/>
          <w:szCs w:val="40"/>
        </w:rPr>
        <w:t>redictive and generative capabilities of principal component analysis and a variational autoencoder for protein design</w:t>
      </w:r>
    </w:p>
    <w:p w14:paraId="4FCAB8EF" w14:textId="77777777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7D90B71C" w14:textId="77777777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14:paraId="4EAD92EF" w14:textId="40E3C887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0B6B43">
        <w:rPr>
          <w:rFonts w:ascii="Arial" w:hAnsi="Arial" w:cs="Arial"/>
          <w:color w:val="000000" w:themeColor="text1"/>
          <w:sz w:val="22"/>
          <w:szCs w:val="22"/>
        </w:rPr>
        <w:t>Nathaniel Blalock</w:t>
      </w:r>
    </w:p>
    <w:p w14:paraId="29EFD2E8" w14:textId="71EB5643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0B6B43">
        <w:rPr>
          <w:rFonts w:ascii="Arial" w:hAnsi="Arial" w:cs="Arial"/>
          <w:color w:val="000000" w:themeColor="text1"/>
          <w:sz w:val="22"/>
          <w:szCs w:val="22"/>
        </w:rPr>
        <w:t>CBE562: Statistics</w:t>
      </w:r>
    </w:p>
    <w:p w14:paraId="37A2B548" w14:textId="688AE2F5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0B6B43">
        <w:rPr>
          <w:rFonts w:ascii="Arial" w:hAnsi="Arial" w:cs="Arial"/>
          <w:color w:val="000000" w:themeColor="text1"/>
          <w:sz w:val="22"/>
          <w:szCs w:val="22"/>
        </w:rPr>
        <w:t>December 14</w:t>
      </w:r>
      <w:r w:rsidRPr="000B6B43">
        <w:rPr>
          <w:rFonts w:ascii="Arial" w:hAnsi="Arial" w:cs="Arial"/>
          <w:color w:val="000000" w:themeColor="text1"/>
          <w:sz w:val="22"/>
          <w:szCs w:val="22"/>
          <w:vertAlign w:val="superscript"/>
        </w:rPr>
        <w:t>th</w:t>
      </w:r>
      <w:r w:rsidRPr="000B6B43">
        <w:rPr>
          <w:rFonts w:ascii="Arial" w:hAnsi="Arial" w:cs="Arial"/>
          <w:color w:val="000000" w:themeColor="text1"/>
          <w:sz w:val="22"/>
          <w:szCs w:val="22"/>
        </w:rPr>
        <w:t>, 2023</w:t>
      </w:r>
    </w:p>
    <w:p w14:paraId="1753A587" w14:textId="37DC87A5" w:rsidR="00B62F9F" w:rsidRPr="000B6B43" w:rsidRDefault="00B62F9F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0B6B43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73F4604F" w14:textId="7806DE58" w:rsidR="00A52291" w:rsidRPr="008F1260" w:rsidRDefault="00B62F9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Introduction</w:t>
      </w:r>
    </w:p>
    <w:p w14:paraId="27D9DFCE" w14:textId="5E346C2C" w:rsidR="007735BD" w:rsidRPr="008F1260" w:rsidRDefault="00A52291" w:rsidP="00797BA4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Proteins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can address some of the greatest problems facing society including treating chronic illnesses, producing sustainable biofuels, and advancing waste-to-energy platforms to fight climate change. The scope for innovation is nearly limitless given the multifaceted roles of proteins in biological systems.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P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>rotein design spaces are remarkedly large</w:t>
      </w:r>
      <w:r w:rsidR="00CC0919" w:rsidRPr="008F1260">
        <w:rPr>
          <w:rFonts w:ascii="Arial" w:hAnsi="Arial" w:cs="Arial"/>
          <w:color w:val="000000" w:themeColor="text1"/>
          <w:sz w:val="22"/>
          <w:szCs w:val="22"/>
        </w:rPr>
        <w:t>.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A relatively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>short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119 amino acid has a design space of 20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119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(or 6.65 x 10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154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>) sequences.</w:t>
      </w:r>
      <w:r w:rsidR="00CC0919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65A4D" w:rsidRPr="008F1260">
        <w:rPr>
          <w:rFonts w:ascii="Arial" w:hAnsi="Arial" w:cs="Arial"/>
          <w:color w:val="000000" w:themeColor="text1"/>
          <w:sz w:val="22"/>
          <w:szCs w:val="22"/>
        </w:rPr>
        <w:t xml:space="preserve">This means the protein design space for most proteins is larger than the estimated number of atoms in the universe.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Protein engineers therefore aspire to explore protein design space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 xml:space="preserve">computationally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and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>design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 xml:space="preserve">superior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proteins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C203D20" w14:textId="729D1A07" w:rsidR="00DF05E0" w:rsidRPr="008F1260" w:rsidRDefault="009B6870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Deep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learning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for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 protein engineering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has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improved our ability 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>to model</w:t>
      </w:r>
      <w:r w:rsidR="00CC0919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 xml:space="preserve">local protein design </w:t>
      </w:r>
      <w:r w:rsidR="00CC0919" w:rsidRPr="008F1260">
        <w:rPr>
          <w:rFonts w:ascii="Arial" w:hAnsi="Arial" w:cs="Arial"/>
          <w:color w:val="000000" w:themeColor="text1"/>
          <w:sz w:val="22"/>
          <w:szCs w:val="22"/>
        </w:rPr>
        <w:t>landscape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 xml:space="preserve"> from experimental data by learning the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complicated, 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 xml:space="preserve">non-linear 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>relationship between protein sequence and function [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>1-2</w:t>
      </w:r>
      <w:r w:rsidR="003F6B7B" w:rsidRPr="008F1260">
        <w:rPr>
          <w:rFonts w:ascii="Arial" w:hAnsi="Arial" w:cs="Arial"/>
          <w:color w:val="000000" w:themeColor="text1"/>
          <w:sz w:val="22"/>
          <w:szCs w:val="22"/>
        </w:rPr>
        <w:t>].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These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supervised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 xml:space="preserve"> models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 while state-of-the-art 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 xml:space="preserve">are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limited in their ability to 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>extrapolat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e 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 xml:space="preserve">beyond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="00A52291" w:rsidRPr="008F1260">
        <w:rPr>
          <w:rFonts w:ascii="Arial" w:hAnsi="Arial" w:cs="Arial"/>
          <w:color w:val="000000" w:themeColor="text1"/>
          <w:sz w:val="22"/>
          <w:szCs w:val="22"/>
        </w:rPr>
        <w:t xml:space="preserve"> training data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for regression tasks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 [3].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 U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nsupervised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d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eep learning models have recently drawn attention for designing proteins by leveraging unlabeled natural protein sequences [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4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</w:rPr>
        <w:t>-5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].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>N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>atural selection provides selective pressure for beneficial amino acid mutations during evolutionary trajectories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 [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</w:rPr>
        <w:t>6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>-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</w:rPr>
        <w:t>7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>]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>A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family of natural sequences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>can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therefore 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>provide insight into biologically relevant constraints.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Th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ese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constraint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 can enable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 further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974E4" w:rsidRPr="008F1260">
        <w:rPr>
          <w:rFonts w:ascii="Arial" w:hAnsi="Arial" w:cs="Arial"/>
          <w:color w:val="000000" w:themeColor="text1"/>
          <w:sz w:val="22"/>
          <w:szCs w:val="22"/>
        </w:rPr>
        <w:t xml:space="preserve">exploration of the protein design space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combined with insights from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 a supervised model and 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design proteins with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a desirable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 xml:space="preserve"> function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 enhanced</w:t>
      </w:r>
      <w:r w:rsidR="00636E75" w:rsidRPr="008F1260">
        <w:rPr>
          <w:rFonts w:ascii="Arial" w:hAnsi="Arial" w:cs="Arial"/>
          <w:color w:val="000000" w:themeColor="text1"/>
          <w:sz w:val="22"/>
          <w:szCs w:val="22"/>
        </w:rPr>
        <w:t>.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A variational autoencoder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(VAE) is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an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unsupervised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deep learning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model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proving capable of learning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from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related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natural sequences aligned to a protein-of-interest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for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design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ing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similarly functioning, 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>novel,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and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 xml:space="preserve"> diverse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protein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sequences 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>[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</w:rPr>
        <w:t>8</w:t>
      </w:r>
      <w:r w:rsidR="00E5516C" w:rsidRPr="008F1260">
        <w:rPr>
          <w:rFonts w:ascii="Arial" w:hAnsi="Arial" w:cs="Arial"/>
          <w:color w:val="000000" w:themeColor="text1"/>
          <w:sz w:val="22"/>
          <w:szCs w:val="22"/>
        </w:rPr>
        <w:t>]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regularized latent space of a VAE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has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been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correlated with protein function [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</w:rPr>
        <w:t>9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>].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Given that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 latent space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dimensions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 can be correlated with protein function, the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correlated 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latent space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dimension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can potentially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help 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guide a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 xml:space="preserve">stochastic 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search algorithm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with a supervised model 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 xml:space="preserve">to design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protein sequences with superior function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>.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Simulated annealing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is an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 xml:space="preserve">effective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search algorithm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for 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>explor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ing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p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>rotein design space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[3]. 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During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>each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>timestep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of simulated annealing, an amino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acid 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>is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randomly </w:t>
      </w:r>
      <w:proofErr w:type="gramStart"/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>mutated</w:t>
      </w:r>
      <w:proofErr w:type="gramEnd"/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and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 xml:space="preserve">various 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models can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>predict the function of the generated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sequence. After many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>timesteps</w:t>
      </w:r>
      <w:r w:rsidR="00A445EF" w:rsidRPr="008F1260">
        <w:rPr>
          <w:rFonts w:ascii="Arial" w:hAnsi="Arial" w:cs="Arial"/>
          <w:color w:val="000000" w:themeColor="text1"/>
          <w:sz w:val="22"/>
          <w:szCs w:val="22"/>
        </w:rPr>
        <w:t xml:space="preserve">, a protein with superior function can be found. </w:t>
      </w:r>
      <w:r w:rsidR="00B65E6A" w:rsidRPr="008F1260">
        <w:rPr>
          <w:rFonts w:ascii="Arial" w:hAnsi="Arial" w:cs="Arial"/>
          <w:color w:val="000000" w:themeColor="text1"/>
          <w:sz w:val="22"/>
          <w:szCs w:val="22"/>
        </w:rPr>
        <w:t>Principal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component analysis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(PCA) 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>provides a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n alternative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05E0" w:rsidRPr="008F1260">
        <w:rPr>
          <w:rFonts w:ascii="Arial" w:hAnsi="Arial" w:cs="Arial"/>
          <w:color w:val="000000" w:themeColor="text1"/>
          <w:sz w:val="22"/>
          <w:szCs w:val="22"/>
        </w:rPr>
        <w:t>statistical framework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for</w:t>
      </w:r>
      <w:r w:rsidR="00345D03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35BD" w:rsidRPr="008F1260">
        <w:rPr>
          <w:rFonts w:ascii="Arial" w:hAnsi="Arial" w:cs="Arial"/>
          <w:color w:val="000000" w:themeColor="text1"/>
          <w:sz w:val="22"/>
          <w:szCs w:val="22"/>
        </w:rPr>
        <w:t>correlating</w:t>
      </w:r>
      <w:r w:rsidR="00345D03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principal components (PCs)</w:t>
      </w:r>
      <w:r w:rsidR="00B65E6A" w:rsidRPr="008F1260">
        <w:rPr>
          <w:rFonts w:ascii="Arial" w:hAnsi="Arial" w:cs="Arial"/>
          <w:color w:val="000000" w:themeColor="text1"/>
          <w:sz w:val="22"/>
          <w:szCs w:val="22"/>
        </w:rPr>
        <w:t xml:space="preserve"> with limited experimental data</w:t>
      </w:r>
      <w:r w:rsidR="00345D03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for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>predicting the function of generated</w:t>
      </w:r>
      <w:r w:rsidR="00646EE2" w:rsidRPr="008F1260">
        <w:rPr>
          <w:rFonts w:ascii="Arial" w:hAnsi="Arial" w:cs="Arial"/>
          <w:color w:val="000000" w:themeColor="text1"/>
          <w:sz w:val="22"/>
          <w:szCs w:val="22"/>
        </w:rPr>
        <w:t xml:space="preserve"> protein sequences</w:t>
      </w:r>
      <w:r w:rsidR="00324730" w:rsidRPr="008F1260">
        <w:rPr>
          <w:rFonts w:ascii="Arial" w:hAnsi="Arial" w:cs="Arial"/>
          <w:color w:val="000000" w:themeColor="text1"/>
          <w:sz w:val="22"/>
          <w:szCs w:val="22"/>
        </w:rPr>
        <w:t>.</w:t>
      </w:r>
      <w:r w:rsidR="00F65A4D" w:rsidRPr="008F1260">
        <w:rPr>
          <w:rFonts w:ascii="Arial" w:hAnsi="Arial" w:cs="Arial"/>
          <w:color w:val="000000" w:themeColor="text1"/>
          <w:sz w:val="22"/>
          <w:szCs w:val="22"/>
        </w:rPr>
        <w:t xml:space="preserve"> This work compares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the predictive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, and briefly generative,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capabilities of </w:t>
      </w:r>
      <w:r w:rsidR="00F65A4D" w:rsidRPr="008F1260">
        <w:rPr>
          <w:rFonts w:ascii="Arial" w:hAnsi="Arial" w:cs="Arial"/>
          <w:color w:val="000000" w:themeColor="text1"/>
          <w:sz w:val="22"/>
          <w:szCs w:val="22"/>
        </w:rPr>
        <w:t>principal component analysis and a variational autoencoder for protein design.</w:t>
      </w:r>
    </w:p>
    <w:p w14:paraId="4708D65E" w14:textId="77777777" w:rsidR="00797BA4" w:rsidRPr="008F1260" w:rsidRDefault="00797BA4" w:rsidP="009B6870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348E67FE" w14:textId="5A92A676" w:rsidR="00B62F9F" w:rsidRPr="008F1260" w:rsidRDefault="00B62F9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Methods</w:t>
      </w:r>
    </w:p>
    <w:p w14:paraId="62EC6B3B" w14:textId="5EBFEB8B" w:rsidR="00D55A27" w:rsidRPr="008F1260" w:rsidRDefault="00713944" w:rsidP="000B6B43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has emerged as a promising thermostable, photostable, and rapidly maturing monomeric fluorescent protein that operates independently of oxygen 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 xml:space="preserve">for </w:t>
      </w:r>
      <w:r w:rsidR="00797BA4" w:rsidRPr="008F1260">
        <w:rPr>
          <w:rFonts w:ascii="Arial" w:hAnsi="Arial" w:cs="Arial"/>
          <w:color w:val="000000" w:themeColor="text1"/>
          <w:sz w:val="22"/>
          <w:szCs w:val="22"/>
        </w:rPr>
        <w:t xml:space="preserve">novel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study and engineer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>ing of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enzymes and metabolic pathways in anaerobic environments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 xml:space="preserve"> including the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gut microbiome, tumor environments, and high-density fermentations.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A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</w:rPr>
        <w:t xml:space="preserve"> multiple sequence alignment 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>of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243,</w:t>
      </w:r>
      <w:r w:rsidR="00AF6AAA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5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82 natural protein sequences related to </w:t>
      </w:r>
      <w:proofErr w:type="spellStart"/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was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curated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using </w:t>
      </w:r>
      <w:proofErr w:type="spellStart"/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Jackhmmer</w:t>
      </w:r>
      <w:proofErr w:type="spellEnd"/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software [</w:t>
      </w:r>
      <w:r w:rsidR="00B65E6A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10</w:t>
      </w:r>
      <w:r w:rsidR="00A00B3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</w:t>
      </w:r>
      <w:r w:rsidR="000B323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after</w:t>
      </w:r>
      <w:r w:rsidR="000B323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removing 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equences </w:t>
      </w:r>
      <w:r w:rsidR="000B323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less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than 55% of the length of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and </w:t>
      </w:r>
      <w:r w:rsidR="000B323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columns </w:t>
      </w:r>
      <w:r w:rsidR="000B323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not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corresponding to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protein-of-interest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[</w:t>
      </w:r>
      <w:r w:rsidR="00B65E6A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8,11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]. 167,613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variants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of </w:t>
      </w:r>
      <w:proofErr w:type="spellStart"/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were obtained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for assessing 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correlatio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of principal components with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fluorescent measurements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="00B65E6A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12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].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CA0BB6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243,582 unlabeled natural protein sequences</w:t>
      </w:r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were one-hot encoded </w:t>
      </w:r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and flattened into a 2-dimensional matrix. 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Principal component analysis (PCA)</w:t>
      </w:r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was performed </w:t>
      </w:r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using </w:t>
      </w:r>
      <w:proofErr w:type="spellStart"/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sklearn</w:t>
      </w:r>
      <w:proofErr w:type="spellEnd"/>
      <w:r w:rsidR="008723F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with a random seed of 0 for reproducibility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top </w:t>
      </w:r>
      <w:r w:rsidR="0072244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50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principal components explain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ed 30% of the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variance in the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multiple sequence alignment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. The first component explained </w:t>
      </w:r>
      <w:r w:rsidR="00740ED4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&lt;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4% of the variance in the data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(Figure 1).</w:t>
      </w:r>
    </w:p>
    <w:p w14:paraId="64139748" w14:textId="5ACC8388" w:rsidR="009E2C8E" w:rsidRPr="008F1260" w:rsidRDefault="009E2C8E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  <w:shd w:val="clear" w:color="auto" w:fill="FFFFFF"/>
        </w:rPr>
        <w:drawing>
          <wp:inline distT="0" distB="0" distL="0" distR="0" wp14:anchorId="72DEDC6F" wp14:editId="5F532FF8">
            <wp:extent cx="4979512" cy="3485662"/>
            <wp:effectExtent l="0" t="0" r="0" b="0"/>
            <wp:docPr id="372089550" name="Picture 1" descr="A graph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89550" name="Picture 1" descr="A graph with a dotted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479" cy="362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BB4A" w14:textId="1FB94232" w:rsidR="009E2C8E" w:rsidRPr="008F1260" w:rsidRDefault="009E2C8E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Figure 1: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Variance Explained in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Multiple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 Alignment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by Principal Components</w:t>
      </w:r>
    </w:p>
    <w:p w14:paraId="1F201285" w14:textId="38227286" w:rsidR="00C36399" w:rsidRPr="008F1260" w:rsidRDefault="00C2136F" w:rsidP="000B6B43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167,613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variants of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were one-hot encoded,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flattened into a 2-dimensional matrix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and </w:t>
      </w:r>
      <w:r w:rsidR="00B83C5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transformed into the principal component space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most correlated 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principal components </w:t>
      </w:r>
      <w:r w:rsidR="00C36399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were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PC36 and PC14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9B6870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</w:t>
      </w:r>
      <w:r w:rsidR="00BB1B28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correlation decreased as the number of mutations increased (Table 1).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Interestingly, PC36 and PC14 discretely separate the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best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performing variants (Figure 2).</w:t>
      </w:r>
    </w:p>
    <w:p w14:paraId="644F65A7" w14:textId="73B80CAB" w:rsidR="009E2C8E" w:rsidRPr="008F1260" w:rsidRDefault="009E2C8E" w:rsidP="000B6B43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Table 1: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Correlation of Principal Components with Fluorescen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ce</w:t>
      </w:r>
    </w:p>
    <w:p w14:paraId="29F62DFF" w14:textId="1FE686B6" w:rsidR="009E2C8E" w:rsidRPr="008F1260" w:rsidRDefault="00C36399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  <w:shd w:val="clear" w:color="auto" w:fill="FFFFFF"/>
        </w:rPr>
        <w:drawing>
          <wp:inline distT="0" distB="0" distL="0" distR="0" wp14:anchorId="39DEB921" wp14:editId="3621D893">
            <wp:extent cx="5943600" cy="483235"/>
            <wp:effectExtent l="0" t="0" r="0" b="0"/>
            <wp:docPr id="14895286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28637" name="Picture 14895286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015" cy="49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E6D3" w14:textId="0B3741E1" w:rsidR="009E2C8E" w:rsidRPr="008F1260" w:rsidRDefault="00657031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F3423" wp14:editId="7B621F15">
                <wp:simplePos x="0" y="0"/>
                <wp:positionH relativeFrom="column">
                  <wp:posOffset>674271</wp:posOffset>
                </wp:positionH>
                <wp:positionV relativeFrom="paragraph">
                  <wp:posOffset>2229645</wp:posOffset>
                </wp:positionV>
                <wp:extent cx="154093" cy="141816"/>
                <wp:effectExtent l="25400" t="0" r="14605" b="36830"/>
                <wp:wrapNone/>
                <wp:docPr id="5721167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093" cy="14181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8A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3.1pt;margin-top:175.55pt;width:12.15pt;height:11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" strokecolor="black [3213]" strokeweight="1pt">
                <v:stroke endarrow="block" joinstyle="miter"/>
              </v:shape>
            </w:pict>
          </mc:Fallback>
        </mc:AlternateContent>
      </w:r>
      <w:r w:rsidR="003B6047" w:rsidRPr="008F1260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C99B6" wp14:editId="164B5308">
                <wp:simplePos x="0" y="0"/>
                <wp:positionH relativeFrom="column">
                  <wp:posOffset>2052320</wp:posOffset>
                </wp:positionH>
                <wp:positionV relativeFrom="paragraph">
                  <wp:posOffset>251460</wp:posOffset>
                </wp:positionV>
                <wp:extent cx="178435" cy="68580"/>
                <wp:effectExtent l="0" t="12700" r="24765" b="45720"/>
                <wp:wrapNone/>
                <wp:docPr id="38015886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685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75B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1.6pt;margin-top:19.8pt;width:14.05pt;height: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" strokecolor="black [3213]" strokeweight="1pt">
                <v:stroke endarrow="block" joinstyle="miter"/>
              </v:shape>
            </w:pict>
          </mc:Fallback>
        </mc:AlternateContent>
      </w:r>
      <w:r w:rsidR="003B6047" w:rsidRPr="008F1260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70A41" wp14:editId="4FA15BAE">
                <wp:simplePos x="0" y="0"/>
                <wp:positionH relativeFrom="column">
                  <wp:posOffset>2052758</wp:posOffset>
                </wp:positionH>
                <wp:positionV relativeFrom="paragraph">
                  <wp:posOffset>189230</wp:posOffset>
                </wp:positionV>
                <wp:extent cx="178435" cy="62230"/>
                <wp:effectExtent l="0" t="38100" r="0" b="26670"/>
                <wp:wrapNone/>
                <wp:docPr id="17575721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35" cy="62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3E56" id="Straight Arrow Connector 5" o:spid="_x0000_s1026" type="#_x0000_t32" style="position:absolute;margin-left:161.65pt;margin-top:14.9pt;width:14.05pt;height:4.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" strokecolor="black [3213]" strokeweight="1pt">
                <v:stroke endarrow="block" joinstyle="miter"/>
              </v:shape>
            </w:pict>
          </mc:Fallback>
        </mc:AlternateContent>
      </w:r>
      <w:r w:rsidR="009E2C8E" w:rsidRPr="008F1260">
        <w:rPr>
          <w:rFonts w:ascii="Arial" w:hAnsi="Arial" w:cs="Arial"/>
          <w:noProof/>
          <w:color w:val="000000" w:themeColor="text1"/>
          <w:sz w:val="22"/>
          <w:szCs w:val="22"/>
          <w:shd w:val="clear" w:color="auto" w:fill="FFFFFF"/>
        </w:rPr>
        <w:drawing>
          <wp:inline distT="0" distB="0" distL="0" distR="0" wp14:anchorId="2AE536A1" wp14:editId="7155D236">
            <wp:extent cx="5830277" cy="2915138"/>
            <wp:effectExtent l="0" t="0" r="0" b="6350"/>
            <wp:docPr id="849902513" name="Picture 4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02513" name="Picture 4" descr="A graph of different colored lin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80" cy="29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8560" w14:textId="369F15CD" w:rsidR="009B6870" w:rsidRPr="008F1260" w:rsidRDefault="009E2C8E" w:rsidP="000B6B43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Figure 2: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Principal Component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Separat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e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High-Performance </w:t>
      </w:r>
      <w:proofErr w:type="spellStart"/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CreiLOV</w:t>
      </w:r>
      <w:proofErr w:type="spellEnd"/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Variants</w:t>
      </w:r>
    </w:p>
    <w:p w14:paraId="45661287" w14:textId="0CD51086" w:rsidR="003B6047" w:rsidRPr="008F1260" w:rsidRDefault="003B6047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separated variants (with PC36 &gt; 0.25 or PC14 &gt; 0.3) contained the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13 most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fluorescent proteins in the experimental dataset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including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and 12 single muta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tion variants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that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interestingly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almost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spanned the entire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length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of the </w:t>
      </w:r>
      <w:proofErr w:type="spellStart"/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(Figure 3).</w:t>
      </w:r>
    </w:p>
    <w:p w14:paraId="56A187FF" w14:textId="2A5D1132" w:rsidR="002910C1" w:rsidRPr="008F1260" w:rsidRDefault="002910C1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4F69806F" wp14:editId="0337BE91">
            <wp:extent cx="5356860" cy="1597458"/>
            <wp:effectExtent l="0" t="0" r="2540" b="3175"/>
            <wp:docPr id="2095022879" name="Picture 7" descr="A graph of a graph showing different types of molecu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22879" name="Picture 7" descr="A graph of a graph showing different types of molecules&#10;&#10;Description automatically generated with medium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77"/>
                    <a:stretch/>
                  </pic:blipFill>
                  <pic:spPr bwMode="auto">
                    <a:xfrm>
                      <a:off x="0" y="0"/>
                      <a:ext cx="5457586" cy="162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8C3EE" w14:textId="4FC9E3B1" w:rsidR="000B6B43" w:rsidRPr="008F1260" w:rsidRDefault="002910C1" w:rsidP="000B6B43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Figure 3: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Distribution of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Mutations in Separated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Variants in Principal Component Space</w:t>
      </w:r>
    </w:p>
    <w:p w14:paraId="5F1F18BB" w14:textId="06B4AB62" w:rsidR="000B6B43" w:rsidRPr="008F1260" w:rsidRDefault="000B6B43" w:rsidP="000B6B43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sz w:val="18"/>
          <w:szCs w:val="18"/>
        </w:rPr>
      </w:pPr>
      <w:r w:rsidRPr="008F1260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The black dots represent the original </w:t>
      </w:r>
      <w:proofErr w:type="spellStart"/>
      <w:r w:rsidRPr="008F1260">
        <w:rPr>
          <w:rFonts w:ascii="Arial" w:hAnsi="Arial" w:cs="Arial"/>
          <w:i/>
          <w:iCs/>
          <w:color w:val="000000" w:themeColor="text1"/>
          <w:sz w:val="18"/>
          <w:szCs w:val="18"/>
        </w:rPr>
        <w:t>CreiLOV</w:t>
      </w:r>
      <w:proofErr w:type="spellEnd"/>
      <w:r w:rsidRPr="008F1260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sequence. The green squares display mutations that occurred in the separated variants in principal component space.</w:t>
      </w:r>
    </w:p>
    <w:p w14:paraId="5C1BB908" w14:textId="09C4982C" w:rsidR="002910C1" w:rsidRDefault="00C36399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original </w:t>
      </w:r>
      <w:proofErr w:type="spellStart"/>
      <w:r w:rsidR="00D55A27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="00D55A27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sequence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</w:rPr>
        <w:t xml:space="preserve"> was projected into the principal component space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and transformed back 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</w:rPr>
        <w:t>into the original space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using 50, 100, or 200 principal components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</w:rPr>
        <w:t>. Sampling the amino acid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</w:rPr>
        <w:t xml:space="preserve"> with the greatest value in the reconstructed space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55A27" w:rsidRPr="008F1260">
        <w:rPr>
          <w:rFonts w:ascii="Arial" w:hAnsi="Arial" w:cs="Arial"/>
          <w:color w:val="000000" w:themeColor="text1"/>
          <w:sz w:val="22"/>
          <w:szCs w:val="22"/>
        </w:rPr>
        <w:t xml:space="preserve">resulted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in poor reconstruction of the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</w:rPr>
        <w:t xml:space="preserve"> (Table 2).</w:t>
      </w:r>
    </w:p>
    <w:p w14:paraId="537D433A" w14:textId="77777777" w:rsidR="008F1260" w:rsidRPr="008F1260" w:rsidRDefault="008F1260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52E7084" w14:textId="58FB966F" w:rsidR="002910C1" w:rsidRPr="008F1260" w:rsidRDefault="002910C1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Table 2: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Reconstruction Accuracy of </w:t>
      </w:r>
      <w:proofErr w:type="spellStart"/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CreiLOV</w:t>
      </w:r>
      <w:proofErr w:type="spellEnd"/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using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Principal Components</w:t>
      </w:r>
    </w:p>
    <w:p w14:paraId="06431D95" w14:textId="03B89AEA" w:rsidR="00B65E6A" w:rsidRPr="008F1260" w:rsidRDefault="002910C1" w:rsidP="009B6870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08B6B2C6" wp14:editId="21638C37">
            <wp:extent cx="2625754" cy="421635"/>
            <wp:effectExtent l="0" t="0" r="0" b="0"/>
            <wp:docPr id="719104137" name="Picture 6" descr="A list of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04137" name="Picture 6" descr="A list of black text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02" cy="48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01C6" w14:textId="58C481DB" w:rsidR="00657031" w:rsidRPr="008F1260" w:rsidRDefault="00B65E6A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The VAE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was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trained on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one-hot encoded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243,582 unlabeled natural protein sequences with corresponding phylogenetic weights in the objective function to account for uneven sampling and phylogenetic bias during stochastic gradient descent [</w:t>
      </w:r>
      <w:r w:rsidR="009E2C8E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8,11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]. The data was split into training and validation sets with a 90/10 split. A VAE architecture previously optimized</w:t>
      </w:r>
      <w:r w:rsidR="002910C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for the smallest final validation reconstruction loss was deployed.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The most correlated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latent dimensions from the VAE latent space were 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the 50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</w:rPr>
        <w:t>th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and 32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</w:rPr>
        <w:t>nd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latent dimensions, achieving up to a spearman correlation of 0.476 (Table 3). The 50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</w:rPr>
        <w:t>th</w:t>
      </w:r>
      <w:r w:rsidR="00657031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latent dimension had a Pearson correlation with variants containing 1-5 mutations of 0.42 as well (Figure 4).</w:t>
      </w:r>
    </w:p>
    <w:p w14:paraId="6AAC77DE" w14:textId="6F64A3B4" w:rsidR="00657031" w:rsidRPr="008F1260" w:rsidRDefault="00657031" w:rsidP="00657031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Table 3: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Correlation of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VAE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Latent Dimensions with Fluorescence</w:t>
      </w:r>
      <w:r w:rsidR="000B6B43" w:rsidRPr="008F1260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w:drawing>
          <wp:inline distT="0" distB="0" distL="0" distR="0" wp14:anchorId="7EE192E5" wp14:editId="7BE7B5D6">
            <wp:extent cx="5943600" cy="421640"/>
            <wp:effectExtent l="0" t="0" r="0" b="0"/>
            <wp:docPr id="28059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92222" name="Picture 2805922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00" cy="42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260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w:drawing>
          <wp:inline distT="0" distB="0" distL="0" distR="0" wp14:anchorId="167FC7F7" wp14:editId="681771B3">
            <wp:extent cx="4642629" cy="2907323"/>
            <wp:effectExtent l="0" t="0" r="5715" b="1270"/>
            <wp:docPr id="2089470763" name="Picture 2" descr="A blue dot diagram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70763" name="Picture 2" descr="A blue dot diagram with white text&#10;&#10;Description automatically generated with medium confidenc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3" t="10112" r="8692"/>
                    <a:stretch/>
                  </pic:blipFill>
                  <pic:spPr bwMode="auto">
                    <a:xfrm>
                      <a:off x="0" y="0"/>
                      <a:ext cx="4795473" cy="300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FE7FA" w14:textId="1BDFA6AF" w:rsidR="00657031" w:rsidRPr="008F1260" w:rsidRDefault="00657031" w:rsidP="007F71DB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Figure 4: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Correlating the 50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th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Latent Dimension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of VAE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and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 Fluorescence</w:t>
      </w:r>
    </w:p>
    <w:p w14:paraId="2FCDE513" w14:textId="2EB11015" w:rsidR="007F71DB" w:rsidRPr="008F1260" w:rsidRDefault="007F71DB" w:rsidP="007F71DB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original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sequence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was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encoded into the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>64-dimension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latent space of the VAE and decoded back into the original dimensions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. Sampling the amino acids with the greatest value in the reconstructed space resulted in 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reconstruction of the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sequence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with only the first 2 amino acids and last 4 amino acids being incorrect</w:t>
      </w:r>
      <w:r w:rsidR="000B6B43" w:rsidRPr="008F126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3EA22009" w14:textId="77777777" w:rsidR="00664D4D" w:rsidRPr="008F1260" w:rsidRDefault="00664D4D" w:rsidP="00CA4BDA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49DC092A" w14:textId="77777777" w:rsidR="00664D4D" w:rsidRPr="008F1260" w:rsidRDefault="00664D4D" w:rsidP="00CA4BDA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28782492" w14:textId="6CB3D415" w:rsidR="00B62F9F" w:rsidRPr="008F1260" w:rsidRDefault="00B62F9F" w:rsidP="00CA4BDA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Discussion</w:t>
      </w:r>
    </w:p>
    <w:p w14:paraId="6D1DFB60" w14:textId="77777777" w:rsidR="005A151E" w:rsidRPr="008F1260" w:rsidRDefault="00740ED4" w:rsidP="00740ED4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The top 50 principal components fail to capture the variance in the natural sequences perhaps because amino acid mutations affect many protein properties and therefore evolve with numerous, complicated constraints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 or because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PCA assumes a linear independence between features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 and cannot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effectively model complex evolutionary constraints.</w:t>
      </w:r>
    </w:p>
    <w:p w14:paraId="276442AD" w14:textId="18DCA3B9" w:rsidR="00A722DB" w:rsidRPr="008F1260" w:rsidRDefault="00740ED4" w:rsidP="00740ED4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PC14 and PC36</w:t>
      </w:r>
      <w:r w:rsidR="00FA271A" w:rsidRPr="008F1260">
        <w:rPr>
          <w:rFonts w:ascii="Arial" w:hAnsi="Arial" w:cs="Arial"/>
          <w:color w:val="000000" w:themeColor="text1"/>
          <w:sz w:val="22"/>
          <w:szCs w:val="22"/>
        </w:rPr>
        <w:t xml:space="preserve"> discrete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ly</w:t>
      </w:r>
      <w:r w:rsidR="00FA271A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separated the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most fluorescence variants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, but the separation was more discrete than</w:t>
      </w:r>
      <w:r w:rsidR="00FA271A" w:rsidRPr="008F1260">
        <w:rPr>
          <w:rFonts w:ascii="Arial" w:hAnsi="Arial" w:cs="Arial"/>
          <w:color w:val="000000" w:themeColor="text1"/>
          <w:sz w:val="22"/>
          <w:szCs w:val="22"/>
        </w:rPr>
        <w:t xml:space="preserve"> continuous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(Figure 2)</w:t>
      </w:r>
      <w:r w:rsidR="00FA271A" w:rsidRPr="008F126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The principal components would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not be robust for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predictive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regression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tasks such as scoring sequences during simulated annealing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, further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evident by low spearman correlations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(Table 1). The number of mutations in variants and spearman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correlation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were negatively correlated likely because PCA is not designed to capture non-linear relationships and cannot model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non-linear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interactions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between amino acid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s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. This may be why PCA is unable to effectively reconstruct sequences using the principal components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as well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(Table 2).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Interestingly however, s</w:t>
      </w:r>
      <w:r w:rsidR="00DC0F19" w:rsidRPr="008F1260">
        <w:rPr>
          <w:rFonts w:ascii="Arial" w:hAnsi="Arial" w:cs="Arial"/>
          <w:color w:val="000000" w:themeColor="text1"/>
          <w:sz w:val="22"/>
          <w:szCs w:val="22"/>
        </w:rPr>
        <w:t xml:space="preserve">everal one-hot encoded amino acid </w:t>
      </w:r>
      <w:r w:rsidR="00297B4B" w:rsidRPr="008F1260">
        <w:rPr>
          <w:rFonts w:ascii="Arial" w:hAnsi="Arial" w:cs="Arial"/>
          <w:color w:val="000000" w:themeColor="text1"/>
          <w:sz w:val="22"/>
          <w:szCs w:val="22"/>
        </w:rPr>
        <w:t>positions</w:t>
      </w:r>
      <w:r w:rsidR="00DC0F19" w:rsidRPr="008F1260">
        <w:rPr>
          <w:rFonts w:ascii="Arial" w:hAnsi="Arial" w:cs="Arial"/>
          <w:color w:val="000000" w:themeColor="text1"/>
          <w:sz w:val="22"/>
          <w:szCs w:val="22"/>
        </w:rPr>
        <w:t xml:space="preserve"> heavily contributed to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the principal components most correlated with fluorescence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r w:rsidR="00297B4B" w:rsidRPr="008F1260">
        <w:rPr>
          <w:rFonts w:ascii="Arial" w:hAnsi="Arial" w:cs="Arial"/>
          <w:color w:val="000000" w:themeColor="text1"/>
          <w:sz w:val="22"/>
          <w:szCs w:val="22"/>
        </w:rPr>
        <w:t xml:space="preserve">Table 4). </w:t>
      </w:r>
    </w:p>
    <w:p w14:paraId="04480A84" w14:textId="6DAD2B55" w:rsidR="00297B4B" w:rsidRPr="008F1260" w:rsidRDefault="00297B4B" w:rsidP="00297B4B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Table 4: </w:t>
      </w:r>
      <w:r w:rsidR="00DC6D1F" w:rsidRPr="008F1260">
        <w:rPr>
          <w:rFonts w:ascii="Arial" w:hAnsi="Arial" w:cs="Arial"/>
          <w:color w:val="000000" w:themeColor="text1"/>
          <w:sz w:val="22"/>
          <w:szCs w:val="22"/>
        </w:rPr>
        <w:t>Feature Contribution to PC14 and PC36</w:t>
      </w:r>
    </w:p>
    <w:p w14:paraId="38935D03" w14:textId="4E8788F8" w:rsidR="00297B4B" w:rsidRPr="008F1260" w:rsidRDefault="00DC6D1F" w:rsidP="00DC6D1F">
      <w:pPr>
        <w:spacing w:line="360" w:lineRule="auto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 wp14:anchorId="409E6471" wp14:editId="208D97EF">
            <wp:extent cx="3290277" cy="1038504"/>
            <wp:effectExtent l="0" t="0" r="0" b="3175"/>
            <wp:docPr id="773307463" name="Picture 3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07463" name="Picture 3" descr="A table with numbers and letters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"/>
                    <a:stretch/>
                  </pic:blipFill>
                  <pic:spPr bwMode="auto">
                    <a:xfrm>
                      <a:off x="0" y="0"/>
                      <a:ext cx="3384568" cy="106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998E8" w14:textId="306058EF" w:rsidR="00DC6D1F" w:rsidRPr="008F1260" w:rsidRDefault="00DC6D1F" w:rsidP="00DC6D1F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sz w:val="18"/>
          <w:szCs w:val="18"/>
        </w:rPr>
      </w:pPr>
      <w:r w:rsidRPr="008F1260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The 10 amino acid positions that contribute the most to PC14, PC36, and PC1 are shown with the amino acid positions shared by PC14 and PC36 highlighted in </w:t>
      </w:r>
      <w:proofErr w:type="gramStart"/>
      <w:r w:rsidRPr="008F1260">
        <w:rPr>
          <w:rFonts w:ascii="Arial" w:hAnsi="Arial" w:cs="Arial"/>
          <w:i/>
          <w:iCs/>
          <w:color w:val="000000" w:themeColor="text1"/>
          <w:sz w:val="18"/>
          <w:szCs w:val="18"/>
        </w:rPr>
        <w:t>blue</w:t>
      </w:r>
      <w:proofErr w:type="gramEnd"/>
    </w:p>
    <w:p w14:paraId="174065DE" w14:textId="18BB6C21" w:rsidR="00664D4D" w:rsidRPr="008F1260" w:rsidRDefault="00DC6D1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>The 92</w:t>
      </w:r>
      <w:r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nd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amino acid is often mutated in the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167,6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00 variants with lower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fluorescence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, but the 92</w:t>
      </w:r>
      <w:r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nd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amino acid is conserved 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>for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all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variants with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greate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st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fluorescenc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e.</w:t>
      </w:r>
      <w:r w:rsidR="00DC0F19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the 92</w:t>
      </w:r>
      <w:r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nd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amino acid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may be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in the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active site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 or necessary for fluorescen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ce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>We can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use this hypothesis to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conserve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>the 92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  <w:vertAlign w:val="superscript"/>
        </w:rPr>
        <w:t>nd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 xml:space="preserve"> amino acid 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>during simulated annealing to</w:t>
      </w:r>
      <w:r w:rsidR="004F7133" w:rsidRPr="008F1260">
        <w:rPr>
          <w:rFonts w:ascii="Arial" w:hAnsi="Arial" w:cs="Arial"/>
          <w:color w:val="000000" w:themeColor="text1"/>
          <w:sz w:val="22"/>
          <w:szCs w:val="22"/>
        </w:rPr>
        <w:t xml:space="preserve"> generate protein designs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 more likely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 xml:space="preserve"> to be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>fluorescen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t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. S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 xml:space="preserve">tructural information must be obtained first to assess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if the correlation is biological relevance or spurious</w:t>
      </w:r>
      <w:r w:rsidR="00A722DB" w:rsidRPr="008F1260">
        <w:rPr>
          <w:rFonts w:ascii="Arial" w:hAnsi="Arial" w:cs="Arial"/>
          <w:color w:val="000000" w:themeColor="text1"/>
          <w:sz w:val="22"/>
          <w:szCs w:val="22"/>
        </w:rPr>
        <w:t>.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The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amino acid positions in PC1 may 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be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more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correlated with protein 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stability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64D4D" w:rsidRPr="008F1260">
        <w:rPr>
          <w:rFonts w:ascii="Arial" w:hAnsi="Arial" w:cs="Arial"/>
          <w:color w:val="000000" w:themeColor="text1"/>
          <w:sz w:val="22"/>
          <w:szCs w:val="22"/>
        </w:rPr>
        <w:t>than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fluorescence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 as stability strongly influences evolutionary trajectories of proteins, but increasing protein stability can have a tradeoff with protein function</w:t>
      </w:r>
      <w:r w:rsidR="00E06BAD" w:rsidRPr="008F126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6EF6F83" w14:textId="77777777" w:rsidR="00553925" w:rsidRPr="008F1260" w:rsidRDefault="00912B11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The VAE proves superior for the reconstruction of sequences. The only mutations 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>arising upon compression and reconstruction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were 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>at the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beginning and end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of the protein where fewer evolutionary pressures are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often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present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, and t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hese amino acids are often less related to protein function. 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>Several VAE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latent dimensions proved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more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correlated with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fluorescence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 xml:space="preserve"> with a brief analysis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confirming </w:t>
      </w:r>
      <w:r w:rsidR="005A151E" w:rsidRPr="008F1260">
        <w:rPr>
          <w:rFonts w:ascii="Arial" w:hAnsi="Arial" w:cs="Arial"/>
          <w:color w:val="000000" w:themeColor="text1"/>
          <w:sz w:val="22"/>
          <w:szCs w:val="22"/>
        </w:rPr>
        <w:t>an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ability to score sequences during simulated annealing (Table 3, Figure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4). While the VAE outperforms PCA for scoring sequences using correlated latent dimensions and generating protein designs, the VAE 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 xml:space="preserve">is </w:t>
      </w:r>
      <w:r w:rsidR="00553925" w:rsidRPr="008F1260">
        <w:rPr>
          <w:rFonts w:ascii="Arial" w:hAnsi="Arial" w:cs="Arial"/>
          <w:color w:val="000000" w:themeColor="text1"/>
          <w:sz w:val="22"/>
          <w:szCs w:val="22"/>
        </w:rPr>
        <w:t xml:space="preserve">significantly more </w:t>
      </w:r>
      <w:r w:rsidR="00C17C37" w:rsidRPr="008F1260">
        <w:rPr>
          <w:rFonts w:ascii="Arial" w:hAnsi="Arial" w:cs="Arial"/>
          <w:color w:val="000000" w:themeColor="text1"/>
          <w:sz w:val="22"/>
          <w:szCs w:val="22"/>
        </w:rPr>
        <w:t xml:space="preserve">difficult to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interpret.</w:t>
      </w:r>
    </w:p>
    <w:p w14:paraId="3C0F47F2" w14:textId="077C8B71" w:rsidR="00C23D8F" w:rsidRPr="008F1260" w:rsidRDefault="00C23D8F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This paper covers a brief assessment of the predictive and generative capabilities of PCA and VAE for protein design. While the VAE outperforms PCA for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predictive and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reconstruction tasks</w:t>
      </w:r>
      <w:r w:rsidR="007D3E1F">
        <w:rPr>
          <w:rFonts w:ascii="Arial" w:hAnsi="Arial" w:cs="Arial"/>
          <w:color w:val="000000" w:themeColor="text1"/>
          <w:sz w:val="22"/>
          <w:szCs w:val="22"/>
        </w:rPr>
        <w:t xml:space="preserve"> during this brief assessment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, interpretation of PCA results </w:t>
      </w:r>
      <w:r w:rsidR="00553925" w:rsidRPr="008F1260">
        <w:rPr>
          <w:rFonts w:ascii="Arial" w:hAnsi="Arial" w:cs="Arial"/>
          <w:color w:val="000000" w:themeColor="text1"/>
          <w:sz w:val="22"/>
          <w:szCs w:val="22"/>
        </w:rPr>
        <w:t xml:space="preserve">if 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>experimental</w:t>
      </w:r>
      <w:r w:rsidR="00553925" w:rsidRPr="008F1260">
        <w:rPr>
          <w:rFonts w:ascii="Arial" w:hAnsi="Arial" w:cs="Arial"/>
          <w:color w:val="000000" w:themeColor="text1"/>
          <w:sz w:val="22"/>
          <w:szCs w:val="22"/>
        </w:rPr>
        <w:t>ly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validat</w:t>
      </w:r>
      <w:r w:rsidR="00553925" w:rsidRPr="008F1260">
        <w:rPr>
          <w:rFonts w:ascii="Arial" w:hAnsi="Arial" w:cs="Arial"/>
          <w:color w:val="000000" w:themeColor="text1"/>
          <w:sz w:val="22"/>
          <w:szCs w:val="22"/>
        </w:rPr>
        <w:t>ed</w:t>
      </w:r>
      <w:r w:rsidRPr="008F1260">
        <w:rPr>
          <w:rFonts w:ascii="Arial" w:hAnsi="Arial" w:cs="Arial"/>
          <w:color w:val="000000" w:themeColor="text1"/>
          <w:sz w:val="22"/>
          <w:szCs w:val="22"/>
        </w:rPr>
        <w:t xml:space="preserve"> may prove meaningful for protein design</w:t>
      </w:r>
      <w:r w:rsidR="007D3E1F">
        <w:rPr>
          <w:rFonts w:ascii="Arial" w:hAnsi="Arial" w:cs="Arial"/>
          <w:color w:val="000000" w:themeColor="text1"/>
          <w:sz w:val="22"/>
          <w:szCs w:val="22"/>
        </w:rPr>
        <w:t xml:space="preserve"> and further comparisons with different MSA and DMS datasets can provide more robust conclusions. </w:t>
      </w:r>
    </w:p>
    <w:p w14:paraId="050D362B" w14:textId="0FD343E9" w:rsidR="00F919F2" w:rsidRPr="008F1260" w:rsidRDefault="00B62F9F" w:rsidP="009B6870">
      <w:pPr>
        <w:spacing w:line="360" w:lineRule="auto"/>
        <w:rPr>
          <w:rFonts w:ascii="Arial" w:hAnsi="Arial" w:cs="Arial"/>
          <w:i/>
          <w:iCs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b/>
          <w:bCs/>
          <w:color w:val="000000" w:themeColor="text1"/>
          <w:sz w:val="22"/>
          <w:szCs w:val="22"/>
        </w:rPr>
        <w:t>References</w:t>
      </w:r>
    </w:p>
    <w:p w14:paraId="76324C9C" w14:textId="4D5D0031" w:rsidR="00636E75" w:rsidRPr="008F1260" w:rsidRDefault="00636E75" w:rsidP="009B6870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[1] Gelman, S.,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Fahlberg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S.A.,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Heinzelman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P., Romero, P.A. and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Gitter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A., 2021. Neural networks to learn protein sequence–function relationships from deep mutational scanning data.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Proceedings of the National Academy of Sciences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118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(48), p.e2104878118.</w:t>
      </w:r>
    </w:p>
    <w:p w14:paraId="68C9208A" w14:textId="0BC51712" w:rsidR="00636E75" w:rsidRPr="008F1260" w:rsidRDefault="00636E75" w:rsidP="009B6870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[2]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Freschlin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C.R.,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Fahlberg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S.A. and Romero, P.A., 2022. Machine learning to navigate fitness landscapes for protein engineering.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Current Opinion in Biotechnology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75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p.102713.</w:t>
      </w:r>
    </w:p>
    <w:p w14:paraId="48FA3C30" w14:textId="5E38078D" w:rsidR="00F919F2" w:rsidRPr="008F1260" w:rsidRDefault="00636E75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[3] </w:t>
      </w:r>
      <w:proofErr w:type="spellStart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Fahlberg</w:t>
      </w:r>
      <w:proofErr w:type="spellEnd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S.A., </w:t>
      </w:r>
      <w:proofErr w:type="spellStart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Freschlin</w:t>
      </w:r>
      <w:proofErr w:type="spellEnd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C.R., </w:t>
      </w:r>
      <w:proofErr w:type="spellStart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Heinzelman</w:t>
      </w:r>
      <w:proofErr w:type="spellEnd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P. and Romero, P.A., 2023. Neural network extrapolation to distant regions of the protein fitness landscape. </w:t>
      </w:r>
      <w:proofErr w:type="spellStart"/>
      <w:r w:rsidR="00F919F2"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bioRxiv</w:t>
      </w:r>
      <w:proofErr w:type="spellEnd"/>
      <w:r w:rsidR="00F919F2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pp.2023-11.</w:t>
      </w:r>
    </w:p>
    <w:p w14:paraId="3B181744" w14:textId="3E4EDDA5" w:rsidR="00657031" w:rsidRPr="008F1260" w:rsidRDefault="00657031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="007F71D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4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] Hsu, C.,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Nisonoff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H.,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Fannjiang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C. and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Listgarten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J., 2022. Learning protein fitness models from evolutionary and assay-labeled data.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Nature biotechnology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40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(7), pp.1114-1122.</w:t>
      </w:r>
    </w:p>
    <w:p w14:paraId="68F5A87C" w14:textId="1175F053" w:rsidR="00345D03" w:rsidRPr="008F1260" w:rsidRDefault="00345D03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="007F71D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5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 Wu, Z., Johnston, K.E., Arnold, F.H. and Yang, K.K., 2021. Protein sequence design with deep generative models.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Current opinion in chemical biology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65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pp.18-27.</w:t>
      </w:r>
    </w:p>
    <w:p w14:paraId="75173FE3" w14:textId="0CC1FD76" w:rsidR="007735BD" w:rsidRPr="008F1260" w:rsidRDefault="007735BD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[6]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Weinreich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D.M., Delaney, N.F.,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DePristo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M.A. and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Hartl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D.L., 2006. Darwinian evolution can follow only very few mutational paths to fitter proteins.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science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312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(5770), pp.111-114.</w:t>
      </w:r>
    </w:p>
    <w:p w14:paraId="099AB2A0" w14:textId="00C87F41" w:rsidR="007F71DB" w:rsidRPr="008F1260" w:rsidRDefault="007F71DB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7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]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Salverda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M.L.,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Dellus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E.,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Gorter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F.A.,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Debets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A.J., Van Der Oost, J., Hoekstra, R.F., Tawfik, D.S. and de Visser, J.A.G., 2011. Initial mutations direct alternative pathways of protein evolution. </w:t>
      </w:r>
      <w:proofErr w:type="spellStart"/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PLoS</w:t>
      </w:r>
      <w:proofErr w:type="spellEnd"/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genetics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7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(3), p.e1001321.</w:t>
      </w:r>
    </w:p>
    <w:p w14:paraId="29490221" w14:textId="2AB06D97" w:rsidR="00636E75" w:rsidRPr="008F1260" w:rsidRDefault="00636E75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="007F71D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8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] Hawkins-Hooker, A., Depardieu, F., Baur, S.,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Couairon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G., Chen, A. and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Bikard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D., 2021. Generating functional protein variants with variational autoencoders. </w:t>
      </w:r>
      <w:proofErr w:type="spellStart"/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PLoS</w:t>
      </w:r>
      <w:proofErr w:type="spellEnd"/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computational biology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17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(2), p.e1008736.</w:t>
      </w:r>
    </w:p>
    <w:p w14:paraId="57E45614" w14:textId="529CDB7A" w:rsidR="00636E75" w:rsidRPr="008F1260" w:rsidRDefault="00636E75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</w:t>
      </w:r>
      <w:r w:rsidR="007F71DB"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9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] Ding, X., Zou, Z. and Brooks III, C.L., 2019. Deciphering protein evolution and fitness landscapes with latent space models.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Nature communications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10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(1), p.5644.</w:t>
      </w:r>
    </w:p>
    <w:p w14:paraId="4C8D63F6" w14:textId="742BD11C" w:rsidR="00B65E6A" w:rsidRPr="008F1260" w:rsidRDefault="00B65E6A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[10] Johnson, L.S., Eddy, S.R. and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Portugaly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E., 2010. Hidden Markov model speed heuristic and iterative HMM search procedure.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BMC bioinformatics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11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pp.1-8.</w:t>
      </w:r>
    </w:p>
    <w:p w14:paraId="19DC5E9B" w14:textId="60642D1A" w:rsidR="00B65E6A" w:rsidRPr="008F1260" w:rsidRDefault="00B65E6A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[11]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Riesselman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A.J., Ingraham, J.B. and Marks, D.S., 2018. Deep generative models of genetic variation capture the effects of mutations.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Nature methods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15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(10), pp.816-822.</w:t>
      </w:r>
    </w:p>
    <w:p w14:paraId="5AE94879" w14:textId="42D1F4EE" w:rsidR="008D7D61" w:rsidRDefault="00B65E6A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lastRenderedPageBreak/>
        <w:t xml:space="preserve">[12] Chen, Y., Hu, R., Li, K., Zhang, Y., Fu, L., Zhang, J. and Si, T., 2023. Deep Mutational Scanning of an Oxygen-Independent Fluorescent Protein </w:t>
      </w:r>
      <w:proofErr w:type="spellStart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CreiLOV</w:t>
      </w:r>
      <w:proofErr w:type="spellEnd"/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for Comprehensive Profiling of Mutational and Epistatic Effects.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ACS Synthetic Biology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8F1260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12</w:t>
      </w:r>
      <w:r w:rsidRPr="008F126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(5), pp.1461-1473.</w:t>
      </w:r>
    </w:p>
    <w:p w14:paraId="345557BF" w14:textId="5AD97C53" w:rsidR="008D7D61" w:rsidRDefault="008D7D61" w:rsidP="009B6870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8D7D61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Code:</w:t>
      </w:r>
    </w:p>
    <w:p w14:paraId="357DD76A" w14:textId="77777777" w:rsidR="008D7D61" w:rsidRPr="008D7D61" w:rsidRDefault="008D7D61" w:rsidP="009B6870">
      <w:pPr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733D75B" w14:textId="77777777" w:rsidR="008D7D61" w:rsidRPr="008F1260" w:rsidRDefault="008D7D61" w:rsidP="009B6870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sectPr w:rsidR="008D7D61" w:rsidRPr="008F126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84DD" w14:textId="77777777" w:rsidR="00D044B7" w:rsidRDefault="00D044B7" w:rsidP="00B62F9F">
      <w:r>
        <w:separator/>
      </w:r>
    </w:p>
  </w:endnote>
  <w:endnote w:type="continuationSeparator" w:id="0">
    <w:p w14:paraId="2CFEB8A7" w14:textId="77777777" w:rsidR="00D044B7" w:rsidRDefault="00D044B7" w:rsidP="00B6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7E32B" w14:textId="77777777" w:rsidR="00D044B7" w:rsidRDefault="00D044B7" w:rsidP="00B62F9F">
      <w:r>
        <w:separator/>
      </w:r>
    </w:p>
  </w:footnote>
  <w:footnote w:type="continuationSeparator" w:id="0">
    <w:p w14:paraId="59CFDC7A" w14:textId="77777777" w:rsidR="00D044B7" w:rsidRDefault="00D044B7" w:rsidP="00B62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0655" w14:textId="7EEE215F" w:rsidR="00B62F9F" w:rsidRPr="00B62F9F" w:rsidRDefault="00B62F9F" w:rsidP="00B62F9F">
    <w:pPr>
      <w:pStyle w:val="Header"/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2916"/>
    <w:multiLevelType w:val="multilevel"/>
    <w:tmpl w:val="B988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2F73F1"/>
    <w:multiLevelType w:val="multilevel"/>
    <w:tmpl w:val="634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C8449A"/>
    <w:multiLevelType w:val="multilevel"/>
    <w:tmpl w:val="08BA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1D3478"/>
    <w:multiLevelType w:val="multilevel"/>
    <w:tmpl w:val="4A5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982187"/>
    <w:multiLevelType w:val="multilevel"/>
    <w:tmpl w:val="CD18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5236F2"/>
    <w:multiLevelType w:val="multilevel"/>
    <w:tmpl w:val="50E6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0482765">
    <w:abstractNumId w:val="5"/>
  </w:num>
  <w:num w:numId="2" w16cid:durableId="1358510326">
    <w:abstractNumId w:val="1"/>
  </w:num>
  <w:num w:numId="3" w16cid:durableId="78602991">
    <w:abstractNumId w:val="0"/>
  </w:num>
  <w:num w:numId="4" w16cid:durableId="1593860243">
    <w:abstractNumId w:val="3"/>
  </w:num>
  <w:num w:numId="5" w16cid:durableId="6710625">
    <w:abstractNumId w:val="2"/>
  </w:num>
  <w:num w:numId="6" w16cid:durableId="872574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9F"/>
    <w:rsid w:val="000A65B6"/>
    <w:rsid w:val="000B3239"/>
    <w:rsid w:val="000B6B43"/>
    <w:rsid w:val="000F7349"/>
    <w:rsid w:val="001A1A5D"/>
    <w:rsid w:val="002673A0"/>
    <w:rsid w:val="002910C1"/>
    <w:rsid w:val="00297B4B"/>
    <w:rsid w:val="00324730"/>
    <w:rsid w:val="00345D03"/>
    <w:rsid w:val="003B6047"/>
    <w:rsid w:val="003F6B7B"/>
    <w:rsid w:val="00436345"/>
    <w:rsid w:val="004F7133"/>
    <w:rsid w:val="00553925"/>
    <w:rsid w:val="005A151E"/>
    <w:rsid w:val="006361FD"/>
    <w:rsid w:val="00636E75"/>
    <w:rsid w:val="00646EE2"/>
    <w:rsid w:val="00657031"/>
    <w:rsid w:val="00664D4D"/>
    <w:rsid w:val="00683E17"/>
    <w:rsid w:val="00713944"/>
    <w:rsid w:val="00722449"/>
    <w:rsid w:val="00740ED4"/>
    <w:rsid w:val="007735BD"/>
    <w:rsid w:val="00797BA4"/>
    <w:rsid w:val="007D3D36"/>
    <w:rsid w:val="007D3E1F"/>
    <w:rsid w:val="007F71DB"/>
    <w:rsid w:val="007F77BB"/>
    <w:rsid w:val="008723F9"/>
    <w:rsid w:val="008A71E0"/>
    <w:rsid w:val="008B4FC2"/>
    <w:rsid w:val="008D7D61"/>
    <w:rsid w:val="008F1260"/>
    <w:rsid w:val="00903C81"/>
    <w:rsid w:val="00912B11"/>
    <w:rsid w:val="009B4EB6"/>
    <w:rsid w:val="009B6870"/>
    <w:rsid w:val="009E2C8E"/>
    <w:rsid w:val="00A00B32"/>
    <w:rsid w:val="00A445EF"/>
    <w:rsid w:val="00A52291"/>
    <w:rsid w:val="00A722DB"/>
    <w:rsid w:val="00A7266E"/>
    <w:rsid w:val="00AF6AAA"/>
    <w:rsid w:val="00B570D4"/>
    <w:rsid w:val="00B62F9F"/>
    <w:rsid w:val="00B65E6A"/>
    <w:rsid w:val="00B83C5B"/>
    <w:rsid w:val="00B974E4"/>
    <w:rsid w:val="00BB1B28"/>
    <w:rsid w:val="00C17C37"/>
    <w:rsid w:val="00C2136F"/>
    <w:rsid w:val="00C23D8F"/>
    <w:rsid w:val="00C36399"/>
    <w:rsid w:val="00CA0BB6"/>
    <w:rsid w:val="00CA4BDA"/>
    <w:rsid w:val="00CB1D61"/>
    <w:rsid w:val="00CC0919"/>
    <w:rsid w:val="00CC242A"/>
    <w:rsid w:val="00D0395A"/>
    <w:rsid w:val="00D044B7"/>
    <w:rsid w:val="00D55A27"/>
    <w:rsid w:val="00DC0F19"/>
    <w:rsid w:val="00DC6D1F"/>
    <w:rsid w:val="00DF05E0"/>
    <w:rsid w:val="00E06BAD"/>
    <w:rsid w:val="00E113BD"/>
    <w:rsid w:val="00E14C03"/>
    <w:rsid w:val="00E5516C"/>
    <w:rsid w:val="00F65A4D"/>
    <w:rsid w:val="00F919F2"/>
    <w:rsid w:val="00F96CA7"/>
    <w:rsid w:val="00FA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DA7D6"/>
  <w15:chartTrackingRefBased/>
  <w15:docId w15:val="{34442CD9-9583-7E42-8764-30B33052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F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F9F"/>
  </w:style>
  <w:style w:type="paragraph" w:styleId="Footer">
    <w:name w:val="footer"/>
    <w:basedOn w:val="Normal"/>
    <w:link w:val="FooterChar"/>
    <w:uiPriority w:val="99"/>
    <w:unhideWhenUsed/>
    <w:rsid w:val="00B62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F9F"/>
  </w:style>
  <w:style w:type="paragraph" w:styleId="ListParagraph">
    <w:name w:val="List Paragraph"/>
    <w:basedOn w:val="Normal"/>
    <w:uiPriority w:val="34"/>
    <w:qFormat/>
    <w:rsid w:val="00646E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570D4"/>
  </w:style>
  <w:style w:type="character" w:styleId="Emphasis">
    <w:name w:val="Emphasis"/>
    <w:basedOn w:val="DefaultParagraphFont"/>
    <w:uiPriority w:val="20"/>
    <w:qFormat/>
    <w:rsid w:val="00B570D4"/>
    <w:rPr>
      <w:i/>
      <w:iCs/>
    </w:rPr>
  </w:style>
  <w:style w:type="character" w:styleId="Strong">
    <w:name w:val="Strong"/>
    <w:basedOn w:val="DefaultParagraphFont"/>
    <w:uiPriority w:val="22"/>
    <w:qFormat/>
    <w:rsid w:val="00CA0B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3C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68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3415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9073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833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1194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7064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1858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Lane Blalock</dc:creator>
  <cp:keywords/>
  <dc:description/>
  <cp:lastModifiedBy>Nathaniel Lane Blalock</cp:lastModifiedBy>
  <cp:revision>35</cp:revision>
  <dcterms:created xsi:type="dcterms:W3CDTF">2023-12-10T20:14:00Z</dcterms:created>
  <dcterms:modified xsi:type="dcterms:W3CDTF">2023-12-11T22:23:00Z</dcterms:modified>
</cp:coreProperties>
</file>