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3756" w14:textId="77777777" w:rsidR="00E14C03" w:rsidRPr="000B6B43" w:rsidRDefault="00E14C03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D89A70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960CB7D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916C045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A7F8BDB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BBC208C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A85F76D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7D94B859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A5EEAAC" w14:textId="77777777" w:rsidR="00A7266E" w:rsidRPr="000B6B43" w:rsidRDefault="00A7266E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323D202" w14:textId="77777777" w:rsidR="00B62F9F" w:rsidRPr="000B6B43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DF6CDA7" w14:textId="77777777" w:rsidR="00B62F9F" w:rsidRPr="000B6B43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FEA7886" w14:textId="1FB62F21" w:rsidR="000B6B43" w:rsidRPr="000B6B43" w:rsidRDefault="00107089" w:rsidP="000B6B4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Brief Assessment of 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Predictive and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G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enerative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C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apabilities of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P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rincipal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C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omponent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A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nalysis for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P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rotein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esign</w:t>
      </w:r>
    </w:p>
    <w:p w14:paraId="4FCAB8EF" w14:textId="7777777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7D90B71C" w14:textId="7777777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EAD92EF" w14:textId="40E3C88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Nathaniel Blalock</w:t>
      </w:r>
    </w:p>
    <w:p w14:paraId="29EFD2E8" w14:textId="71EB5643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CBE562: Statistics</w:t>
      </w:r>
    </w:p>
    <w:p w14:paraId="37A2B548" w14:textId="688AE2F5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December 14</w:t>
      </w:r>
      <w:r w:rsidRPr="000B6B43">
        <w:rPr>
          <w:rFonts w:ascii="Arial" w:hAnsi="Arial" w:cs="Arial"/>
          <w:color w:val="000000" w:themeColor="text1"/>
          <w:sz w:val="22"/>
          <w:szCs w:val="22"/>
          <w:vertAlign w:val="superscript"/>
        </w:rPr>
        <w:t>th</w:t>
      </w:r>
      <w:r w:rsidRPr="000B6B43">
        <w:rPr>
          <w:rFonts w:ascii="Arial" w:hAnsi="Arial" w:cs="Arial"/>
          <w:color w:val="000000" w:themeColor="text1"/>
          <w:sz w:val="22"/>
          <w:szCs w:val="22"/>
        </w:rPr>
        <w:t>, 2023</w:t>
      </w:r>
    </w:p>
    <w:p w14:paraId="1753A587" w14:textId="37DC87A5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73F4604F" w14:textId="7806DE58" w:rsidR="00A52291" w:rsidRPr="008F1260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Introduction</w:t>
      </w:r>
    </w:p>
    <w:p w14:paraId="27D9DFCE" w14:textId="5E346C2C" w:rsidR="007735BD" w:rsidRPr="008F1260" w:rsidRDefault="00A52291" w:rsidP="00797BA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Proteins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address some of the greatest problems facing society including treating chronic illnesses, producing sustainable biofuels, and advancing waste-to-energy platforms to fight climate change. The scope for innovation is nearly limitless given the multifaceted roles of proteins in biological systems.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rotein design spaces are remarkedly large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A relatively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short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119 amino acid has a design space of 20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119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(or 6.65 x 10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154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) sequences.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 xml:space="preserve">This means the protein design space for most proteins is larger than the estimated number of atoms in the universe.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Protein engineers therefore aspire to explore protein design space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 xml:space="preserve">computationally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design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 xml:space="preserve">superior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proteins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C203D20" w14:textId="729D1A07" w:rsidR="00DF05E0" w:rsidRPr="008F1260" w:rsidRDefault="009B6870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Deep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learning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 engineering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has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improved our ability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>to model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local protein design 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>landscape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 from experimental data by learning the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complicated,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non-linear 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relationship between protein sequence and function [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1-2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These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supervised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 models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while state-of-the-art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are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limited in their ability to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>extrapolat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e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beyond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 training data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for regression tasks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[3].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Unsupervised deep learning models have recently drawn attention for designing proteins by leveraging unlabeled natural protein sequences [4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-5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].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N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atural selection provides selective pressure for beneficial amino acid mutations during evolutionary trajectories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6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-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7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]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A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family of natural sequences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can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therefore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provide insight into biologically relevant constraints.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Th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ese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constraint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enable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further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exploration of the protein design space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combined with insights from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a supervised model and 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design proteins with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a desirable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function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enhanced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A variational autoencoder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(VAE) is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an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unsupervised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deep learning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model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proving capable of learning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related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natural sequences aligned to a protein-of-interest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design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ing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similarly functioning,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novel,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and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diverse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sequences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8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]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regularized latent space of a VAE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has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been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correlated with protein function 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9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Given that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space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dimensions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be correlated with protein function, the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correlated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latent space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dimension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can potentially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help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guide a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stochastic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search algorithm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with a supervised model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to design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protein sequences with superior function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Simulated annealing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is an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 xml:space="preserve">effective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search algorithm for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explor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ing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rotein design space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[3]. During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each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timestep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of simulated annealing, an amino acid is randomly </w:t>
      </w:r>
      <w:proofErr w:type="gramStart"/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mutated</w:t>
      </w:r>
      <w:proofErr w:type="gramEnd"/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 xml:space="preserve">various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models can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predict the function of the generated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sequence. After many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timesteps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, a protein with superior function can be found. 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</w:rPr>
        <w:t>Principal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component analysis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(PCA)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provides a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n alternative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statistical framework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correlating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principal components (PCs)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limited experimental data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predicting the function of generated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 sequences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 xml:space="preserve"> This work compares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the predictive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, and briefly generative,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capabilities of 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>principal component analysis and a variational autoencoder for protein design.</w:t>
      </w:r>
    </w:p>
    <w:p w14:paraId="4708D65E" w14:textId="77777777" w:rsidR="00797BA4" w:rsidRPr="008F1260" w:rsidRDefault="00797BA4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48E67FE" w14:textId="5A92A676" w:rsidR="00B62F9F" w:rsidRPr="008F1260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Methods</w:t>
      </w:r>
    </w:p>
    <w:p w14:paraId="62EC6B3B" w14:textId="5EBFEB8B" w:rsidR="00D55A27" w:rsidRPr="008F1260" w:rsidRDefault="00713944" w:rsidP="000B6B43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has emerged as a promising thermostable, photostable, and rapidly maturing monomeric fluorescent protein that operates independently of oxygen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novel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study and engineer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>ing of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enzymes and metabolic pathways in anaerobic environments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including 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gut microbiome, tumor environments, and high-density fermentations.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A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</w:rPr>
        <w:t xml:space="preserve"> multiple sequence alignment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>of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</w:t>
      </w:r>
      <w:r w:rsidR="00AF6AA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82 natural protein sequences related to </w:t>
      </w:r>
      <w:proofErr w:type="spellStart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was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curated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using </w:t>
      </w:r>
      <w:proofErr w:type="spellStart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Jackhmmer</w:t>
      </w:r>
      <w:proofErr w:type="spellEnd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software 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10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after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removing 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equences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less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than 55% of the length of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columns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not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corresponding to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protein-of-interest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8,11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]. 167,613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variants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of </w:t>
      </w:r>
      <w:proofErr w:type="spellStart"/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were obtained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assessing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correlatio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of principal components with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fluorescent measurements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].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CA0BB6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243,582 unlabeled natural protein sequences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one-hot encoded 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and flattened into a 2-dimensional matrix.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Principal component analysis (PCA)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was performed 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using </w:t>
      </w:r>
      <w:proofErr w:type="spellStart"/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sklearn</w:t>
      </w:r>
      <w:proofErr w:type="spellEnd"/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with a random seed of 0 for reproducibility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top </w:t>
      </w:r>
      <w:r w:rsidR="0072244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50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principal components explain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ed 30% of the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variance in the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multiple sequence alignment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The first component explained </w:t>
      </w:r>
      <w:r w:rsidR="00740ED4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&lt;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4% of the variance in the data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(Figure 1).</w:t>
      </w:r>
    </w:p>
    <w:p w14:paraId="64139748" w14:textId="5ACC8388" w:rsidR="009E2C8E" w:rsidRPr="008F1260" w:rsidRDefault="009E2C8E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72DEDC6F" wp14:editId="5F532FF8">
            <wp:extent cx="4979512" cy="3485662"/>
            <wp:effectExtent l="0" t="0" r="0" b="0"/>
            <wp:docPr id="372089550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550" name="Picture 1" descr="A graph with a dotted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79" cy="36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BB4A" w14:textId="1FB94232" w:rsidR="009E2C8E" w:rsidRPr="008F1260" w:rsidRDefault="009E2C8E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Figure 1: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Variance Explained in Multiple Sequence Alignment by Principal Components</w:t>
      </w:r>
    </w:p>
    <w:p w14:paraId="1F201285" w14:textId="38227286" w:rsidR="00C36399" w:rsidRPr="008F1260" w:rsidRDefault="00C2136F" w:rsidP="000B6B43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167,613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variants of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one-hot encoded,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flattened into a 2-dimensional matrix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and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transformed into the principal component space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most correlated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principal components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PC36 and PC14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correlation decreased as the number of mutations increased (Table 1).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Interestingly, PC36 and PC14 discretely separate the best performing variants (Figure 2).</w:t>
      </w:r>
    </w:p>
    <w:p w14:paraId="644F65A7" w14:textId="73B80CAB" w:rsidR="009E2C8E" w:rsidRPr="008F1260" w:rsidRDefault="009E2C8E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Table 1: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Correlation of Principal Components with Fluorescence</w:t>
      </w:r>
    </w:p>
    <w:p w14:paraId="29F62DFF" w14:textId="1FE686B6" w:rsidR="009E2C8E" w:rsidRPr="008F1260" w:rsidRDefault="00C36399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39DEB921" wp14:editId="3890AF8C">
            <wp:extent cx="5943600" cy="483235"/>
            <wp:effectExtent l="0" t="0" r="0" b="0"/>
            <wp:docPr id="1489528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8637" name="Picture 14895286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015" cy="4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E6D3" w14:textId="0B3741E1" w:rsidR="009E2C8E" w:rsidRPr="008F1260" w:rsidRDefault="0065703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F3423" wp14:editId="7B621F15">
                <wp:simplePos x="0" y="0"/>
                <wp:positionH relativeFrom="column">
                  <wp:posOffset>674271</wp:posOffset>
                </wp:positionH>
                <wp:positionV relativeFrom="paragraph">
                  <wp:posOffset>2229645</wp:posOffset>
                </wp:positionV>
                <wp:extent cx="154093" cy="141816"/>
                <wp:effectExtent l="25400" t="0" r="14605" b="36830"/>
                <wp:wrapNone/>
                <wp:docPr id="5721167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93" cy="1418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25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3.1pt;margin-top:175.55pt;width:12.15pt;height:11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" strokecolor="black [3213]" strokeweight="1pt">
                <v:stroke endarrow="block" joinstyle="miter"/>
              </v:shape>
            </w:pict>
          </mc:Fallback>
        </mc:AlternateContent>
      </w:r>
      <w:r w:rsidR="003B6047"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C99B6" wp14:editId="164B5308">
                <wp:simplePos x="0" y="0"/>
                <wp:positionH relativeFrom="column">
                  <wp:posOffset>2052320</wp:posOffset>
                </wp:positionH>
                <wp:positionV relativeFrom="paragraph">
                  <wp:posOffset>251460</wp:posOffset>
                </wp:positionV>
                <wp:extent cx="178435" cy="68580"/>
                <wp:effectExtent l="0" t="12700" r="24765" b="45720"/>
                <wp:wrapNone/>
                <wp:docPr id="3801588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68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75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6pt;margin-top:19.8pt;width:14.05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" strokecolor="black [3213]" strokeweight="1pt">
                <v:stroke endarrow="block" joinstyle="miter"/>
              </v:shape>
            </w:pict>
          </mc:Fallback>
        </mc:AlternateContent>
      </w:r>
      <w:r w:rsidR="003B6047"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70A41" wp14:editId="4FA15BAE">
                <wp:simplePos x="0" y="0"/>
                <wp:positionH relativeFrom="column">
                  <wp:posOffset>2052758</wp:posOffset>
                </wp:positionH>
                <wp:positionV relativeFrom="paragraph">
                  <wp:posOffset>189230</wp:posOffset>
                </wp:positionV>
                <wp:extent cx="178435" cy="62230"/>
                <wp:effectExtent l="0" t="38100" r="0" b="26670"/>
                <wp:wrapNone/>
                <wp:docPr id="17575721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" cy="62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5395" id="Straight Arrow Connector 5" o:spid="_x0000_s1026" type="#_x0000_t32" style="position:absolute;margin-left:161.65pt;margin-top:14.9pt;width:14.05pt;height:4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" strokecolor="black [3213]" strokeweight="1pt">
                <v:stroke endarrow="block" joinstyle="miter"/>
              </v:shape>
            </w:pict>
          </mc:Fallback>
        </mc:AlternateContent>
      </w:r>
      <w:r w:rsidR="009E2C8E"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2AE536A1" wp14:editId="7155D236">
            <wp:extent cx="5830277" cy="2915138"/>
            <wp:effectExtent l="0" t="0" r="0" b="6350"/>
            <wp:docPr id="849902513" name="Picture 4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02513" name="Picture 4" descr="A graph of different colore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80" cy="29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8560" w14:textId="369F15CD" w:rsidR="009B6870" w:rsidRPr="008F1260" w:rsidRDefault="009E2C8E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Figure 2: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Principal Components Separate High-Performance </w:t>
      </w:r>
      <w:proofErr w:type="spellStart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Variants</w:t>
      </w:r>
    </w:p>
    <w:p w14:paraId="45661287" w14:textId="0CD51086" w:rsidR="003B6047" w:rsidRPr="008F1260" w:rsidRDefault="003B6047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separated variants (with PC36 &gt; 0.25 or PC14 &gt; 0.3) contained the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13 most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fluorescent proteins in the experimental dataset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including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12 single muta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tion variants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that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interestingly almost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spanned the entire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length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of the </w:t>
      </w:r>
      <w:proofErr w:type="spellStart"/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(Figure 3).</w:t>
      </w:r>
    </w:p>
    <w:p w14:paraId="56A187FF" w14:textId="2A5D1132" w:rsidR="002910C1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F69806F" wp14:editId="4CAD89EA">
            <wp:extent cx="5356860" cy="1597458"/>
            <wp:effectExtent l="0" t="0" r="2540" b="3175"/>
            <wp:docPr id="2095022879" name="Picture 7" descr="A graph of a graph showing different types of molecu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22879" name="Picture 7" descr="A graph of a graph showing different types of molecules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/>
                    <a:stretch/>
                  </pic:blipFill>
                  <pic:spPr bwMode="auto">
                    <a:xfrm>
                      <a:off x="0" y="0"/>
                      <a:ext cx="5457586" cy="162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8C3EE" w14:textId="4FC9E3B1" w:rsidR="000B6B43" w:rsidRPr="008F1260" w:rsidRDefault="002910C1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Figure 3: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Distribution of Mutations in Separated Variants in Principal Component Space</w:t>
      </w:r>
    </w:p>
    <w:p w14:paraId="5F1F18BB" w14:textId="06B4AB62" w:rsidR="000B6B43" w:rsidRPr="008F1260" w:rsidRDefault="000B6B43" w:rsidP="000B6B43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The black dots represent the original 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>CreiLOV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sequence. The green squares display mutations that occurred in the separated variants in principal component space.</w:t>
      </w:r>
    </w:p>
    <w:p w14:paraId="5C1BB908" w14:textId="09C4982C" w:rsidR="002910C1" w:rsidRDefault="00C3639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original </w:t>
      </w:r>
      <w:proofErr w:type="spellStart"/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sequence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 was projected into the principal component space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and transformed back 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>into the original space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using 50, 100, or 200 principal components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>. Sampling the amino acid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the greatest value in the reconstructed space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resulted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in poor reconstruction of the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(Table 2).</w:t>
      </w:r>
    </w:p>
    <w:p w14:paraId="537D433A" w14:textId="77777777" w:rsidR="008F1260" w:rsidRPr="008F1260" w:rsidRDefault="008F1260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52E7084" w14:textId="58FB966F" w:rsidR="002910C1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Table 2: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Reconstruction Accuracy of </w:t>
      </w:r>
      <w:proofErr w:type="spellStart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 using Principal Components</w:t>
      </w:r>
    </w:p>
    <w:p w14:paraId="06431D95" w14:textId="03B89AEA" w:rsidR="00B65E6A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8B6B2C6" wp14:editId="21638C37">
            <wp:extent cx="2625754" cy="421635"/>
            <wp:effectExtent l="0" t="0" r="0" b="0"/>
            <wp:docPr id="719104137" name="Picture 6" descr="A list of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04137" name="Picture 6" descr="A list of black 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4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1C6" w14:textId="58C481DB" w:rsidR="00657031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VAE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was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trained on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one-hot encoded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243,582 unlabeled natural protein sequences with corresponding phylogenetic weights in the objective function to account for uneven sampling and phylogenetic bias during stochastic gradient descent [</w:t>
      </w:r>
      <w:r w:rsidR="009E2C8E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8,11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]. The data was split into training and validation sets with a 90/10 split. A VAE architecture previously optimized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the smallest final validation reconstruction loss was deployed.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The most correlated latent dimensions from the VAE latent space were the 50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32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nd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latent dimensions, achieving up to a spearman correlation of 0.476 (Table 3). The 50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latent dimension had a Pearson correlation with variants containing 1-5 mutations of 0.42 as well (Figure 4).</w:t>
      </w:r>
    </w:p>
    <w:p w14:paraId="6AAC77DE" w14:textId="6F64A3B4" w:rsidR="00657031" w:rsidRPr="008F1260" w:rsidRDefault="00657031" w:rsidP="0065703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Table 3: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Correlation of VAE Latent Dimensions with Fluorescence</w:t>
      </w:r>
      <w:r w:rsidR="000B6B43"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7EE192E5" wp14:editId="7BE7B5D6">
            <wp:extent cx="5943600" cy="421640"/>
            <wp:effectExtent l="0" t="0" r="0" b="0"/>
            <wp:docPr id="28059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92222" name="Picture 2805922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00" cy="4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167FC7F7" wp14:editId="681771B3">
            <wp:extent cx="4642629" cy="2907323"/>
            <wp:effectExtent l="0" t="0" r="5715" b="1270"/>
            <wp:docPr id="2089470763" name="Picture 2" descr="A blue dot diagram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0763" name="Picture 2" descr="A blue dot diagram with white text&#10;&#10;Description automatically generated with medium confidenc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3" t="10112" r="8692"/>
                    <a:stretch/>
                  </pic:blipFill>
                  <pic:spPr bwMode="auto">
                    <a:xfrm>
                      <a:off x="0" y="0"/>
                      <a:ext cx="4795473" cy="300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FE7FA" w14:textId="1BDFA6AF" w:rsidR="00657031" w:rsidRPr="008F1260" w:rsidRDefault="00657031" w:rsidP="007F71DB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Figure 4: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Correlating the 50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th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Dimension of VAE and Fluorescence</w:t>
      </w:r>
    </w:p>
    <w:p w14:paraId="2FCDE513" w14:textId="2EB11015" w:rsidR="007F71DB" w:rsidRPr="008F1260" w:rsidRDefault="007F71DB" w:rsidP="007F71D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original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sequence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was encoded into the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64-dimension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space of the VAE and decoded back into the original dimensions. Sampling the amino acids with the greatest value in the reconstructed space resulted in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reconstruction of the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 with only the first 2 amino acids and last 4 amino acids being incorrect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3EA22009" w14:textId="77777777" w:rsidR="00664D4D" w:rsidRPr="008F1260" w:rsidRDefault="00664D4D" w:rsidP="00CA4BD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49DC092A" w14:textId="77777777" w:rsidR="00664D4D" w:rsidRPr="008F1260" w:rsidRDefault="00664D4D" w:rsidP="00CA4BD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8782492" w14:textId="6CB3D415" w:rsidR="00B62F9F" w:rsidRPr="008F1260" w:rsidRDefault="00B62F9F" w:rsidP="00CA4BDA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Discussion</w:t>
      </w:r>
    </w:p>
    <w:p w14:paraId="0CAFBB35" w14:textId="77777777" w:rsidR="009D0BC5" w:rsidRDefault="00740ED4" w:rsidP="00740ED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 top 50 principal components fail to capture the variance in the natural sequences perhaps because amino acid mutations affect many protein properties and therefore evolve with numerous, complicated constraints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or because PCA assumes a linear independence between features and cannot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effectively model complex evolutionary constraints.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However,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PC14 and PC36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discrete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ly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>separated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the most fluorescence variants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even though </w:t>
      </w:r>
      <w:r w:rsidR="009D0BC5" w:rsidRPr="008F1260">
        <w:rPr>
          <w:rFonts w:ascii="Arial" w:hAnsi="Arial" w:cs="Arial"/>
          <w:color w:val="000000" w:themeColor="text1"/>
          <w:sz w:val="22"/>
          <w:szCs w:val="22"/>
        </w:rPr>
        <w:t>spearman correlations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were low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(Table 1)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, but the separation was 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>not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continuous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as would be desired for </w:t>
      </w:r>
      <w:r w:rsidR="009D0BC5" w:rsidRPr="008F1260">
        <w:rPr>
          <w:rFonts w:ascii="Arial" w:hAnsi="Arial" w:cs="Arial"/>
          <w:color w:val="000000" w:themeColor="text1"/>
          <w:sz w:val="22"/>
          <w:szCs w:val="22"/>
        </w:rPr>
        <w:t>predictive regression tasks such as scoring sequences during simulated annealing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(Figure 2)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The number of mutations in variants and spearman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correlation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were negatively correlated likely because PCA is not designed to capture non-linear relationships and cannot model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non-linear interactions between amino acids. This may be why PCA is unable to effectively reconstruct sequences using 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>50, 100, or 200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principal components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as well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(Table 2).</w:t>
      </w:r>
    </w:p>
    <w:p w14:paraId="276442AD" w14:textId="11914278" w:rsidR="00A722DB" w:rsidRPr="008F1260" w:rsidRDefault="00E06BAD" w:rsidP="00740ED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Interestingly, s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everal one-hot encoded amino acid </w:t>
      </w:r>
      <w:r w:rsidR="00297B4B" w:rsidRPr="008F1260">
        <w:rPr>
          <w:rFonts w:ascii="Arial" w:hAnsi="Arial" w:cs="Arial"/>
          <w:color w:val="000000" w:themeColor="text1"/>
          <w:sz w:val="22"/>
          <w:szCs w:val="22"/>
        </w:rPr>
        <w:t>positions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 heavily contributed to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the principal components most correlated with fluorescence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297B4B"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4). </w:t>
      </w:r>
    </w:p>
    <w:p w14:paraId="04480A84" w14:textId="6DAD2B55" w:rsidR="00297B4B" w:rsidRPr="008F1260" w:rsidRDefault="00297B4B" w:rsidP="00297B4B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4: </w:t>
      </w:r>
      <w:r w:rsidR="00DC6D1F" w:rsidRPr="008F1260">
        <w:rPr>
          <w:rFonts w:ascii="Arial" w:hAnsi="Arial" w:cs="Arial"/>
          <w:color w:val="000000" w:themeColor="text1"/>
          <w:sz w:val="22"/>
          <w:szCs w:val="22"/>
        </w:rPr>
        <w:t>Feature Contribution to PC14 and PC36</w:t>
      </w:r>
    </w:p>
    <w:p w14:paraId="38935D03" w14:textId="44C9F6B0" w:rsidR="00297B4B" w:rsidRPr="008F1260" w:rsidRDefault="00DC6D1F" w:rsidP="00DC6D1F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09E6471" wp14:editId="208D97EF">
            <wp:extent cx="3290277" cy="1038504"/>
            <wp:effectExtent l="0" t="0" r="0" b="3175"/>
            <wp:docPr id="773307463" name="Picture 3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07463" name="Picture 3" descr="A table with numbers and letters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"/>
                    <a:stretch/>
                  </pic:blipFill>
                  <pic:spPr bwMode="auto">
                    <a:xfrm>
                      <a:off x="0" y="0"/>
                      <a:ext cx="3384568" cy="106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998E8" w14:textId="306058EF" w:rsidR="00DC6D1F" w:rsidRPr="008F1260" w:rsidRDefault="00DC6D1F" w:rsidP="00DC6D1F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The 10 amino acid positions that contribute the most to PC14, PC36, and PC1 are shown with the amino acid positions shared by PC14 and PC36 highlighted in </w:t>
      </w:r>
      <w:proofErr w:type="gramStart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>blue</w:t>
      </w:r>
      <w:proofErr w:type="gramEnd"/>
    </w:p>
    <w:p w14:paraId="174065DE" w14:textId="18BB6C21" w:rsidR="00664D4D" w:rsidRPr="008F1260" w:rsidRDefault="00DC6D1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is often mutated in the 167,600 variants with lower fluorescence, but 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is conserved 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all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variants with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greate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st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fluorescence.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may be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in 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active site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or necessary for fluorescen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ce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We can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use this hypothesis to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conserve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>the 92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during simulated annealing to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generate protein designs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more likely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 xml:space="preserve"> to be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fluorescen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. 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tructural information must be obtained first to assess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if the correlation is biological relevance or spurious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positions in PC1 may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be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more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correlated with protein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stability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than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fluorescence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as stability strongly influences evolutionary trajectories of proteins, but increasing protein stability can have a tradeoff with protein function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6EF6F83" w14:textId="77777777" w:rsidR="00553925" w:rsidRPr="008F1260" w:rsidRDefault="00912B1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The VAE proves superior for the reconstruction of sequences. The only mutations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arising upon compression and reconstruction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were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at 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beginning and end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of the protein where fewer evolutionary pressures are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often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present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, and 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hese amino acids are often less related to protein function.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Several VAE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dimensions proved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more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correlated with fluorescence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a brief analysis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confirming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an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ability to score sequences during simulated annealing (Table 3, Figure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4). While the VAE outperforms PCA for scoring sequences using correlated latent dimensions and generating protein designs, the VAE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is 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 xml:space="preserve">significantly more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difficult to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interpret.</w:t>
      </w:r>
    </w:p>
    <w:p w14:paraId="3C0F47F2" w14:textId="077C8B71" w:rsidR="00C23D8F" w:rsidRPr="008F1260" w:rsidRDefault="00C23D8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This paper covers a brief assessment of the predictive and generative capabilities of PCA and VAE for protein design. While the VAE outperforms PCA for predictive and reconstruction tasks</w:t>
      </w:r>
      <w:r w:rsidR="007D3E1F">
        <w:rPr>
          <w:rFonts w:ascii="Arial" w:hAnsi="Arial" w:cs="Arial"/>
          <w:color w:val="000000" w:themeColor="text1"/>
          <w:sz w:val="22"/>
          <w:szCs w:val="22"/>
        </w:rPr>
        <w:t xml:space="preserve"> during this brief assessment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, interpretation of PCA results 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 xml:space="preserve">if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experimental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>ly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validat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>ed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may prove meaningful for protein design</w:t>
      </w:r>
      <w:r w:rsidR="007D3E1F">
        <w:rPr>
          <w:rFonts w:ascii="Arial" w:hAnsi="Arial" w:cs="Arial"/>
          <w:color w:val="000000" w:themeColor="text1"/>
          <w:sz w:val="22"/>
          <w:szCs w:val="22"/>
        </w:rPr>
        <w:t xml:space="preserve"> and further comparisons with different MSA and DMS datasets can provide more robust conclusions. </w:t>
      </w:r>
    </w:p>
    <w:p w14:paraId="050D362B" w14:textId="0FD343E9" w:rsidR="00F919F2" w:rsidRPr="008F1260" w:rsidRDefault="00B62F9F" w:rsidP="009B6870">
      <w:pPr>
        <w:spacing w:line="360" w:lineRule="auto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t>References</w:t>
      </w:r>
    </w:p>
    <w:p w14:paraId="76324C9C" w14:textId="4D5D0031" w:rsidR="00636E75" w:rsidRPr="008F1260" w:rsidRDefault="00636E75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[1] Gelman, S.,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S.A.,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Heinzelman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P., Romero, P.A.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Gitter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A., 2021. Neural networks to learn protein sequence–function relationships from deep mutational scanning data.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Proceedings of the National Academy of Sciences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118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(48), p.e2104878118.</w:t>
      </w:r>
    </w:p>
    <w:p w14:paraId="68C9208A" w14:textId="0BC51712" w:rsidR="00636E75" w:rsidRPr="008F1260" w:rsidRDefault="00636E75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[2]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Freschlin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C.R.,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S.A. and Romero, P.A., 2022. Machine learning to navigate fitness landscapes for protein engineering.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Current Opinion in Biotechnology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75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p.102713.</w:t>
      </w:r>
    </w:p>
    <w:p w14:paraId="48FA3C30" w14:textId="5E38078D" w:rsidR="00F919F2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[3]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S.A.,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Freschlin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C.R.,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Heinzelman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P. and Romero, P.A., 2023. Neural network extrapolation to distant regions of the protein fitness landscape. </w:t>
      </w:r>
      <w:proofErr w:type="spellStart"/>
      <w:r w:rsidR="00F919F2"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bioRxiv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pp.2023-11.</w:t>
      </w:r>
    </w:p>
    <w:p w14:paraId="3B181744" w14:textId="3E4EDDA5" w:rsidR="00657031" w:rsidRPr="008F1260" w:rsidRDefault="0065703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Hsu, C.,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Nisonoff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H.,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Fannjiang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Listgarten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J., 2022. Learning protein fitness models from evolutionary and assay-labeled data.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biotechnology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40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(7), pp.1114-1122.</w:t>
      </w:r>
    </w:p>
    <w:p w14:paraId="68F5A87C" w14:textId="1175F053" w:rsidR="00345D03" w:rsidRPr="008F1260" w:rsidRDefault="00345D03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Wu, Z., Johnston, K.E., Arnold, F.H. and Yang, K.K., 2021. Protein sequence design with deep generative models.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Current opinion in chemical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65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pp.18-27.</w:t>
      </w:r>
    </w:p>
    <w:p w14:paraId="75173FE3" w14:textId="0CC1FD76" w:rsidR="007735BD" w:rsidRPr="008F1260" w:rsidRDefault="007735BD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[6]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Weinreich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D.M., Delaney, N.F.,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DePristo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M.A.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Hartl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D.L., 2006. Darwinian evolution can follow only very few mutational paths to fitter proteins.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science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312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(5770), pp.111-114.</w:t>
      </w:r>
    </w:p>
    <w:p w14:paraId="099AB2A0" w14:textId="00C87F41" w:rsidR="007F71DB" w:rsidRPr="008F1260" w:rsidRDefault="007F71DB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[7]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Salverda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M.L.,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Dellus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Gorter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F.A.,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Debets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A.J., Van Der Oost, J., Hoekstra, R.F., Tawfik, D.S. and de Visser, J.A.G., 2011. Initial mutations direct alternative pathways of protein evolution. 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PLoS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genetics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(3), p.e1001321.</w:t>
      </w:r>
    </w:p>
    <w:p w14:paraId="29490221" w14:textId="2AB06D97" w:rsidR="00636E75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Hawkins-Hooker, A., Depardieu, F., Baur, S.,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Couairon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G., Chen, 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Bikard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D., 2021. Generating functional protein variants with variational autoencoders. 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PLoS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computational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p.e1008736.</w:t>
      </w:r>
    </w:p>
    <w:p w14:paraId="57E45614" w14:textId="529CDB7A" w:rsidR="00636E75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9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Ding, X., Zou, Z. and Brooks III, C.L., 2019. Deciphering protein evolution and fitness landscapes with latent space models.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communications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10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p.5644.</w:t>
      </w:r>
    </w:p>
    <w:p w14:paraId="4C8D63F6" w14:textId="742BD11C" w:rsidR="00B65E6A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[10] Johnson, L.S., Eddy, S.R.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Portugaly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E., 2010. Hidden Markov model speed heuristic and iterative HMM search procedure.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BMC bioinformatics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pp.1-8.</w:t>
      </w:r>
    </w:p>
    <w:p w14:paraId="19DC5E9B" w14:textId="60642D1A" w:rsidR="00B65E6A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[11]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Riesselman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A.J., Ingraham, J.B. and Marks, D.S., 2018. Deep generative models of genetic variation capture the effects of mutations.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methods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(10), pp.816-822.</w:t>
      </w:r>
    </w:p>
    <w:p w14:paraId="5AE94879" w14:textId="42D1F4EE" w:rsidR="008D7D61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[12] Chen, Y., Hu, R., Li, K., Zhang, Y., Fu, L., Zhang, J. and Si, T., 2023. Deep Mutational Scanning of an Oxygen-Independent Fluorescent Protein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Comprehensive Profiling of Mutational and Epistatic Effects.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ACS Synthetic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(5), pp.1461-1473.</w:t>
      </w:r>
    </w:p>
    <w:p w14:paraId="345557BF" w14:textId="5DB274B7" w:rsidR="008D7D61" w:rsidRDefault="008D7D61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8D7D61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Code</w:t>
      </w:r>
      <w:r w:rsidR="00D025BE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Availability</w:t>
      </w:r>
    </w:p>
    <w:p w14:paraId="0938D826" w14:textId="22909EAE" w:rsidR="00D025BE" w:rsidRPr="00D025BE" w:rsidRDefault="00D025BE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D025B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https://github.com/nblalock/PCA_vs_VAE.git</w:t>
      </w:r>
    </w:p>
    <w:p w14:paraId="357DD76A" w14:textId="77777777" w:rsidR="008D7D61" w:rsidRPr="008D7D61" w:rsidRDefault="008D7D61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733D75B" w14:textId="77777777" w:rsidR="008D7D61" w:rsidRPr="008F1260" w:rsidRDefault="008D7D6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sectPr w:rsidR="008D7D61" w:rsidRPr="008F126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81B3" w14:textId="77777777" w:rsidR="000C43B8" w:rsidRDefault="000C43B8" w:rsidP="00B62F9F">
      <w:r>
        <w:separator/>
      </w:r>
    </w:p>
  </w:endnote>
  <w:endnote w:type="continuationSeparator" w:id="0">
    <w:p w14:paraId="01805162" w14:textId="77777777" w:rsidR="000C43B8" w:rsidRDefault="000C43B8" w:rsidP="00B6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3317" w14:textId="77777777" w:rsidR="000C43B8" w:rsidRDefault="000C43B8" w:rsidP="00B62F9F">
      <w:r>
        <w:separator/>
      </w:r>
    </w:p>
  </w:footnote>
  <w:footnote w:type="continuationSeparator" w:id="0">
    <w:p w14:paraId="6910E742" w14:textId="77777777" w:rsidR="000C43B8" w:rsidRDefault="000C43B8" w:rsidP="00B6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0655" w14:textId="7EEE215F" w:rsidR="00B62F9F" w:rsidRPr="00B62F9F" w:rsidRDefault="00B62F9F" w:rsidP="00B62F9F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916"/>
    <w:multiLevelType w:val="multilevel"/>
    <w:tmpl w:val="B98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F73F1"/>
    <w:multiLevelType w:val="multilevel"/>
    <w:tmpl w:val="634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C8449A"/>
    <w:multiLevelType w:val="multilevel"/>
    <w:tmpl w:val="08B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D3478"/>
    <w:multiLevelType w:val="multilevel"/>
    <w:tmpl w:val="4A5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82187"/>
    <w:multiLevelType w:val="multilevel"/>
    <w:tmpl w:val="CD1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5236F2"/>
    <w:multiLevelType w:val="multilevel"/>
    <w:tmpl w:val="50E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482765">
    <w:abstractNumId w:val="5"/>
  </w:num>
  <w:num w:numId="2" w16cid:durableId="1358510326">
    <w:abstractNumId w:val="1"/>
  </w:num>
  <w:num w:numId="3" w16cid:durableId="78602991">
    <w:abstractNumId w:val="0"/>
  </w:num>
  <w:num w:numId="4" w16cid:durableId="1593860243">
    <w:abstractNumId w:val="3"/>
  </w:num>
  <w:num w:numId="5" w16cid:durableId="6710625">
    <w:abstractNumId w:val="2"/>
  </w:num>
  <w:num w:numId="6" w16cid:durableId="872574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9F"/>
    <w:rsid w:val="000A65B6"/>
    <w:rsid w:val="000B3239"/>
    <w:rsid w:val="000B6B43"/>
    <w:rsid w:val="000C43B8"/>
    <w:rsid w:val="000F7349"/>
    <w:rsid w:val="00107089"/>
    <w:rsid w:val="001A1A5D"/>
    <w:rsid w:val="002673A0"/>
    <w:rsid w:val="002910C1"/>
    <w:rsid w:val="00297B4B"/>
    <w:rsid w:val="00324730"/>
    <w:rsid w:val="00345D03"/>
    <w:rsid w:val="003B6047"/>
    <w:rsid w:val="003F6B7B"/>
    <w:rsid w:val="00436345"/>
    <w:rsid w:val="00436640"/>
    <w:rsid w:val="004F7133"/>
    <w:rsid w:val="00553925"/>
    <w:rsid w:val="005A151E"/>
    <w:rsid w:val="006361FD"/>
    <w:rsid w:val="00636E75"/>
    <w:rsid w:val="00646EE2"/>
    <w:rsid w:val="00657031"/>
    <w:rsid w:val="00664D4D"/>
    <w:rsid w:val="00683E17"/>
    <w:rsid w:val="00713944"/>
    <w:rsid w:val="00722449"/>
    <w:rsid w:val="00740ED4"/>
    <w:rsid w:val="007735BD"/>
    <w:rsid w:val="00797BA4"/>
    <w:rsid w:val="007D3D36"/>
    <w:rsid w:val="007D3E1F"/>
    <w:rsid w:val="007F71DB"/>
    <w:rsid w:val="007F77BB"/>
    <w:rsid w:val="008723F9"/>
    <w:rsid w:val="008A71E0"/>
    <w:rsid w:val="008B4FC2"/>
    <w:rsid w:val="008D7D61"/>
    <w:rsid w:val="008F1260"/>
    <w:rsid w:val="00903C81"/>
    <w:rsid w:val="00912B11"/>
    <w:rsid w:val="009B4EB6"/>
    <w:rsid w:val="009B6870"/>
    <w:rsid w:val="009D0BC5"/>
    <w:rsid w:val="009E2C8E"/>
    <w:rsid w:val="00A00B32"/>
    <w:rsid w:val="00A445EF"/>
    <w:rsid w:val="00A52291"/>
    <w:rsid w:val="00A722DB"/>
    <w:rsid w:val="00A7266E"/>
    <w:rsid w:val="00AF6AAA"/>
    <w:rsid w:val="00B570D4"/>
    <w:rsid w:val="00B62F9F"/>
    <w:rsid w:val="00B65E6A"/>
    <w:rsid w:val="00B83C5B"/>
    <w:rsid w:val="00B974E4"/>
    <w:rsid w:val="00BB1B28"/>
    <w:rsid w:val="00C17C37"/>
    <w:rsid w:val="00C2136F"/>
    <w:rsid w:val="00C23D8F"/>
    <w:rsid w:val="00C36399"/>
    <w:rsid w:val="00CA0BB6"/>
    <w:rsid w:val="00CA4BDA"/>
    <w:rsid w:val="00CB1D61"/>
    <w:rsid w:val="00CC0919"/>
    <w:rsid w:val="00CC242A"/>
    <w:rsid w:val="00D025BE"/>
    <w:rsid w:val="00D0395A"/>
    <w:rsid w:val="00D55A27"/>
    <w:rsid w:val="00DC0F19"/>
    <w:rsid w:val="00DC6D1F"/>
    <w:rsid w:val="00DF05E0"/>
    <w:rsid w:val="00E06BAD"/>
    <w:rsid w:val="00E113BD"/>
    <w:rsid w:val="00E14C03"/>
    <w:rsid w:val="00E5516C"/>
    <w:rsid w:val="00F65A4D"/>
    <w:rsid w:val="00F919F2"/>
    <w:rsid w:val="00F96CA7"/>
    <w:rsid w:val="00F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DA7D6"/>
  <w15:chartTrackingRefBased/>
  <w15:docId w15:val="{34442CD9-9583-7E42-8764-30B33052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F9F"/>
  </w:style>
  <w:style w:type="paragraph" w:styleId="Footer">
    <w:name w:val="footer"/>
    <w:basedOn w:val="Normal"/>
    <w:link w:val="FooterChar"/>
    <w:uiPriority w:val="99"/>
    <w:unhideWhenUsed/>
    <w:rsid w:val="00B62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F9F"/>
  </w:style>
  <w:style w:type="paragraph" w:styleId="ListParagraph">
    <w:name w:val="List Paragraph"/>
    <w:basedOn w:val="Normal"/>
    <w:uiPriority w:val="34"/>
    <w:qFormat/>
    <w:rsid w:val="00646E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570D4"/>
  </w:style>
  <w:style w:type="character" w:styleId="Emphasis">
    <w:name w:val="Emphasis"/>
    <w:basedOn w:val="DefaultParagraphFont"/>
    <w:uiPriority w:val="20"/>
    <w:qFormat/>
    <w:rsid w:val="00B570D4"/>
    <w:rPr>
      <w:i/>
      <w:iCs/>
    </w:rPr>
  </w:style>
  <w:style w:type="character" w:styleId="Strong">
    <w:name w:val="Strong"/>
    <w:basedOn w:val="DefaultParagraphFont"/>
    <w:uiPriority w:val="22"/>
    <w:qFormat/>
    <w:rsid w:val="00CA0B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68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415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07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83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19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06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Lane Blalock</dc:creator>
  <cp:keywords/>
  <dc:description/>
  <cp:lastModifiedBy>Nathaniel Lane Blalock</cp:lastModifiedBy>
  <cp:revision>39</cp:revision>
  <dcterms:created xsi:type="dcterms:W3CDTF">2023-12-10T20:14:00Z</dcterms:created>
  <dcterms:modified xsi:type="dcterms:W3CDTF">2023-12-12T22:03:00Z</dcterms:modified>
</cp:coreProperties>
</file>