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3756" w14:textId="77777777" w:rsidR="00E14C03" w:rsidRPr="000B6B43" w:rsidRDefault="00E14C03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D89A70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960CB7D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916C045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A7F8BDB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BBC208C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A85F76D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D94B859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A5EEAAC" w14:textId="77777777" w:rsidR="00A7266E" w:rsidRPr="000B6B43" w:rsidRDefault="00A7266E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323D202" w14:textId="77777777" w:rsidR="00B62F9F" w:rsidRPr="000B6B43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DF6CDA7" w14:textId="77777777" w:rsidR="00B62F9F" w:rsidRPr="000B6B43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FEA7886" w14:textId="4238024C" w:rsidR="000B6B43" w:rsidRPr="000B6B43" w:rsidRDefault="00107089" w:rsidP="000B6B4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Brief </w:t>
      </w:r>
      <w:r w:rsidR="00B47875">
        <w:rPr>
          <w:rFonts w:ascii="Arial" w:hAnsi="Arial" w:cs="Arial"/>
          <w:b/>
          <w:bCs/>
          <w:color w:val="000000" w:themeColor="text1"/>
          <w:sz w:val="40"/>
          <w:szCs w:val="40"/>
        </w:rPr>
        <w:t>Investigation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of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P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rincipal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C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omponent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A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nalysis for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P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rotein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</w:t>
      </w:r>
      <w:r w:rsidR="000B6B43"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esign</w:t>
      </w:r>
    </w:p>
    <w:p w14:paraId="4FCAB8EF" w14:textId="7777777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7D90B71C" w14:textId="7777777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EAD92EF" w14:textId="40E3C88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Nathaniel Blalock</w:t>
      </w:r>
    </w:p>
    <w:p w14:paraId="29EFD2E8" w14:textId="71EB5643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CBE562: Statistics</w:t>
      </w:r>
    </w:p>
    <w:p w14:paraId="37A2B548" w14:textId="688AE2F5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December 14</w:t>
      </w:r>
      <w:r w:rsidRPr="000B6B43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Pr="000B6B43">
        <w:rPr>
          <w:rFonts w:ascii="Arial" w:hAnsi="Arial" w:cs="Arial"/>
          <w:color w:val="000000" w:themeColor="text1"/>
          <w:sz w:val="22"/>
          <w:szCs w:val="22"/>
        </w:rPr>
        <w:t>, 2023</w:t>
      </w:r>
    </w:p>
    <w:p w14:paraId="1753A587" w14:textId="37DC87A5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73F4604F" w14:textId="7806DE58" w:rsidR="00A52291" w:rsidRPr="008F1260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Introduction</w:t>
      </w:r>
    </w:p>
    <w:p w14:paraId="21D7F870" w14:textId="77777777" w:rsidR="002A726B" w:rsidRDefault="00A5229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Proteins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address some of the greatest problems facing society including treating chronic illnesses, producing sustainable biofuels, and advancing waste-to-energy platforms to fight climate change. The scope for innovation is nearly limitless given the multifaceted roles of proteins in biological systems.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rotein design spaces are remarkedly large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A relatively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short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119 amino acid has a design space of 20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119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(or 6.65 x 10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154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) sequences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, a number 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>larger than the estimated number of atoms in the universe.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Deep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learning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 engineering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has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recently 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improved our ability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accurately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model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protein 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>design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>landscape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>. Supervised deep learning models map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the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complicated,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non-linear 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relationship between protein sequence and function [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1-2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 xml:space="preserve">These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supervised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models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while state-of-the-art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>,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>can extrapolate beyond the training data [3], but it is desirable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extrapolat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further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beyond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training data 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to design superior proteins 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[3].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Unsupervised deep learning models have recently drawn attention for designing proteins by leveraging 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the evolutionary information found in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natural protein sequences [4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-5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].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N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atural selection provides selective pressure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>s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for beneficial amino acid mutations during evolutionary trajectories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6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-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7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]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A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family of natural sequences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can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therefore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provide insight into biologically relevant constraints.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Th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ese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constraint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enable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further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exploration of the protein design space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 c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ombined with insights from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a supervised model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 trained on function specific data to 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design</w:t>
      </w:r>
      <w:r w:rsidR="002A726B">
        <w:rPr>
          <w:rFonts w:ascii="Arial" w:hAnsi="Arial" w:cs="Arial"/>
          <w:color w:val="000000" w:themeColor="text1"/>
          <w:sz w:val="22"/>
          <w:szCs w:val="22"/>
        </w:rPr>
        <w:t xml:space="preserve"> superior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proteins.</w:t>
      </w:r>
    </w:p>
    <w:p w14:paraId="6B286C4F" w14:textId="77777777" w:rsidR="00950C9D" w:rsidRDefault="00E5516C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A variational autoencoder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(VAE) is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an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unsupervised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deep learning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model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proving capable of learning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related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natural sequences aligned to a protein-of-interest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design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ing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similarly functioning,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novel,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diverse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sequences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8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]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regularized latent space of a VAE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has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been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correlated with protein function 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9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Given that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space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dimensions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be correlated with protein function, latent space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dimension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>s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50C9D" w:rsidRPr="008F1260">
        <w:rPr>
          <w:rFonts w:ascii="Arial" w:hAnsi="Arial" w:cs="Arial"/>
          <w:color w:val="000000" w:themeColor="text1"/>
          <w:sz w:val="22"/>
          <w:szCs w:val="22"/>
        </w:rPr>
        <w:t>with a supervised model</w:t>
      </w:r>
      <w:r w:rsidR="00950C9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together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can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guide a search algorithm to design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protein sequences with superior function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Simulated annealing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is an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effective 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stochastic hill-climbing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search algorithm for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explor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ing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rotein design space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[3]. During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each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timestep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of simulated annealing, an amino acid is randomly </w:t>
      </w:r>
      <w:r w:rsidR="00950C9D" w:rsidRPr="008F1260">
        <w:rPr>
          <w:rFonts w:ascii="Arial" w:hAnsi="Arial" w:cs="Arial"/>
          <w:color w:val="000000" w:themeColor="text1"/>
          <w:sz w:val="22"/>
          <w:szCs w:val="22"/>
        </w:rPr>
        <w:t>mutated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>. V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arious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models can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predict the function of the generated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sequence. After many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timesteps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protein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with superior function can be found.</w:t>
      </w:r>
    </w:p>
    <w:p w14:paraId="4708D65E" w14:textId="2EAEC1BF" w:rsidR="00797BA4" w:rsidRPr="00950C9D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Principal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component analysis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(PCA)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provides a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n alternative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statistical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>, more interpretable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 framework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deploying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principal components (PCs)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correlated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with limited experimental data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>protein design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 xml:space="preserve"> This work 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>briefly investigates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the predictive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and generative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 xml:space="preserve">capabilities of 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>principal component analysis for protein design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50C9D">
        <w:rPr>
          <w:rFonts w:ascii="Arial" w:hAnsi="Arial" w:cs="Arial"/>
          <w:color w:val="000000" w:themeColor="text1"/>
          <w:sz w:val="22"/>
          <w:szCs w:val="22"/>
        </w:rPr>
        <w:t>compared to a VAE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D45CB42" w14:textId="77777777" w:rsidR="00950C9D" w:rsidRDefault="00950C9D" w:rsidP="000B6B43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E7ADDCF" w14:textId="77777777" w:rsidR="00950C9D" w:rsidRDefault="00950C9D" w:rsidP="000B6B43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FFB39B9" w14:textId="599399A9" w:rsidR="00950C9D" w:rsidRDefault="00B62F9F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Methods</w:t>
      </w:r>
    </w:p>
    <w:p w14:paraId="62EC6B3B" w14:textId="583DDE86" w:rsidR="00D55A27" w:rsidRPr="00950C9D" w:rsidRDefault="00713944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has emerged as a promising thermostable, photostable, and rapidly maturing monomeric fluorescent protein that operates independently of oxygen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novel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study and engineer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>ing of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enzymes and metabolic pathways in anaerobic environments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including 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gut microbiome, tumor environments, and high-density fermentations.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A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</w:rPr>
        <w:t xml:space="preserve"> multiple sequence alignment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>of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</w:t>
      </w:r>
      <w:r w:rsidR="00AF6AA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82 natural protein sequences related to </w:t>
      </w:r>
      <w:proofErr w:type="spellStart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was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curated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using </w:t>
      </w:r>
      <w:proofErr w:type="spellStart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Jackhmmer</w:t>
      </w:r>
      <w:proofErr w:type="spellEnd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software 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10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after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removing 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equences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less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than 55% of the length of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columns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not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corresponding to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protein-of-interest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8,11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].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CA0BB6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243,582 unlabeled natural protein sequences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one-hot encoded 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and flattened into a 2-dimensional matrix.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 component analysis (PCA)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was performed 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using </w:t>
      </w:r>
      <w:proofErr w:type="spellStart"/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sklearn</w:t>
      </w:r>
      <w:proofErr w:type="spellEnd"/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with a random seed of 0 for reproducibility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top </w:t>
      </w:r>
      <w:r w:rsidR="0072244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50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 components explain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ed 30% of the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variance in the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multiple sequence alignment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The first component explained </w:t>
      </w:r>
      <w:r w:rsidR="00740ED4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&lt;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4% of the variance in the data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(Figure 1).</w:t>
      </w:r>
    </w:p>
    <w:p w14:paraId="64139748" w14:textId="5ACC8388" w:rsidR="009E2C8E" w:rsidRPr="008F1260" w:rsidRDefault="009E2C8E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72DEDC6F" wp14:editId="5F532FF8">
            <wp:extent cx="4979512" cy="3485662"/>
            <wp:effectExtent l="0" t="0" r="0" b="0"/>
            <wp:docPr id="372089550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550" name="Picture 1" descr="A graph with a dott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79" cy="36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BB4A" w14:textId="1FB94232" w:rsidR="009E2C8E" w:rsidRPr="008F1260" w:rsidRDefault="009E2C8E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Figure 1: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Variance Explained in Multiple Sequence Alignment by Principal Components</w:t>
      </w:r>
    </w:p>
    <w:p w14:paraId="1F201285" w14:textId="7B1FCB81" w:rsidR="00C36399" w:rsidRPr="008F1260" w:rsidRDefault="00F82FB6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167,613 variants of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were obtained for assessing the correlation of principal components with fluorescent measurements [12].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2136F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167,613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variants of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2136F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one-hot encoded,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flattened into a 2-dimensional matrix</w:t>
      </w:r>
      <w:r w:rsidR="00C2136F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projected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into principal component space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and the spearman correlation with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fluorescent measurements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was obtained for PCs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PC36 and PC14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correlated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 most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correlation decreased as the number of mutations increased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(Table 1).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Interestingly, PC36 and PC14 discretely separate the best performing variants (Figure 2).</w:t>
      </w:r>
    </w:p>
    <w:p w14:paraId="644F65A7" w14:textId="73B80CAB" w:rsidR="009E2C8E" w:rsidRPr="008F1260" w:rsidRDefault="009E2C8E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1: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Correlation of Principal Components with Fluorescence</w:t>
      </w:r>
    </w:p>
    <w:p w14:paraId="29F62DFF" w14:textId="1FE686B6" w:rsidR="009E2C8E" w:rsidRPr="008F1260" w:rsidRDefault="00C36399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39DEB921" wp14:editId="6142AA63">
            <wp:extent cx="5943600" cy="483235"/>
            <wp:effectExtent l="0" t="0" r="0" b="0"/>
            <wp:docPr id="1489528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8637" name="Picture 14895286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015" cy="4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6D3" w14:textId="0B3741E1" w:rsidR="009E2C8E" w:rsidRPr="008F1260" w:rsidRDefault="0065703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F3423" wp14:editId="7B621F15">
                <wp:simplePos x="0" y="0"/>
                <wp:positionH relativeFrom="column">
                  <wp:posOffset>674271</wp:posOffset>
                </wp:positionH>
                <wp:positionV relativeFrom="paragraph">
                  <wp:posOffset>2229645</wp:posOffset>
                </wp:positionV>
                <wp:extent cx="154093" cy="141816"/>
                <wp:effectExtent l="25400" t="0" r="14605" b="36830"/>
                <wp:wrapNone/>
                <wp:docPr id="5721167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93" cy="1418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25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3.1pt;margin-top:175.55pt;width:12.15pt;height:11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" strokecolor="black [3213]" strokeweight="1pt">
                <v:stroke endarrow="block" joinstyle="miter"/>
              </v:shape>
            </w:pict>
          </mc:Fallback>
        </mc:AlternateContent>
      </w:r>
      <w:r w:rsidR="003B6047"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C99B6" wp14:editId="164B5308">
                <wp:simplePos x="0" y="0"/>
                <wp:positionH relativeFrom="column">
                  <wp:posOffset>2052320</wp:posOffset>
                </wp:positionH>
                <wp:positionV relativeFrom="paragraph">
                  <wp:posOffset>251460</wp:posOffset>
                </wp:positionV>
                <wp:extent cx="178435" cy="68580"/>
                <wp:effectExtent l="0" t="12700" r="24765" b="45720"/>
                <wp:wrapNone/>
                <wp:docPr id="3801588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8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5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6pt;margin-top:19.8pt;width:14.05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" strokecolor="black [3213]" strokeweight="1pt">
                <v:stroke endarrow="block" joinstyle="miter"/>
              </v:shape>
            </w:pict>
          </mc:Fallback>
        </mc:AlternateContent>
      </w:r>
      <w:r w:rsidR="003B6047"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70A41" wp14:editId="4FA15BAE">
                <wp:simplePos x="0" y="0"/>
                <wp:positionH relativeFrom="column">
                  <wp:posOffset>2052758</wp:posOffset>
                </wp:positionH>
                <wp:positionV relativeFrom="paragraph">
                  <wp:posOffset>189230</wp:posOffset>
                </wp:positionV>
                <wp:extent cx="178435" cy="62230"/>
                <wp:effectExtent l="0" t="38100" r="0" b="26670"/>
                <wp:wrapNone/>
                <wp:docPr id="17575721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" cy="62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5395" id="Straight Arrow Connector 5" o:spid="_x0000_s1026" type="#_x0000_t32" style="position:absolute;margin-left:161.65pt;margin-top:14.9pt;width:14.05pt;height:4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" strokecolor="black [3213]" strokeweight="1pt">
                <v:stroke endarrow="block" joinstyle="miter"/>
              </v:shape>
            </w:pict>
          </mc:Fallback>
        </mc:AlternateContent>
      </w:r>
      <w:r w:rsidR="009E2C8E"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2AE536A1" wp14:editId="7155D236">
            <wp:extent cx="5830277" cy="2915138"/>
            <wp:effectExtent l="0" t="0" r="0" b="6350"/>
            <wp:docPr id="849902513" name="Picture 4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02513" name="Picture 4" descr="A graph of different colore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80" cy="29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560" w14:textId="369F15CD" w:rsidR="009B6870" w:rsidRPr="008F1260" w:rsidRDefault="009E2C8E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Figure 2: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Principal Components Separate High-Performance </w:t>
      </w:r>
      <w:proofErr w:type="spellStart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Variants</w:t>
      </w:r>
    </w:p>
    <w:p w14:paraId="45661287" w14:textId="0DCF0E26" w:rsidR="003B6047" w:rsidRPr="008F1260" w:rsidRDefault="003B6047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separated variants (with PC36 &gt; 0.25 or PC14 &gt; 0.3) contained the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13 most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fluorescent proteins in the experimental dataset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including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12 single muta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tion variants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that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almost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spanned the entire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length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 the </w:t>
      </w:r>
      <w:proofErr w:type="spellStart"/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(Figure 3).</w:t>
      </w:r>
    </w:p>
    <w:p w14:paraId="56A187FF" w14:textId="2A5D1132" w:rsidR="002910C1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F69806F" wp14:editId="79BCF652">
            <wp:extent cx="5356860" cy="1597458"/>
            <wp:effectExtent l="0" t="0" r="2540" b="3175"/>
            <wp:docPr id="2095022879" name="Picture 7" descr="A graph of a graph showing different types of molecu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2879" name="Picture 7" descr="A graph of a graph showing different types of molecules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/>
                    <a:stretch/>
                  </pic:blipFill>
                  <pic:spPr bwMode="auto">
                    <a:xfrm>
                      <a:off x="0" y="0"/>
                      <a:ext cx="5457586" cy="162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8C3EE" w14:textId="4FC9E3B1" w:rsidR="000B6B43" w:rsidRPr="008F1260" w:rsidRDefault="002910C1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Figure 3: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Distribution of Mutations in Separated Variants in Principal Component Space</w:t>
      </w:r>
    </w:p>
    <w:p w14:paraId="5F1F18BB" w14:textId="06B4AB62" w:rsidR="000B6B43" w:rsidRPr="008F1260" w:rsidRDefault="000B6B43" w:rsidP="000B6B43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The black dots represent the original 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>CreiLOV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sequence. The green squares display mutations that occurred in the separated variants in principal component space.</w:t>
      </w:r>
    </w:p>
    <w:p w14:paraId="537D433A" w14:textId="5B5E8C10" w:rsidR="008F1260" w:rsidRPr="008F1260" w:rsidRDefault="00C3639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original </w:t>
      </w:r>
      <w:proofErr w:type="spellStart"/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sequence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 was projected into the principal component space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and transformed back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>into the original space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using 50, 100, or 200 principal components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. Sampling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>the amino acid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the greatest value in the reconstructed space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resulted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in poor reconstruction of the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(Table 2).</w:t>
      </w:r>
    </w:p>
    <w:p w14:paraId="552E7084" w14:textId="58FB966F" w:rsidR="002910C1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2: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Reconstruction Accuracy of </w:t>
      </w:r>
      <w:proofErr w:type="spellStart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 using Principal Components</w:t>
      </w:r>
    </w:p>
    <w:p w14:paraId="06431D95" w14:textId="03B89AEA" w:rsidR="00B65E6A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8B6B2C6" wp14:editId="21638C37">
            <wp:extent cx="2625754" cy="421635"/>
            <wp:effectExtent l="0" t="0" r="0" b="0"/>
            <wp:docPr id="719104137" name="Picture 6" descr="A list of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04137" name="Picture 6" descr="A list of black 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4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1C6" w14:textId="5CB4EE45" w:rsidR="00657031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VAE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was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trained on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one-hot encoded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243,582 unlabeled natural protein sequences with corresponding phylogenetic weights in the objective function to account for uneven sampling and phylogenetic bias during stochastic gradient descent [</w:t>
      </w:r>
      <w:r w:rsidR="009E2C8E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8,11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]. The data was split into training and validation sets with a 90/10 split. A VAE architecture previously optimized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the smallest final validation reconstruction loss was deployed.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The most correlated latent dimensions from the VAE latent space were the 50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32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nd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latent dimensions, achieving spearman correlation</w:t>
      </w:r>
      <w:r w:rsidR="00F82FB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82FB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up to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0.476 (Table 3). The 50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latent dimension had a Pearson correlation with variants containing 1-5 mutations of 0.42 as well (Figure 4).</w:t>
      </w:r>
    </w:p>
    <w:p w14:paraId="6AAC77DE" w14:textId="6F64A3B4" w:rsidR="00657031" w:rsidRPr="008F1260" w:rsidRDefault="00657031" w:rsidP="0065703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Table 3: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Correlation of VAE Latent Dimensions with Fluorescence</w:t>
      </w:r>
      <w:r w:rsidR="000B6B43"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7EE192E5" wp14:editId="7BE7B5D6">
            <wp:extent cx="5943600" cy="421640"/>
            <wp:effectExtent l="0" t="0" r="0" b="0"/>
            <wp:docPr id="28059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2222" name="Picture 2805922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00" cy="4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167FC7F7" wp14:editId="681771B3">
            <wp:extent cx="4642629" cy="2907323"/>
            <wp:effectExtent l="0" t="0" r="5715" b="1270"/>
            <wp:docPr id="2089470763" name="Picture 2" descr="A blue dot diagram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0763" name="Picture 2" descr="A blue dot diagram with white text&#10;&#10;Description automatically generated with medium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" t="10112" r="8692"/>
                    <a:stretch/>
                  </pic:blipFill>
                  <pic:spPr bwMode="auto">
                    <a:xfrm>
                      <a:off x="0" y="0"/>
                      <a:ext cx="4795473" cy="300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FE7FA" w14:textId="1BDFA6AF" w:rsidR="00657031" w:rsidRPr="008F1260" w:rsidRDefault="00657031" w:rsidP="007F71DB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Figure 4: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Correlating the 50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Dimension of VAE and Fluorescence</w:t>
      </w:r>
    </w:p>
    <w:p w14:paraId="2FCDE513" w14:textId="2EB11015" w:rsidR="007F71DB" w:rsidRPr="008F1260" w:rsidRDefault="007F71DB" w:rsidP="007F71D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original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sequence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was encoded into the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64-dimension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space of the VAE and decoded back into the original dimensions. Sampling the amino acids with the greatest value in the reconstructed space resulted in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reconstruction of the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 with only the first 2 amino acids and last 4 amino acids being incorrect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3EA22009" w14:textId="77777777" w:rsidR="00664D4D" w:rsidRPr="008F1260" w:rsidRDefault="00664D4D" w:rsidP="00CA4BD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9DC092A" w14:textId="77777777" w:rsidR="00664D4D" w:rsidRPr="008F1260" w:rsidRDefault="00664D4D" w:rsidP="00CA4BD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8782492" w14:textId="6CB3D415" w:rsidR="00B62F9F" w:rsidRPr="008F1260" w:rsidRDefault="00B62F9F" w:rsidP="00CA4BDA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t>Discussion</w:t>
      </w:r>
    </w:p>
    <w:p w14:paraId="276442AD" w14:textId="6F23905B" w:rsidR="00A722DB" w:rsidRPr="008F1260" w:rsidRDefault="00740ED4" w:rsidP="00740ED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top 50 principal components fail to capture the variance in the natural sequences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perhaps because amino acid mutations affect many protein properties and therefore evolve with numerous, complicated constraints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or because PCA assumes a linear independence between features and cannot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effectively model complex evolutionary constraints.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However,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PC14 and PC36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discrete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ly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>separated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the most fluorescence variants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even though </w:t>
      </w:r>
      <w:r w:rsidR="009D0BC5" w:rsidRPr="008F1260">
        <w:rPr>
          <w:rFonts w:ascii="Arial" w:hAnsi="Arial" w:cs="Arial"/>
          <w:color w:val="000000" w:themeColor="text1"/>
          <w:sz w:val="22"/>
          <w:szCs w:val="22"/>
        </w:rPr>
        <w:t>spearman correlations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were low (Table 1)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.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separation was 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>not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continuous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as would be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needed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 xml:space="preserve"> for </w:t>
      </w:r>
      <w:r w:rsidR="009D0BC5" w:rsidRPr="008F1260">
        <w:rPr>
          <w:rFonts w:ascii="Arial" w:hAnsi="Arial" w:cs="Arial"/>
          <w:color w:val="000000" w:themeColor="text1"/>
          <w:sz w:val="22"/>
          <w:szCs w:val="22"/>
        </w:rPr>
        <w:t>predictive regression tasks such as scoring sequences during simulated annealing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(Figure 2)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The number of mutations in variants and spearman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correlation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were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likely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negatively correlated because PCA is not designed to capture non-linear relationships and cannot model non-linear interactions between amino acids. This may be why PCA is unable to effectively reconstruct sequences using </w:t>
      </w:r>
      <w:r w:rsidR="009D0BC5">
        <w:rPr>
          <w:rFonts w:ascii="Arial" w:hAnsi="Arial" w:cs="Arial"/>
          <w:color w:val="000000" w:themeColor="text1"/>
          <w:sz w:val="22"/>
          <w:szCs w:val="22"/>
        </w:rPr>
        <w:t>50, 100, or 200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principal components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as well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(Table 2).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Interestingly, s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everal one-hot encoded amino acid </w:t>
      </w:r>
      <w:r w:rsidR="00297B4B" w:rsidRPr="008F1260">
        <w:rPr>
          <w:rFonts w:ascii="Arial" w:hAnsi="Arial" w:cs="Arial"/>
          <w:color w:val="000000" w:themeColor="text1"/>
          <w:sz w:val="22"/>
          <w:szCs w:val="22"/>
        </w:rPr>
        <w:t>positions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1F464F">
        <w:rPr>
          <w:rFonts w:ascii="Arial" w:hAnsi="Arial" w:cs="Arial"/>
          <w:color w:val="000000" w:themeColor="text1"/>
          <w:sz w:val="22"/>
          <w:szCs w:val="22"/>
        </w:rPr>
        <w:t>heaviliy</w:t>
      </w:r>
      <w:proofErr w:type="spellEnd"/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contributed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to the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principal components most correlated with fluorescence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297B4B"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4). </w:t>
      </w:r>
    </w:p>
    <w:p w14:paraId="04480A84" w14:textId="6DAD2B55" w:rsidR="00297B4B" w:rsidRPr="008F1260" w:rsidRDefault="00297B4B" w:rsidP="00297B4B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4: </w:t>
      </w:r>
      <w:r w:rsidR="00DC6D1F" w:rsidRPr="008F1260">
        <w:rPr>
          <w:rFonts w:ascii="Arial" w:hAnsi="Arial" w:cs="Arial"/>
          <w:color w:val="000000" w:themeColor="text1"/>
          <w:sz w:val="22"/>
          <w:szCs w:val="22"/>
        </w:rPr>
        <w:t>Feature Contribution to PC14 and PC36</w:t>
      </w:r>
    </w:p>
    <w:p w14:paraId="38935D03" w14:textId="44C9F6B0" w:rsidR="00297B4B" w:rsidRPr="008F1260" w:rsidRDefault="00DC6D1F" w:rsidP="00DC6D1F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09E6471" wp14:editId="208D97EF">
            <wp:extent cx="3290277" cy="1038504"/>
            <wp:effectExtent l="0" t="0" r="0" b="3175"/>
            <wp:docPr id="773307463" name="Picture 3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7463" name="Picture 3" descr="A table with numbers and letter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"/>
                    <a:stretch/>
                  </pic:blipFill>
                  <pic:spPr bwMode="auto">
                    <a:xfrm>
                      <a:off x="0" y="0"/>
                      <a:ext cx="3384568" cy="106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998E8" w14:textId="306058EF" w:rsidR="00DC6D1F" w:rsidRPr="008F1260" w:rsidRDefault="00DC6D1F" w:rsidP="00DC6D1F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The 10 amino acid positions that contribute the most to PC14, PC36, and PC1 are shown with the amino acid positions shared by PC14 and PC36 highlighted in </w:t>
      </w:r>
      <w:proofErr w:type="gramStart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>blue</w:t>
      </w:r>
      <w:proofErr w:type="gramEnd"/>
    </w:p>
    <w:p w14:paraId="0A209819" w14:textId="77777777" w:rsidR="001F464F" w:rsidRDefault="00DC6D1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is often mutated in the 167,600 variants with lower fluorescence, but 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is conserved 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all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variants with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greate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st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fluorescence.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may be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active site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 or necessary for fluorescence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We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could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conserve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>the 92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during simulated annealing to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generate protein designs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more likely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 xml:space="preserve"> to be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fluorescen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 after 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tructural information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was analyzed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to assess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if the correlation is biological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ly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relevan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t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or spurious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In addition,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amino acid positions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contributing to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PC1 may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be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with protein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stability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than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fluorescence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as stability strongly influences evolutionary trajectories of protein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s, but experimental validation would be required to confirm this hypothesis.</w:t>
      </w:r>
    </w:p>
    <w:p w14:paraId="36EF6F83" w14:textId="0F261A46" w:rsidR="00553925" w:rsidRPr="008F1260" w:rsidRDefault="00912B1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VAE prove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superior for the reconstruction of sequences. The only mutations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arising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after the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 compression and reconstruction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of </w:t>
      </w:r>
      <w:proofErr w:type="spellStart"/>
      <w:r w:rsidR="001F464F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were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at 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beginning and end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of the protein where fewer evolutionary pressures are present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>. These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acids are often less related to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>protein function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 as well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Several VAE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dimensions proved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correlated with fluorescence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a brief analysis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confirming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an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ability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 of some VAE’s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to score sequences during simulated annealing (Table 3, Figure 4). 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While the spearman correlation was still low, the VAE may also provide orthogonal information to protein function such as protein stability given the successful deployment of VAEs for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scoring sequences and generating protein designs</w:t>
      </w:r>
      <w:r w:rsidR="001F464F">
        <w:rPr>
          <w:rFonts w:ascii="Arial" w:hAnsi="Arial" w:cs="Arial"/>
          <w:color w:val="000000" w:themeColor="text1"/>
          <w:sz w:val="22"/>
          <w:szCs w:val="22"/>
        </w:rPr>
        <w:t xml:space="preserve">. However, the VAE </w:t>
      </w:r>
      <w:r w:rsidR="0030631E">
        <w:rPr>
          <w:rFonts w:ascii="Arial" w:hAnsi="Arial" w:cs="Arial"/>
          <w:color w:val="000000" w:themeColor="text1"/>
          <w:sz w:val="22"/>
          <w:szCs w:val="22"/>
        </w:rPr>
        <w:t>is more difficult to interpret and leverage this information for protein design.</w:t>
      </w:r>
    </w:p>
    <w:p w14:paraId="3C0F47F2" w14:textId="6E4D1E5A" w:rsidR="00C23D8F" w:rsidRPr="008F1260" w:rsidRDefault="0030631E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Interpreting the</w:t>
      </w:r>
      <w:r w:rsidR="00C23D8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amino acid contribution to principal components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correlated with experimental data </w:t>
      </w:r>
      <w:r w:rsidR="00C23D8F" w:rsidRPr="008F1260">
        <w:rPr>
          <w:rFonts w:ascii="Arial" w:hAnsi="Arial" w:cs="Arial"/>
          <w:color w:val="000000" w:themeColor="text1"/>
          <w:sz w:val="22"/>
          <w:szCs w:val="22"/>
        </w:rPr>
        <w:t xml:space="preserve">may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prove </w:t>
      </w:r>
      <w:r w:rsidR="00C23D8F" w:rsidRPr="008F1260">
        <w:rPr>
          <w:rFonts w:ascii="Arial" w:hAnsi="Arial" w:cs="Arial"/>
          <w:color w:val="000000" w:themeColor="text1"/>
          <w:sz w:val="22"/>
          <w:szCs w:val="22"/>
        </w:rPr>
        <w:t xml:space="preserve">meaningful </w:t>
      </w:r>
      <w:r>
        <w:rPr>
          <w:rFonts w:ascii="Arial" w:hAnsi="Arial" w:cs="Arial"/>
          <w:color w:val="000000" w:themeColor="text1"/>
          <w:sz w:val="22"/>
          <w:szCs w:val="22"/>
        </w:rPr>
        <w:t>f</w:t>
      </w:r>
      <w:r w:rsidR="00C23D8F" w:rsidRPr="008F1260">
        <w:rPr>
          <w:rFonts w:ascii="Arial" w:hAnsi="Arial" w:cs="Arial"/>
          <w:color w:val="000000" w:themeColor="text1"/>
          <w:sz w:val="22"/>
          <w:szCs w:val="22"/>
        </w:rPr>
        <w:t xml:space="preserve">or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informing </w:t>
      </w:r>
      <w:r w:rsidR="00C23D8F" w:rsidRPr="008F1260">
        <w:rPr>
          <w:rFonts w:ascii="Arial" w:hAnsi="Arial" w:cs="Arial"/>
          <w:color w:val="000000" w:themeColor="text1"/>
          <w:sz w:val="22"/>
          <w:szCs w:val="22"/>
        </w:rPr>
        <w:t>protein design</w:t>
      </w:r>
      <w:r>
        <w:rPr>
          <w:rFonts w:ascii="Arial" w:hAnsi="Arial" w:cs="Arial"/>
          <w:color w:val="000000" w:themeColor="text1"/>
          <w:sz w:val="22"/>
          <w:szCs w:val="22"/>
        </w:rPr>
        <w:t>. S</w:t>
      </w:r>
      <w:r>
        <w:rPr>
          <w:rFonts w:ascii="Arial" w:hAnsi="Arial" w:cs="Arial"/>
          <w:color w:val="000000" w:themeColor="text1"/>
          <w:sz w:val="22"/>
          <w:szCs w:val="22"/>
        </w:rPr>
        <w:t>tructural and experimental validation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with </w:t>
      </w:r>
      <w:r w:rsidR="007D3E1F">
        <w:rPr>
          <w:rFonts w:ascii="Arial" w:hAnsi="Arial" w:cs="Arial"/>
          <w:color w:val="000000" w:themeColor="text1"/>
          <w:sz w:val="22"/>
          <w:szCs w:val="22"/>
        </w:rPr>
        <w:t xml:space="preserve">MSA and DMS datasets </w:t>
      </w:r>
      <w:r>
        <w:rPr>
          <w:rFonts w:ascii="Arial" w:hAnsi="Arial" w:cs="Arial"/>
          <w:color w:val="000000" w:themeColor="text1"/>
          <w:sz w:val="22"/>
          <w:szCs w:val="22"/>
        </w:rPr>
        <w:t>would</w:t>
      </w:r>
      <w:r w:rsidR="007D3E1F">
        <w:rPr>
          <w:rFonts w:ascii="Arial" w:hAnsi="Arial" w:cs="Arial"/>
          <w:color w:val="000000" w:themeColor="text1"/>
          <w:sz w:val="22"/>
          <w:szCs w:val="22"/>
        </w:rPr>
        <w:t xml:space="preserve"> provide more robust conclusions. </w:t>
      </w:r>
    </w:p>
    <w:p w14:paraId="050D362B" w14:textId="0FD343E9" w:rsidR="00F919F2" w:rsidRPr="008F1260" w:rsidRDefault="00B62F9F" w:rsidP="009B6870">
      <w:pPr>
        <w:spacing w:line="360" w:lineRule="auto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t>References</w:t>
      </w:r>
    </w:p>
    <w:p w14:paraId="76324C9C" w14:textId="4D5D0031" w:rsidR="00636E75" w:rsidRPr="008F1260" w:rsidRDefault="00636E75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[1] Gelman, S.,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S.A.,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Heinzelman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P., Romero, P.A.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Gitter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A., 2021. Neural networks to learn protein sequence–function relationships from deep mutational scanning data.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Proceedings of the National Academy of Sciences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118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(48), p.e2104878118.</w:t>
      </w:r>
    </w:p>
    <w:p w14:paraId="68C9208A" w14:textId="0BC51712" w:rsidR="00636E75" w:rsidRPr="008F1260" w:rsidRDefault="00636E75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[2]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Freschlin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C.R.,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S.A. and Romero, P.A., 2022. Machine learning to navigate fitness landscapes for protein engineering.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Current Opinion in Biotechnology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75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p.102713.</w:t>
      </w:r>
    </w:p>
    <w:p w14:paraId="48FA3C30" w14:textId="5E38078D" w:rsidR="00F919F2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[3]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S.A.,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Freschlin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C.R.,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Heinzelman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P. and Romero, P.A., 2023. Neural network extrapolation to distant regions of the protein fitness landscape. </w:t>
      </w:r>
      <w:proofErr w:type="spellStart"/>
      <w:r w:rsidR="00F919F2"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bioRxiv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pp.2023-11.</w:t>
      </w:r>
    </w:p>
    <w:p w14:paraId="3B181744" w14:textId="3E4EDDA5" w:rsidR="00657031" w:rsidRPr="008F1260" w:rsidRDefault="0065703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Hsu, C.,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Nisonoff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H.,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Fannjiang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Listgarten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J., 2022. Learning protein fitness models from evolutionary and assay-labeled data.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biotechnology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40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(7), pp.1114-1122.</w:t>
      </w:r>
    </w:p>
    <w:p w14:paraId="68F5A87C" w14:textId="1175F053" w:rsidR="00345D03" w:rsidRPr="008F1260" w:rsidRDefault="00345D03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Wu, Z., Johnston, K.E., Arnold, F.H. and Yang, K.K., 2021. Protein sequence design with deep generative models.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Current opinion in chemical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65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pp.18-27.</w:t>
      </w:r>
    </w:p>
    <w:p w14:paraId="75173FE3" w14:textId="0CC1FD76" w:rsidR="007735BD" w:rsidRPr="008F1260" w:rsidRDefault="007735BD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[6]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Weinreich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D.M., Delaney, N.F.,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DePristo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M.A.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Hartl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D.L., 2006. Darwinian evolution can follow only very few mutational paths to fitter proteins.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science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312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(5770), pp.111-114.</w:t>
      </w:r>
    </w:p>
    <w:p w14:paraId="099AB2A0" w14:textId="00C87F41" w:rsidR="007F71DB" w:rsidRPr="008F1260" w:rsidRDefault="007F71DB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[7]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Salverda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M.L.,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Dellus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Gorter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F.A.,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Debets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A.J., Van Der Oost, J., Hoekstra, R.F., Tawfik, D.S. and de Visser, J.A.G., 2011. Initial mutations direct alternative pathways of protein evolution. 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genetics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(3), p.e1001321.</w:t>
      </w:r>
    </w:p>
    <w:p w14:paraId="29490221" w14:textId="2AB06D97" w:rsidR="00636E75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Hawkins-Hooker, A., Depardieu, F., Baur, S.,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Couairon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G., Chen, 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Bikard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D., 2021. Generating functional protein variants with variational autoencoders. 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computational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p.e1008736.</w:t>
      </w:r>
    </w:p>
    <w:p w14:paraId="57E45614" w14:textId="529CDB7A" w:rsidR="00636E75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9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Ding, X., Zou, Z. and Brooks III, C.L., 2019. Deciphering protein evolution and fitness landscapes with latent space models.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communications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10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p.5644.</w:t>
      </w:r>
    </w:p>
    <w:p w14:paraId="4C8D63F6" w14:textId="742BD11C" w:rsidR="00B65E6A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[10] Johnson, L.S., Eddy, S.R.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Portugaly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E., 2010. Hidden Markov model speed heuristic and iterative HMM search procedure.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BMC bioinformatics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pp.1-8.</w:t>
      </w:r>
    </w:p>
    <w:p w14:paraId="19DC5E9B" w14:textId="60642D1A" w:rsidR="00B65E6A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[11]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Riesselman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A.J., Ingraham, J.B. and Marks, D.S., 2018. Deep generative models of genetic variation capture the effects of mutations.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methods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(10), pp.816-822.</w:t>
      </w:r>
    </w:p>
    <w:p w14:paraId="5AE94879" w14:textId="42D1F4EE" w:rsidR="008D7D61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[12] Chen, Y., Hu, R., Li, K., Zhang, Y., Fu, L., Zhang, J. and Si, T., 2023. Deep Mutational Scanning of an Oxygen-Independent Fluorescent Protein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Comprehensive Profiling of Mutational and Epistatic Effects.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ACS Synthetic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(5), pp.1461-1473.</w:t>
      </w:r>
    </w:p>
    <w:p w14:paraId="345557BF" w14:textId="5DB274B7" w:rsidR="008D7D61" w:rsidRDefault="008D7D61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8D7D61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Code</w:t>
      </w:r>
      <w:r w:rsidR="00D025BE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Availability</w:t>
      </w:r>
    </w:p>
    <w:p w14:paraId="0938D826" w14:textId="22909EAE" w:rsidR="00D025BE" w:rsidRPr="00D025BE" w:rsidRDefault="00D025BE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D025B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https://github.com/nblalock/PCA_vs_VAE.git</w:t>
      </w:r>
    </w:p>
    <w:p w14:paraId="357DD76A" w14:textId="77777777" w:rsidR="008D7D61" w:rsidRPr="008D7D61" w:rsidRDefault="008D7D61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733D75B" w14:textId="77777777" w:rsidR="008D7D61" w:rsidRPr="008F1260" w:rsidRDefault="008D7D6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sectPr w:rsidR="008D7D61" w:rsidRPr="008F126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4392" w14:textId="77777777" w:rsidR="001016A8" w:rsidRDefault="001016A8" w:rsidP="00B62F9F">
      <w:r>
        <w:separator/>
      </w:r>
    </w:p>
  </w:endnote>
  <w:endnote w:type="continuationSeparator" w:id="0">
    <w:p w14:paraId="1344EC45" w14:textId="77777777" w:rsidR="001016A8" w:rsidRDefault="001016A8" w:rsidP="00B6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8838" w14:textId="77777777" w:rsidR="001016A8" w:rsidRDefault="001016A8" w:rsidP="00B62F9F">
      <w:r>
        <w:separator/>
      </w:r>
    </w:p>
  </w:footnote>
  <w:footnote w:type="continuationSeparator" w:id="0">
    <w:p w14:paraId="651EB5AA" w14:textId="77777777" w:rsidR="001016A8" w:rsidRDefault="001016A8" w:rsidP="00B6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0655" w14:textId="7EEE215F" w:rsidR="00B62F9F" w:rsidRPr="00B62F9F" w:rsidRDefault="00B62F9F" w:rsidP="00B62F9F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916"/>
    <w:multiLevelType w:val="multilevel"/>
    <w:tmpl w:val="B98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F73F1"/>
    <w:multiLevelType w:val="multilevel"/>
    <w:tmpl w:val="634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8449A"/>
    <w:multiLevelType w:val="multilevel"/>
    <w:tmpl w:val="08B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D3478"/>
    <w:multiLevelType w:val="multilevel"/>
    <w:tmpl w:val="4A5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82187"/>
    <w:multiLevelType w:val="multilevel"/>
    <w:tmpl w:val="CD1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5236F2"/>
    <w:multiLevelType w:val="multilevel"/>
    <w:tmpl w:val="50E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482765">
    <w:abstractNumId w:val="5"/>
  </w:num>
  <w:num w:numId="2" w16cid:durableId="1358510326">
    <w:abstractNumId w:val="1"/>
  </w:num>
  <w:num w:numId="3" w16cid:durableId="78602991">
    <w:abstractNumId w:val="0"/>
  </w:num>
  <w:num w:numId="4" w16cid:durableId="1593860243">
    <w:abstractNumId w:val="3"/>
  </w:num>
  <w:num w:numId="5" w16cid:durableId="6710625">
    <w:abstractNumId w:val="2"/>
  </w:num>
  <w:num w:numId="6" w16cid:durableId="872574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9F"/>
    <w:rsid w:val="000A65B6"/>
    <w:rsid w:val="000B3239"/>
    <w:rsid w:val="000B6B43"/>
    <w:rsid w:val="000C43B8"/>
    <w:rsid w:val="000F7349"/>
    <w:rsid w:val="001016A8"/>
    <w:rsid w:val="00107089"/>
    <w:rsid w:val="001A1A5D"/>
    <w:rsid w:val="001F464F"/>
    <w:rsid w:val="002673A0"/>
    <w:rsid w:val="002910C1"/>
    <w:rsid w:val="00297B4B"/>
    <w:rsid w:val="002A726B"/>
    <w:rsid w:val="0030631E"/>
    <w:rsid w:val="00324730"/>
    <w:rsid w:val="00345D03"/>
    <w:rsid w:val="003B6047"/>
    <w:rsid w:val="003F6B7B"/>
    <w:rsid w:val="00436345"/>
    <w:rsid w:val="00436640"/>
    <w:rsid w:val="004F7133"/>
    <w:rsid w:val="00553925"/>
    <w:rsid w:val="005A151E"/>
    <w:rsid w:val="006361FD"/>
    <w:rsid w:val="00636E75"/>
    <w:rsid w:val="00646EE2"/>
    <w:rsid w:val="00657031"/>
    <w:rsid w:val="00664D4D"/>
    <w:rsid w:val="00683E17"/>
    <w:rsid w:val="00713944"/>
    <w:rsid w:val="00722449"/>
    <w:rsid w:val="00740ED4"/>
    <w:rsid w:val="007735BD"/>
    <w:rsid w:val="00797BA4"/>
    <w:rsid w:val="007D3D36"/>
    <w:rsid w:val="007D3E1F"/>
    <w:rsid w:val="007F71DB"/>
    <w:rsid w:val="007F77BB"/>
    <w:rsid w:val="008723F9"/>
    <w:rsid w:val="008A71E0"/>
    <w:rsid w:val="008B4FC2"/>
    <w:rsid w:val="008D7D61"/>
    <w:rsid w:val="008F1260"/>
    <w:rsid w:val="00903C81"/>
    <w:rsid w:val="00912B11"/>
    <w:rsid w:val="00950C9D"/>
    <w:rsid w:val="009B4EB6"/>
    <w:rsid w:val="009B6870"/>
    <w:rsid w:val="009D0BC5"/>
    <w:rsid w:val="009E2C8E"/>
    <w:rsid w:val="00A00B32"/>
    <w:rsid w:val="00A445EF"/>
    <w:rsid w:val="00A52291"/>
    <w:rsid w:val="00A722DB"/>
    <w:rsid w:val="00A7266E"/>
    <w:rsid w:val="00AF6AAA"/>
    <w:rsid w:val="00B47875"/>
    <w:rsid w:val="00B570D4"/>
    <w:rsid w:val="00B62F9F"/>
    <w:rsid w:val="00B65E6A"/>
    <w:rsid w:val="00B83C5B"/>
    <w:rsid w:val="00B974E4"/>
    <w:rsid w:val="00BB1B28"/>
    <w:rsid w:val="00C17C37"/>
    <w:rsid w:val="00C2136F"/>
    <w:rsid w:val="00C23D8F"/>
    <w:rsid w:val="00C36399"/>
    <w:rsid w:val="00CA0BB6"/>
    <w:rsid w:val="00CA4BDA"/>
    <w:rsid w:val="00CB1D61"/>
    <w:rsid w:val="00CC0919"/>
    <w:rsid w:val="00CC242A"/>
    <w:rsid w:val="00D025BE"/>
    <w:rsid w:val="00D0395A"/>
    <w:rsid w:val="00D55A27"/>
    <w:rsid w:val="00DC0F19"/>
    <w:rsid w:val="00DC6D1F"/>
    <w:rsid w:val="00DF05E0"/>
    <w:rsid w:val="00E06BAD"/>
    <w:rsid w:val="00E113BD"/>
    <w:rsid w:val="00E14C03"/>
    <w:rsid w:val="00E5516C"/>
    <w:rsid w:val="00F65A4D"/>
    <w:rsid w:val="00F82FB6"/>
    <w:rsid w:val="00F919F2"/>
    <w:rsid w:val="00F96CA7"/>
    <w:rsid w:val="00F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DA7D6"/>
  <w15:chartTrackingRefBased/>
  <w15:docId w15:val="{34442CD9-9583-7E42-8764-30B33052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F9F"/>
  </w:style>
  <w:style w:type="paragraph" w:styleId="Footer">
    <w:name w:val="footer"/>
    <w:basedOn w:val="Normal"/>
    <w:link w:val="FooterChar"/>
    <w:uiPriority w:val="99"/>
    <w:unhideWhenUsed/>
    <w:rsid w:val="00B62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F9F"/>
  </w:style>
  <w:style w:type="paragraph" w:styleId="ListParagraph">
    <w:name w:val="List Paragraph"/>
    <w:basedOn w:val="Normal"/>
    <w:uiPriority w:val="34"/>
    <w:qFormat/>
    <w:rsid w:val="00646E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570D4"/>
  </w:style>
  <w:style w:type="character" w:styleId="Emphasis">
    <w:name w:val="Emphasis"/>
    <w:basedOn w:val="DefaultParagraphFont"/>
    <w:uiPriority w:val="20"/>
    <w:qFormat/>
    <w:rsid w:val="00B570D4"/>
    <w:rPr>
      <w:i/>
      <w:iCs/>
    </w:rPr>
  </w:style>
  <w:style w:type="character" w:styleId="Strong">
    <w:name w:val="Strong"/>
    <w:basedOn w:val="DefaultParagraphFont"/>
    <w:uiPriority w:val="22"/>
    <w:qFormat/>
    <w:rsid w:val="00CA0B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68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415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07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83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19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06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Lane Blalock</dc:creator>
  <cp:keywords/>
  <dc:description/>
  <cp:lastModifiedBy>Nathaniel Lane Blalock</cp:lastModifiedBy>
  <cp:revision>4</cp:revision>
  <dcterms:created xsi:type="dcterms:W3CDTF">2023-12-14T01:59:00Z</dcterms:created>
  <dcterms:modified xsi:type="dcterms:W3CDTF">2023-12-14T02:36:00Z</dcterms:modified>
</cp:coreProperties>
</file>