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jc w:val="center"/>
      </w:pPr>
      <w:r>
        <w:rPr>
          <w:rFonts w:ascii="Times New Roman" w:hAnsi="Times New Roman" w:eastAsia="Times New Roman"/>
          <w:b/>
          <w:sz w:val="28"/>
        </w:rPr>
        <w:t>Who measures what enters the market? Self-organised variety trials and the third-party-assayed grain-quality gap in China's rice variety approvals, 2017–2022</w:t>
      </w:r>
    </w:p>
    <w:p>
      <w:pPr>
        <w:spacing w:line="480" w:lineRule="auto" w:after="160"/>
        <w:jc w:val="left"/>
      </w:pPr>
      <w:r>
        <w:rPr>
          <w:rFonts w:ascii="Times New Roman" w:hAnsi="Times New Roman" w:eastAsia="Times New Roman"/>
          <w:i/>
          <w:sz w:val="24"/>
        </w:rPr>
        <w:t>Running title:</w:t>
      </w:r>
      <w:r>
        <w:rPr>
          <w:rFonts w:ascii="Times New Roman" w:hAnsi="Times New Roman" w:eastAsia="Times New Roman"/>
          <w:sz w:val="24"/>
        </w:rPr>
        <w:t xml:space="preserve"> Trial channels and third-party grain quality in Chinese rice approvals</w:t>
      </w:r>
    </w:p>
    <w:p>
      <w:pPr>
        <w:keepNext/>
        <w:spacing w:line="480" w:lineRule="auto" w:after="120"/>
        <w:jc w:val="left"/>
      </w:pPr>
      <w:r>
        <w:rPr>
          <w:rFonts w:ascii="Times New Roman" w:hAnsi="Times New Roman" w:eastAsia="Times New Roman"/>
          <w:b/>
          <w:sz w:val="24"/>
        </w:rPr>
        <w:t>Abstract</w:t>
      </w:r>
    </w:p>
    <w:p>
      <w:pPr>
        <w:spacing w:line="480" w:lineRule="auto" w:after="160"/>
        <w:jc w:val="left"/>
      </w:pPr>
      <w:r>
        <w:rPr>
          <w:rFonts w:ascii="Times New Roman" w:hAnsi="Times New Roman" w:eastAsia="Times New Roman"/>
          <w:sz w:val="24"/>
        </w:rPr>
        <w:t xml:space="preserve">China's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ended the state monopoly on variety-value testing: certified seed firms may run green-channel trials, and consortia of five or more breeders may organise regional trials. Whether this changed what enters the seed market, not only how much, is unknown, because no prior study observes which trial channel a variety passed through. We exploit an unused feature of official approval announcements, which name the trial each variety was tested in, to assign every record to the unified trial, the green channel, or a consortium trial. Using rice approval records parsed from Ministry announcements, we compare self-organised with unified-trial entrants within the same approval year, ecological trial group and named check, estimating the green channel (2017) and consortium trials (2019–2022) as separate treatments since they do not overlap in time. Consortium entrants show 1.84 percentage points lower head-rice percentage, 1.11 points higher chalkiness, and a 12.2-point lower probability of carrying a stated national quality grade, all third-party-assayed under NY/T 593, while the yield advantage recorded in the applicant's own trial is, if anything, higher (+0.55 points, suggestive only); green-channel entrants likewise show higher chalkiness. This sign separation is the identification argument: a pure breeding-ability account predicts both trait classes deteriorate together, whereas third-party grain quality deteriorates while applicant-measured performance does not. Results survive worst-case bounds, randomisation inference, and dropping the focal firm. Bacterial-blight grades are better, not worse, among self-organised entrants, a result that bounds the composition effect.</w:t>
      </w:r>
    </w:p>
    <w:p>
      <w:pPr>
        <w:keepNext/>
        <w:spacing w:line="480" w:lineRule="auto" w:after="120"/>
        <w:jc w:val="left"/>
      </w:pPr>
      <w:r>
        <w:rPr>
          <w:rFonts w:ascii="Times New Roman" w:hAnsi="Times New Roman" w:eastAsia="Times New Roman"/>
          <w:b/>
          <w:sz w:val="24"/>
        </w:rPr>
        <w:t>Keywords</w:t>
      </w:r>
    </w:p>
    <w:p>
      <w:pPr>
        <w:spacing w:line="480" w:lineRule="auto" w:after="160"/>
        <w:jc w:val="left"/>
      </w:pPr>
      <w:r>
        <w:rPr>
          <w:rFonts w:ascii="Times New Roman" w:hAnsi="Times New Roman" w:eastAsia="Times New Roman"/>
          <w:sz w:val="24"/>
        </w:rPr>
        <w:t>variety approval; third-party certification; self-organised trials; rice quality; seed regulation; China</w:t>
      </w:r>
    </w:p>
    <w:p>
      <w:pPr>
        <w:keepNext/>
        <w:spacing w:line="480" w:lineRule="auto" w:after="120"/>
        <w:jc w:val="left"/>
      </w:pPr>
      <w:r>
        <w:rPr>
          <w:rFonts w:ascii="Times New Roman" w:hAnsi="Times New Roman" w:eastAsia="Times New Roman"/>
          <w:b/>
          <w:sz w:val="24"/>
        </w:rPr>
        <w:t>Highlights</w:t>
      </w:r>
    </w:p>
    <w:p>
      <w:pPr>
        <w:pStyle w:val="ListNumber"/>
        <w:spacing w:line="360" w:lineRule="auto" w:after="40"/>
      </w:pPr>
      <w:r>
        <w:rPr>
          <w:rFonts w:ascii="Times New Roman" w:hAnsi="Times New Roman" w:eastAsia="Times New Roman"/>
          <w:sz w:val="24"/>
        </w:rPr>
        <w:t>Trial channel is reconstructed from approval-announcement text at record level.</w:t>
      </w:r>
    </w:p>
    <w:p>
      <w:pPr>
        <w:pStyle w:val="ListNumber"/>
        <w:spacing w:line="360" w:lineRule="auto" w:after="40"/>
      </w:pPr>
      <w:r>
        <w:rPr>
          <w:rFonts w:ascii="Times New Roman" w:hAnsi="Times New Roman" w:eastAsia="Times New Roman"/>
          <w:sz w:val="24"/>
        </w:rPr>
        <w:t>Consortium-trial entrants show lower third-party-assayed grain quality.</w:t>
      </w:r>
    </w:p>
    <w:p>
      <w:pPr>
        <w:pStyle w:val="ListNumber"/>
        <w:spacing w:line="360" w:lineRule="auto" w:after="40"/>
      </w:pPr>
      <w:r>
        <w:rPr>
          <w:rFonts w:ascii="Times New Roman" w:hAnsi="Times New Roman" w:eastAsia="Times New Roman"/>
          <w:sz w:val="24"/>
        </w:rPr>
        <w:t>Applicant-measured yield performance is not lower for self-organised entrants.</w:t>
      </w:r>
    </w:p>
    <w:p>
      <w:pPr>
        <w:pStyle w:val="ListNumber"/>
        <w:spacing w:line="360" w:lineRule="auto" w:after="40"/>
      </w:pPr>
      <w:r>
        <w:rPr>
          <w:rFonts w:ascii="Times New Roman" w:hAnsi="Times New Roman" w:eastAsia="Times New Roman"/>
          <w:sz w:val="24"/>
        </w:rPr>
        <w:t>Green-channel and consortium-trial gaps diverge and are estimated separately.</w:t>
      </w:r>
    </w:p>
    <w:p>
      <w:pPr>
        <w:pStyle w:val="ListNumber"/>
        <w:spacing w:line="360" w:lineRule="auto" w:after="40"/>
      </w:pPr>
      <w:r>
        <w:rPr>
          <w:rFonts w:ascii="Times New Roman" w:hAnsi="Times New Roman" w:eastAsia="Times New Roman"/>
          <w:sz w:val="24"/>
        </w:rPr>
        <w:t>A leading seed firm uses self-organised trials less, against low breeding capacity.</w:t>
      </w:r>
    </w:p>
    <w:p>
      <w:pPr>
        <w:keepNext/>
        <w:spacing w:line="480" w:lineRule="auto" w:after="120"/>
        <w:jc w:val="left"/>
      </w:pPr>
      <w:r>
        <w:rPr>
          <w:rFonts w:ascii="Times New Roman" w:hAnsi="Times New Roman" w:eastAsia="Times New Roman"/>
          <w:b/>
          <w:sz w:val="26"/>
        </w:rPr>
        <w:t>1. Introduction</w:t>
      </w:r>
    </w:p>
    <w:p>
      <w:pPr>
        <w:spacing w:line="480" w:lineRule="auto" w:after="160"/>
        <w:jc w:val="left"/>
      </w:pPr>
      <w:r>
        <w:rPr>
          <w:rFonts w:ascii="Times New Roman" w:hAnsi="Times New Roman" w:eastAsia="Times New Roman"/>
          <w:sz w:val="24"/>
        </w:rPr>
        <w:t xml:space="preserve">Variety approval decides which rice varieties may be sold as certified seed in China, and until 2016 the government held a monopoly on the trials that produced this decision: every candidate variety was measured, under the same protocol, in the state-run unified regional trial. 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ended that monopoly. Certified integrated seed-breeding-extension enterprises could now organise their own "green-channel" trials, and consortia of five or more breeders could organise their own regional trials. Both channels replace the government as the party that runs the trial in which agronomic performance is measured; neither channel replaces the ministry-designated third-party laboratories that measure grain-processing and appearance quality once a candidate reaches the approval stage. This split — self-organised measurement of performance, third-party measurement of quality, inside the same approval file — is the object of this paper. We ask not how large the reform was, but </w:t>
      </w:r>
      <w:r>
        <w:rPr>
          <w:rFonts w:ascii="Times New Roman" w:hAnsi="Times New Roman" w:eastAsia="Times New Roman"/>
          <w:i/>
          <w:sz w:val="24"/>
        </w:rPr>
        <w:t>who holds the measuring stick</w:t>
      </w:r>
      <w:r>
        <w:rPr>
          <w:rFonts w:ascii="Times New Roman" w:hAnsi="Times New Roman" w:eastAsia="Times New Roman"/>
          <w:sz w:val="24"/>
        </w:rPr>
        <w:t xml:space="preserve"> for what enters the market.</w:t>
      </w:r>
    </w:p>
    <w:p>
      <w:pPr>
        <w:spacing w:line="480" w:lineRule="auto" w:after="160"/>
        <w:jc w:val="left"/>
      </w:pPr>
      <w:r>
        <w:rPr>
          <w:rFonts w:ascii="Times New Roman" w:hAnsi="Times New Roman" w:eastAsia="Times New Roman"/>
          <w:sz w:val="24"/>
        </w:rPr>
        <w:t xml:space="preserve">This question has not been answered because it has not been asked in a form the data could answer. The two studies that evaluate this same reform, Xiang et al. (2025) and Zhao et al. (2022), both code the reform as a </w:t>
      </w:r>
      <w:r>
        <w:rPr>
          <w:rFonts w:ascii="Times New Roman" w:hAnsi="Times New Roman" w:eastAsia="Times New Roman"/>
          <w:i/>
          <w:sz w:val="24"/>
        </w:rPr>
        <w:t>period</w:t>
      </w:r>
      <w:r>
        <w:rPr>
          <w:rFonts w:ascii="Times New Roman" w:hAnsi="Times New Roman" w:eastAsia="Times New Roman"/>
          <w:sz w:val="24"/>
        </w:rPr>
        <w:t xml:space="preserve"> variable — before versus after 2016 — applied to licensing-fee data and to national approval panels, respectively. Xiang et al. (2025) find that licensing fees for hybrid rice varieties are not significantly affected by the reform; Zhao et al. (2022) trace policy variables against approved-variety trait trends over time. Neither paper observes which trial a given variety actually passed through, so neither can distinguish a change in </w:t>
      </w:r>
      <w:r>
        <w:rPr>
          <w:rFonts w:ascii="Times New Roman" w:hAnsi="Times New Roman" w:eastAsia="Times New Roman"/>
          <w:i/>
          <w:sz w:val="24"/>
        </w:rPr>
        <w:t>how much</w:t>
      </w:r>
      <w:r>
        <w:rPr>
          <w:rFonts w:ascii="Times New Roman" w:hAnsi="Times New Roman" w:eastAsia="Times New Roman"/>
          <w:sz w:val="24"/>
        </w:rPr>
        <w:t xml:space="preserve"> enters the market from a change in </w:t>
      </w:r>
      <w:r>
        <w:rPr>
          <w:rFonts w:ascii="Times New Roman" w:hAnsi="Times New Roman" w:eastAsia="Times New Roman"/>
          <w:i/>
          <w:sz w:val="24"/>
        </w:rPr>
        <w:t>what</w:t>
      </w:r>
      <w:r>
        <w:rPr>
          <w:rFonts w:ascii="Times New Roman" w:hAnsi="Times New Roman" w:eastAsia="Times New Roman"/>
          <w:sz w:val="24"/>
        </w:rPr>
        <w:t xml:space="preserve"> enters it. A null effect on price, in particular, is silent on whether the composition of entering varieties shifted. This is the gap: no existing study has a record-level channel variable to test whether self-organised and state-run entrants differ in what they bring to market.</w:t>
      </w:r>
    </w:p>
    <w:p>
      <w:pPr>
        <w:spacing w:line="480" w:lineRule="auto" w:after="160"/>
        <w:jc w:val="left"/>
      </w:pPr>
      <w:r>
        <w:rPr>
          <w:rFonts w:ascii="Times New Roman" w:hAnsi="Times New Roman" w:eastAsia="Times New Roman"/>
          <w:sz w:val="24"/>
        </w:rPr>
        <w:t xml:space="preserve">A related but distinct literature reads approved-variety trait trends by </w:t>
      </w:r>
      <w:r>
        <w:rPr>
          <w:rFonts w:ascii="Times New Roman" w:hAnsi="Times New Roman" w:eastAsia="Times New Roman"/>
          <w:i/>
          <w:sz w:val="24"/>
        </w:rPr>
        <w:t>calendar year</w:t>
      </w:r>
      <w:r>
        <w:rPr>
          <w:rFonts w:ascii="Times New Roman" w:hAnsi="Times New Roman" w:eastAsia="Times New Roman"/>
          <w:sz w:val="24"/>
        </w:rPr>
        <w:t xml:space="preserve"> rather than by trial channel. Lu et al. (2024) classify the quality-trait trajectory of 17,785 nationally and provincially approved varieties from 1978–2022, and Hang et al. (2024) track yield and agronomic-trait evolution across 11,811 regional-trial entries from 1990–2023; both papers read the same kind of approval-trial record we use, but neither carries a variable for which trial organised the test, so both attribute trait change to </w:t>
      </w:r>
      <w:r>
        <w:rPr>
          <w:rFonts w:ascii="Times New Roman" w:hAnsi="Times New Roman" w:eastAsia="Times New Roman"/>
          <w:i/>
          <w:sz w:val="24"/>
        </w:rPr>
        <w:t>when</w:t>
      </w:r>
      <w:r>
        <w:rPr>
          <w:rFonts w:ascii="Times New Roman" w:hAnsi="Times New Roman" w:eastAsia="Times New Roman"/>
          <w:sz w:val="24"/>
        </w:rPr>
        <w:t xml:space="preserve"> a variety was approved rather than to </w:t>
      </w:r>
      <w:r>
        <w:rPr>
          <w:rFonts w:ascii="Times New Roman" w:hAnsi="Times New Roman" w:eastAsia="Times New Roman"/>
          <w:i/>
          <w:sz w:val="24"/>
        </w:rPr>
        <w:t>which door</w:t>
      </w:r>
      <w:r>
        <w:rPr>
          <w:rFonts w:ascii="Times New Roman" w:hAnsi="Times New Roman" w:eastAsia="Times New Roman"/>
          <w:sz w:val="24"/>
        </w:rPr>
        <w:t xml:space="preserve"> it entered through. This paper's structural-break analysis (§5.6) and the "closing window" discussion (§8.2) speak to the same substantive object — the trajectory of quality and yield traits in China's approval records — but ask a channel-conditional question that a year-indexed reading cannot: whether the pre-2016 quality trend Lu et al. (2024) and Hang et al. (2024) document already contains the same channel a variety passed through, or whether it is orthogonal to channel altogether. A recent title-level review of fifty years of three-line hybrid rice trends (Gong et al., 2026) situates this same trait trajectory over a longer horizon; because the full text of that review was not accessible to us at the time of writing, we cite it only for its scope and do not attribute any specific figure to it.</w:t>
      </w:r>
    </w:p>
    <w:p>
      <w:pPr>
        <w:spacing w:line="480" w:lineRule="auto" w:after="160"/>
        <w:jc w:val="left"/>
      </w:pPr>
      <w:r>
        <w:rPr>
          <w:rFonts w:ascii="Times New Roman" w:hAnsi="Times New Roman" w:eastAsia="Times New Roman"/>
          <w:sz w:val="24"/>
        </w:rPr>
        <w:t>We close this gap using a feature of the official approval announcements that has not previously been exploited: each announcement states, in its own text, the name of the trial in which the variety was tested — the unified regional trial, the green channel, or a named consortium trial. Parsing this text lets us assign every approval record to a channel and compare self-organised entrants with unified-trial entrants within the same approval year, the same ecological trial group, and the same named check variety. Because the green channel is concentrated in a single year (2017) and consortium trials begin only in 2019, the two channels barely overlap in time; we treat them as two separate treatments rather than pooling them into one "new channel."</w:t>
      </w:r>
    </w:p>
    <w:p>
      <w:pPr>
        <w:spacing w:line="480" w:lineRule="auto" w:after="160"/>
        <w:jc w:val="left"/>
      </w:pPr>
      <w:r>
        <w:rPr>
          <w:rFonts w:ascii="Times New Roman" w:hAnsi="Times New Roman" w:eastAsia="Times New Roman"/>
          <w:sz w:val="24"/>
        </w:rPr>
        <w:t xml:space="preserve">The paper's estimand is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conditional on year, trial group and check, how do the traits of varieties entering through a self-organised channel differ from those entering through the unified trial. This is not the effect of moving one variety from one channel to the other, since channel assignment is not random and applicants self-select into it; it is the difference in what each door lets through. We do not estimate, and do not claim, a causal effect of the reform on trait levels, and we do not claim that the reform caused any decline in grain quality — the identification strategy below concerns the </w:t>
      </w:r>
      <w:r>
        <w:rPr>
          <w:rFonts w:ascii="Times New Roman" w:hAnsi="Times New Roman" w:eastAsia="Times New Roman"/>
          <w:i/>
          <w:sz w:val="24"/>
        </w:rPr>
        <w:t>entering population</w:t>
      </w:r>
      <w:r>
        <w:rPr>
          <w:rFonts w:ascii="Times New Roman" w:hAnsi="Times New Roman" w:eastAsia="Times New Roman"/>
          <w:sz w:val="24"/>
        </w:rPr>
        <w:t xml:space="preserve">, not the </w:t>
      </w:r>
      <w:r>
        <w:rPr>
          <w:rFonts w:ascii="Times New Roman" w:hAnsi="Times New Roman" w:eastAsia="Times New Roman"/>
          <w:i/>
          <w:sz w:val="24"/>
        </w:rPr>
        <w:t>time trend</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 xml:space="preserve">The identification argument that makes this composition gap informative rests on where the two trait classes are measured. Grain-processing and appearance quality — head-rice percentage, chalkiness, and the national quality grade — are measured after approval by ministry-designated third-party laboratories under the industry standard NY/T 593, uniformly across channels. Agronomic performance in the regional and production trials — yield and the reported yield gain over the check — is measured by the applicant's own trial organisation when the channel is self-organised. A pure difference in applicant breeding ability predicts that both trait classes move together: weaker applicants would enter with worse quality </w:t>
      </w:r>
      <w:r>
        <w:rPr>
          <w:rFonts w:ascii="Times New Roman" w:hAnsi="Times New Roman" w:eastAsia="Times New Roman"/>
          <w:i/>
          <w:sz w:val="24"/>
        </w:rPr>
        <w:t>and</w:t>
      </w:r>
      <w:r>
        <w:rPr>
          <w:rFonts w:ascii="Times New Roman" w:hAnsi="Times New Roman" w:eastAsia="Times New Roman"/>
          <w:sz w:val="24"/>
        </w:rPr>
        <w:t xml:space="preserve"> worse performance. We instead find a sign separation: consortium entrants show 1.84 percentage points lower head-rice percentage, 1.11 points higher chalkiness, and a 12.2-point lower probability of carrying a stated national quality grade (n = 742/739/750) — all third-party-assayed — while the applicant-measured yield gain is, if anything, higher rather than lower. A breeding-ability account cannot generate this pattern; only an account in which the two trait classes are measured by different parties, or the two channels apply different thresholds, can. We report this sign separation as the paper's identification argument, not as a discussion-section aside, and we are explicit that it cannot on its own distinguish measurement discretion from a difference in channel-specific admission thresholds.</w:t>
      </w:r>
    </w:p>
    <w:p>
      <w:pPr>
        <w:spacing w:line="480" w:lineRule="auto" w:after="160"/>
        <w:jc w:val="left"/>
      </w:pPr>
      <w:r>
        <w:rPr>
          <w:rFonts w:ascii="Times New Roman" w:hAnsi="Times New Roman" w:eastAsia="Times New Roman"/>
          <w:sz w:val="24"/>
        </w:rPr>
        <w:t>This paper makes three contributions.</w:t>
      </w:r>
    </w:p>
    <w:p>
      <w:pPr>
        <w:spacing w:line="480" w:lineRule="auto" w:after="160"/>
        <w:jc w:val="left"/>
      </w:pPr>
      <w:r>
        <w:rPr>
          <w:rFonts w:ascii="Times New Roman" w:hAnsi="Times New Roman" w:eastAsia="Times New Roman"/>
          <w:b/>
          <w:sz w:val="24"/>
        </w:rPr>
        <w:t>First</w:t>
      </w:r>
      <w:r>
        <w:rPr>
          <w:rFonts w:ascii="Times New Roman" w:hAnsi="Times New Roman" w:eastAsia="Times New Roman"/>
          <w:sz w:val="24"/>
        </w:rPr>
        <w:t>, it constructs the first record-level trial-channel variable for China's variety approval system, built directly from the wording of official approval announcements rather than from a before/after period indicator. This turns "the 2016 reform" from a single time-varying treatment into an observable, record-level assignment that can be compared within year, trial group and check — the design that Xiang et al. (2025) and Zhao et al. (2022) could not implement without this variable.</w:t>
      </w:r>
    </w:p>
    <w:p>
      <w:pPr>
        <w:spacing w:line="480" w:lineRule="auto" w:after="160"/>
        <w:jc w:val="left"/>
      </w:pPr>
      <w:r>
        <w:rPr>
          <w:rFonts w:ascii="Times New Roman" w:hAnsi="Times New Roman" w:eastAsia="Times New Roman"/>
          <w:b/>
          <w:sz w:val="24"/>
        </w:rPr>
        <w:t>Second</w:t>
      </w:r>
      <w:r>
        <w:rPr>
          <w:rFonts w:ascii="Times New Roman" w:hAnsi="Times New Roman" w:eastAsia="Times New Roman"/>
          <w:sz w:val="24"/>
        </w:rPr>
        <w:t xml:space="preserve">, it turns the coexistence of applicant-measured and third-party-measured traits within the same approval file into an identification argument, rather than a description. The regulatory-economics literature on self-certification has shown, experimentally, that a regulated party's own choice of auditor yields systematically favourable readings of the </w:t>
      </w:r>
      <w:r>
        <w:rPr>
          <w:rFonts w:ascii="Times New Roman" w:hAnsi="Times New Roman" w:eastAsia="Times New Roman"/>
          <w:i/>
          <w:sz w:val="24"/>
        </w:rPr>
        <w:t>same</w:t>
      </w:r>
      <w:r>
        <w:rPr>
          <w:rFonts w:ascii="Times New Roman" w:hAnsi="Times New Roman" w:eastAsia="Times New Roman"/>
          <w:sz w:val="24"/>
        </w:rPr>
        <w:t xml:space="preserve"> attribute (Duflo et al., 2013), and that firms endogenously choose certifiers that have previously rated them favourably (Bar and Zheng, 2019). We do not have two measurements of the same attribute; we have two different attributes, measured by two different parties, inside a single document. The sign separation described above is the evidence this design can produce, and we show why a pure applicant-selection account cannot reproduce it on its own.</w:t>
      </w:r>
    </w:p>
    <w:p>
      <w:pPr>
        <w:spacing w:line="480" w:lineRule="auto" w:after="160"/>
        <w:jc w:val="left"/>
      </w:pPr>
      <w:r>
        <w:rPr>
          <w:rFonts w:ascii="Times New Roman" w:hAnsi="Times New Roman" w:eastAsia="Times New Roman"/>
          <w:b/>
          <w:sz w:val="24"/>
        </w:rPr>
        <w:t>Third</w:t>
      </w:r>
      <w:r>
        <w:rPr>
          <w:rFonts w:ascii="Times New Roman" w:hAnsi="Times New Roman" w:eastAsia="Times New Roman"/>
          <w:sz w:val="24"/>
        </w:rPr>
        <w:t>, it splits the reform into two treatments that do not overlap in time and shows that pooling them manufactures an average that never occurred: the green channel (2017) and consortium trials (2019–2022) differ in sign on at least one trait (the applicant-measured production-trial yield gain), so estimating them jointly as a single "new channel" would misstate the direction of the underlying gap. Within this design, we use Anhui Winall Hi-Tech Seed Co. — the single largest beneficiary of rising national-approval share among integrated seed enterprises over this period, and a firm the green channel was in principle designed to serve — as a counter-case, not as a source of the main result: it uses the unified trial more, not less, than its peers, which rules out "self-organised entrants are simply weaker firms" as an alternative explanation for the quality gap. This role is deliberately narrow, and the main results do not depend on this firm's records.</w:t>
      </w:r>
    </w:p>
    <w:p>
      <w:pPr>
        <w:spacing w:line="480" w:lineRule="auto" w:after="160"/>
        <w:jc w:val="left"/>
      </w:pPr>
      <w:r>
        <w:rPr>
          <w:rFonts w:ascii="Times New Roman" w:hAnsi="Times New Roman" w:eastAsia="Times New Roman"/>
          <w:sz w:val="24"/>
        </w:rPr>
        <w:t xml:space="preserve">This paper's approach — an institutional-economics reading of a Chinese crop-sector regulation, using approval-record text rather than a laboratory or field trial as its evidence base — sits alongside a strand of </w:t>
      </w:r>
      <w:r>
        <w:rPr>
          <w:rFonts w:ascii="Times New Roman" w:hAnsi="Times New Roman" w:eastAsia="Times New Roman"/>
          <w:i/>
          <w:sz w:val="24"/>
        </w:rPr>
        <w:t>Journal of Integrative Agriculture</w:t>
      </w:r>
      <w:r>
        <w:rPr>
          <w:rFonts w:ascii="Times New Roman" w:hAnsi="Times New Roman" w:eastAsia="Times New Roman"/>
          <w:sz w:val="24"/>
        </w:rPr>
        <w:t xml:space="preserve"> scholarship on cognate topics: variety-improvement history and germplasm contribution (Shi and Hu, 2017), information asymmetry in farmers' seed-choice behaviour (Qiu et al., 2016), and contract-farming incentive design in Chinese agriculture (Huang et al., 2018). We situate the present paper alongside these three not because they share our method, but because they establish that JIA already publishes exactly this blend of institutional-economics-of-agriculture work on China's seed and farming sectors.</w:t>
      </w:r>
    </w:p>
    <w:p>
      <w:pPr>
        <w:spacing w:line="480" w:lineRule="auto" w:after="160"/>
        <w:jc w:val="left"/>
      </w:pPr>
      <w:r>
        <w:rPr>
          <w:rFonts w:ascii="Times New Roman" w:hAnsi="Times New Roman" w:eastAsia="Times New Roman"/>
          <w:sz w:val="24"/>
        </w:rPr>
        <w:t>The remainder of the paper proceeds as follows. Section 2 describes the institutional path from the unified regional trial to the green channel and consortium trials, and the quality-testing regime under NY/T 593. Section 3 describes the data and the construction and validation of the channel variable. Section 4 sets out the empirical strategy and states formally what the paper does and does not claim. Sections 5 and 6 report the main results and their robustness. Section 7 examines Winall Hi-Tech as a counter-case. Section 8 discusses the paper's contribution to the literature on self-certification and its policy implications, and Section 9 concludes.</w:t>
      </w:r>
    </w:p>
    <w:p>
      <w:pPr>
        <w:keepNext/>
        <w:spacing w:line="480" w:lineRule="auto" w:after="120"/>
        <w:jc w:val="left"/>
      </w:pPr>
      <w:r>
        <w:rPr>
          <w:rFonts w:ascii="Times New Roman" w:hAnsi="Times New Roman" w:eastAsia="Times New Roman"/>
          <w:b/>
          <w:sz w:val="26"/>
        </w:rPr>
        <w:t>2. Institutional background</w:t>
      </w:r>
    </w:p>
    <w:p>
      <w:pPr>
        <w:spacing w:line="480" w:lineRule="auto" w:after="160"/>
        <w:jc w:val="left"/>
      </w:pPr>
      <w:r>
        <w:rPr>
          <w:rFonts w:ascii="Times New Roman" w:hAnsi="Times New Roman" w:eastAsia="Times New Roman"/>
          <w:sz w:val="24"/>
        </w:rPr>
        <w:t xml:space="preserve">China's variety approval system evaluates candidate crop varieties before they may be marketed as certified seed, and until 2016 the evaluation trial itself was uniformly state-run. Under this arrangement, a candidate variety enters the </w:t>
      </w:r>
      <w:r>
        <w:rPr>
          <w:rFonts w:ascii="Times New Roman" w:hAnsi="Times New Roman" w:eastAsia="Times New Roman"/>
          <w:b/>
          <w:sz w:val="24"/>
        </w:rPr>
        <w:t>unified regional trial</w:t>
      </w:r>
      <w:r>
        <w:rPr>
          <w:rFonts w:ascii="Times New Roman" w:hAnsi="Times New Roman" w:eastAsia="Times New Roman"/>
          <w:sz w:val="24"/>
        </w:rPr>
        <w:t xml:space="preserve"> (统一区域试验): a multi-site, multi-year trial organised by the provincial or national variety approval committee, in which every applicant's variety is grown alongside a named check variety under a common protocol. The unified trial remained the only route into approval until a green channel was opened in 2014.</w:t>
      </w:r>
    </w:p>
    <w:p>
      <w:pPr>
        <w:spacing w:line="480" w:lineRule="auto" w:after="160"/>
        <w:jc w:val="left"/>
      </w:pPr>
      <w:r>
        <w:rPr>
          <w:rFonts w:ascii="Times New Roman" w:hAnsi="Times New Roman" w:eastAsia="Times New Roman"/>
          <w:sz w:val="24"/>
        </w:rPr>
        <w:t xml:space="preserve">The </w:t>
      </w:r>
      <w:r>
        <w:rPr>
          <w:rFonts w:ascii="Times New Roman" w:hAnsi="Times New Roman" w:eastAsia="Times New Roman"/>
          <w:b/>
          <w:sz w:val="24"/>
        </w:rPr>
        <w:t>green channel</w:t>
      </w:r>
      <w:r>
        <w:rPr>
          <w:rFonts w:ascii="Times New Roman" w:hAnsi="Times New Roman" w:eastAsia="Times New Roman"/>
          <w:sz w:val="24"/>
        </w:rPr>
        <w:t xml:space="preserve"> (绿色通道), introduced in 2014, allows certified integrated seed-breeding-production-extension enterprises to organise and run their own regional and production trials for their own candidate varieties, rather than entering the state-run unified trial. In our data the green channel appears concentrated in a single approval year, 2017, before consortium trials became available as an alternative self-organised route.</w:t>
      </w:r>
    </w:p>
    <w:p>
      <w:pPr>
        <w:spacing w:line="480" w:lineRule="auto" w:after="160"/>
        <w:jc w:val="left"/>
      </w:pPr>
      <w:r>
        <w:rPr>
          <w:rFonts w:ascii="Times New Roman" w:hAnsi="Times New Roman" w:eastAsia="Times New Roman"/>
          <w:sz w:val="24"/>
        </w:rPr>
        <w:t xml:space="preserve">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(主要农作物品种审定办法, Order No. 4 of the Ministry of Agriculture, effective 15 August 2016), which superseded the 2001, 2007 and prior 2014 versions, extended self-organised testing further by creating the </w:t>
      </w:r>
      <w:r>
        <w:rPr>
          <w:rFonts w:ascii="Times New Roman" w:hAnsi="Times New Roman" w:eastAsia="Times New Roman"/>
          <w:b/>
          <w:sz w:val="24"/>
        </w:rPr>
        <w:t>consortium trial</w:t>
      </w:r>
      <w:r>
        <w:rPr>
          <w:rFonts w:ascii="Times New Roman" w:hAnsi="Times New Roman" w:eastAsia="Times New Roman"/>
          <w:sz w:val="24"/>
        </w:rPr>
        <w:t xml:space="preserve"> (联合体区域试验): a regional trial organised by a consortium of five or more breeders — an enterprise consortium, a science-enterprise consortium, or a consortium of research institutes — rather than by the state trial system. In the approval announcements we parse, consortium-trial records first appear in 2019 and are the dominant self-organised channel from 2019 through 2022, while the green channel and consortium trials barely overlap in time.</w:t>
      </w:r>
    </w:p>
    <w:p>
      <w:pPr>
        <w:spacing w:line="480" w:lineRule="auto" w:after="160"/>
        <w:jc w:val="left"/>
      </w:pPr>
      <w:r>
        <w:rPr>
          <w:rFonts w:ascii="Times New Roman" w:hAnsi="Times New Roman" w:eastAsia="Times New Roman"/>
          <w:sz w:val="24"/>
        </w:rPr>
        <w:t xml:space="preserve">Once a candidate variety completes its trial, regardless of which of the three channels produced it, its grain-processing and appearance quality are assessed under a separate, uniform regime. This assessment is not organised by the applicant or by the trial channel: samples are tested by laboratories designated by the Ministry of Agriculture and Rural Affairs, applying the agricultural industry standard </w:t>
      </w:r>
      <w:r>
        <w:rPr>
          <w:rFonts w:ascii="Times New Roman" w:hAnsi="Times New Roman" w:eastAsia="Times New Roman"/>
          <w:b/>
          <w:sz w:val="24"/>
        </w:rPr>
        <w:t>NY/T 593</w:t>
      </w:r>
      <w:r>
        <w:rPr>
          <w:rFonts w:ascii="Times New Roman" w:hAnsi="Times New Roman" w:eastAsia="Times New Roman"/>
          <w:sz w:val="24"/>
        </w:rPr>
        <w:t xml:space="preserve"> ("Quality requirements for rice," 优质稻谷), which defines the grading of traits such as head-rice percentage and chalkiness degree and the national or industry quality grade that an approved variety may carry. The channel through which a variety enters — unified trial, green channel, or consortium trial — therefore determines who measures its agronomic performance, but not who measures its grain-processing and appearance quality; the latter is measured by the same designated third-party laboratories under NY/T 593 irrespective of channel.</w:t>
      </w:r>
    </w:p>
    <w:p>
      <w:pPr>
        <w:spacing w:line="480" w:lineRule="auto" w:after="160"/>
        <w:jc w:val="left"/>
      </w:pPr>
      <w:r>
        <w:rPr>
          <w:rFonts w:ascii="Times New Roman" w:hAnsi="Times New Roman" w:eastAsia="Times New Roman"/>
          <w:sz w:val="24"/>
        </w:rPr>
        <w:t xml:space="preserve">Two further regulatory changes fall inside or at the edge of our sample window. In 2021, the approval standards for rice and maize were revised to raise the required thresholds for yield, quality and resistance traits; approval volumes for rice fell markedly in the years that followed. Our evidence for the content and date of this revision comes from industry-media reporting rather than a first-hand ministry document, and we flag this lower confidence explicitly. On 1 March 2022, the revised Seed Law took effect — its fourth revision since the law's original 2000 promulgation — establishing an essentially derived variety (EDV) system under which a variety found to be essentially derived from a protected variety may itself be granted a variety right, but its commercial exploitation requires the consent of the original right-holder, and the scope of protection was extended from propagating material to harvested material. On 31 August 2022, the General Office of the Ministry of Agriculture and Rural Affairs issued the </w:t>
      </w:r>
      <w:r>
        <w:rPr>
          <w:rFonts w:ascii="Times New Roman" w:hAnsi="Times New Roman" w:eastAsia="Times New Roman"/>
          <w:i/>
          <w:sz w:val="24"/>
        </w:rPr>
        <w:t>Notice on Strengthening the Management of Green-Channel and Consortium Trials for Major Crop Varieties</w:t>
      </w:r>
      <w:r>
        <w:rPr>
          <w:rFonts w:ascii="Times New Roman" w:hAnsi="Times New Roman" w:eastAsia="Times New Roman"/>
          <w:sz w:val="24"/>
        </w:rPr>
        <w:t>, launching a special rectification campaign directed at green-channel and consortium-trial practices. This notice falls at the end of our sample window (2017–2022); we treat it as marking the point after which the identifying variation in trial channel becomes harder to observe in later announcements, without inferring what motivated the notice.</w:t>
      </w:r>
    </w:p>
    <w:p>
      <w:pPr>
        <w:spacing w:line="480" w:lineRule="auto" w:after="160"/>
        <w:jc w:val="left"/>
      </w:pPr>
      <w:r>
        <w:rPr>
          <w:rFonts w:ascii="Times New Roman" w:hAnsi="Times New Roman" w:eastAsia="Times New Roman"/>
          <w:sz w:val="24"/>
        </w:rPr>
        <w:t>We report these five events — the 2014 green channel, the 2016 Measures establishing consortium trials, the 2021 standard revision, the 2022 EDV provision, and the 2022 special-rectification notice — strictly as a timeline of official actions that preceded or coincided with our sample period. Their sequence motivates the sample window and the two-arm treatment structure used throughout the paper, but we do not draw any inference about regulatory intent from this sequence, and we do not attribute any trend in trait levels to a specific event unless a corresponding structural-break test (Section 6) supports it.</w:t>
      </w:r>
    </w:p>
    <w:p>
      <w:pPr>
        <w:keepNext/>
        <w:spacing w:line="480" w:lineRule="auto" w:after="120"/>
        <w:jc w:val="left"/>
      </w:pPr>
      <w:r>
        <w:rPr>
          <w:rFonts w:ascii="Times New Roman" w:hAnsi="Times New Roman" w:eastAsia="Times New Roman"/>
          <w:b/>
          <w:sz w:val="26"/>
        </w:rPr>
        <w:t>3. Data</w:t>
      </w:r>
    </w:p>
    <w:p>
      <w:pPr>
        <w:keepNext/>
        <w:spacing w:line="480" w:lineRule="auto" w:after="120"/>
        <w:jc w:val="left"/>
      </w:pPr>
      <w:r>
        <w:rPr>
          <w:rFonts w:ascii="Times New Roman" w:hAnsi="Times New Roman" w:eastAsia="Times New Roman"/>
          <w:b/>
          <w:sz w:val="24"/>
        </w:rPr>
        <w:t>3.1 Source and construction of the trial-channel variable</w:t>
      </w:r>
    </w:p>
    <w:p>
      <w:pPr>
        <w:spacing w:line="480" w:lineRule="auto" w:after="160"/>
        <w:jc w:val="left"/>
      </w:pPr>
      <w:r>
        <w:rPr>
          <w:rFonts w:ascii="Times New Roman" w:hAnsi="Times New Roman" w:eastAsia="Times New Roman"/>
          <w:sz w:val="24"/>
        </w:rPr>
        <w:t xml:space="preserve">The record-level unit of analysis in this paper is a </w:t>
      </w:r>
      <w:r>
        <w:rPr>
          <w:rFonts w:ascii="Times New Roman" w:hAnsi="Times New Roman" w:eastAsia="Times New Roman"/>
          <w:i/>
          <w:sz w:val="24"/>
        </w:rPr>
        <w:t>variety × ecological trial group</w:t>
      </w:r>
      <w:r>
        <w:rPr>
          <w:rFonts w:ascii="Times New Roman" w:hAnsi="Times New Roman" w:eastAsia="Times New Roman"/>
          <w:sz w:val="24"/>
        </w:rPr>
        <w:t xml:space="preserve"> approval entry. The underlying corpus is a parsed compilation of China's national and provincial rice variety approval announcements, </w:t>
      </w:r>
      <w:r>
        <w:rPr>
          <w:rFonts w:ascii="Times New Roman" w:hAnsi="Times New Roman" w:eastAsia="Times New Roman"/>
          <w:sz w:val="24"/>
        </w:rPr>
        <w:t>analysis_rice_channel.pkl</w:t>
      </w:r>
      <w:r>
        <w:rPr>
          <w:rFonts w:ascii="Times New Roman" w:hAnsi="Times New Roman" w:eastAsia="Times New Roman"/>
          <w:sz w:val="24"/>
        </w:rPr>
        <w:t xml:space="preserve"> (6,734 deduplicated records: 2,386 national-level and 4,347 provincial-level, 1999–2025). The announcements themselves — issued by the Ministry of Agriculture and Rural Affairs (MARA) and, for provincial approvals, by provincial crop variety approval committees — are the primary source of every substantive field used in the analysis. We did not access these announcements directly from MARA's own archive; the text corpus was obtained through a publicly available third-party aggregation, </w:t>
      </w:r>
      <w:r>
        <w:rPr>
          <w:rFonts w:ascii="Times New Roman" w:hAnsi="Times New Roman" w:eastAsia="Times New Roman"/>
          <w:sz w:val="24"/>
        </w:rPr>
        <w:t>he-zhui/Rice_QA</w:t>
      </w:r>
      <w:r>
        <w:rPr>
          <w:rFonts w:ascii="Times New Roman" w:hAnsi="Times New Roman" w:eastAsia="Times New Roman"/>
          <w:sz w:val="24"/>
        </w:rPr>
        <w:t xml:space="preserve"> (GitHub), which we re-parsed with our own regular-expression rules. We are explicit about this two-step provenance throughout: the data are </w:t>
      </w:r>
      <w:r>
        <w:rPr>
          <w:rFonts w:ascii="Times New Roman" w:hAnsi="Times New Roman" w:eastAsia="Times New Roman"/>
          <w:i/>
          <w:sz w:val="24"/>
        </w:rPr>
        <w:t>MARA variety-approval announcements, obtained through the public third-party compilation he-zhui/Rice_QA and parsed by the authors</w:t>
      </w:r>
      <w:r>
        <w:rPr>
          <w:rFonts w:ascii="Times New Roman" w:hAnsi="Times New Roman" w:eastAsia="Times New Roman"/>
          <w:sz w:val="24"/>
        </w:rPr>
        <w:t>, not a first-hand MARA data product and not a full official census of approvals (coverage of the compilation declines sharply after 2022: 85/409 announcements captured for 2023, 61/405 for 2024, and 2 for 2025 — see §3.3). For this reason the number of approved varieties in any given year is never used as an outcome variable in this paper; it appears only descriptively, with its coverage caveat attached.</w:t>
      </w:r>
    </w:p>
    <w:p>
      <w:pPr>
        <w:spacing w:line="480" w:lineRule="auto" w:after="160"/>
        <w:jc w:val="left"/>
      </w:pPr>
      <w:r>
        <w:rPr>
          <w:rFonts w:ascii="Times New Roman" w:hAnsi="Times New Roman" w:eastAsia="Times New Roman"/>
          <w:sz w:val="24"/>
        </w:rPr>
        <w:t xml:space="preserve">Every element of our identification strategy depends on one feature of the announcement text that, to our knowledge, no prior study has used: each announcement states, in its "yield performance" or "characteristics" paragraph, which trial the variety was actually tested in. We use this to construct a record-level trial-channel variable, </w:t>
      </w:r>
      <w:r>
        <w:rPr>
          <w:rFonts w:ascii="Times New Roman" w:hAnsi="Times New Roman" w:eastAsia="Times New Roman"/>
          <w:sz w:val="24"/>
        </w:rPr>
        <w:t>channel</w:t>
      </w:r>
      <w:r>
        <w:rPr>
          <w:rFonts w:ascii="Times New Roman" w:hAnsi="Times New Roman" w:eastAsia="Times New Roman"/>
          <w:sz w:val="24"/>
        </w:rPr>
        <w:t xml:space="preserve">, by regular-expression matching on the announcement text (after whitespace normalization): records containing "绿色通道" (green channel) or "自主试验" (self-organised trial) are coded Green; records containing "联合体" (consortium) are coded Consortium; all remaining records are coded Unified (the state-run integrated regional trial). </w:t>
      </w:r>
      <w:r>
        <w:rPr>
          <w:rFonts w:ascii="Times New Roman" w:hAnsi="Times New Roman" w:eastAsia="Times New Roman"/>
          <w:sz w:val="24"/>
        </w:rPr>
        <w:t>new_channel</w:t>
      </w:r>
      <w:r>
        <w:rPr>
          <w:rFonts w:ascii="Times New Roman" w:hAnsi="Times New Roman" w:eastAsia="Times New Roman"/>
          <w:sz w:val="24"/>
        </w:rPr>
        <w:t xml:space="preserve"> collapses Green and Consortium into a single self-organised indicator, used only for descriptive purposes (see §4 for why the two channels are estimated as separate treatment arms rather than pooled). The trial group itself (</w:t>
      </w:r>
      <w:r>
        <w:rPr>
          <w:rFonts w:ascii="Times New Roman" w:hAnsi="Times New Roman" w:eastAsia="Times New Roman"/>
          <w:sz w:val="24"/>
        </w:rPr>
        <w:t>trial_group</w:t>
      </w:r>
      <w:r>
        <w:rPr>
          <w:rFonts w:ascii="Times New Roman" w:hAnsi="Times New Roman" w:eastAsia="Times New Roman"/>
          <w:sz w:val="24"/>
        </w:rPr>
        <w:t>) is extracted from the surrounding "participated in [X] regional trial" text and stripped of the year and channel label; the named check variety (</w:t>
      </w:r>
      <w:r>
        <w:rPr>
          <w:rFonts w:ascii="Times New Roman" w:hAnsi="Times New Roman" w:eastAsia="Times New Roman"/>
          <w:sz w:val="24"/>
        </w:rPr>
        <w:t>ck_n</w:t>
      </w:r>
      <w:r>
        <w:rPr>
          <w:rFonts w:ascii="Times New Roman" w:hAnsi="Times New Roman" w:eastAsia="Times New Roman"/>
          <w:sz w:val="24"/>
        </w:rPr>
        <w:t>) and the approval year (</w:t>
      </w:r>
      <w:r>
        <w:rPr>
          <w:rFonts w:ascii="Times New Roman" w:hAnsi="Times New Roman" w:eastAsia="Times New Roman"/>
          <w:sz w:val="24"/>
        </w:rPr>
        <w:t>approval_year</w:t>
      </w:r>
      <w:r>
        <w:rPr>
          <w:rFonts w:ascii="Times New Roman" w:hAnsi="Times New Roman" w:eastAsia="Times New Roman"/>
          <w:sz w:val="24"/>
        </w:rPr>
        <w:t xml:space="preserve">) are parsed directly from the same paragraph and from the approval-number field. Parsing succeeded for 100% of national-level records for </w:t>
      </w:r>
      <w:r>
        <w:rPr>
          <w:rFonts w:ascii="Times New Roman" w:hAnsi="Times New Roman" w:eastAsia="Times New Roman"/>
          <w:sz w:val="24"/>
        </w:rPr>
        <w:t>trial_group</w:t>
      </w:r>
      <w:r>
        <w:rPr>
          <w:rFonts w:ascii="Times New Roman" w:hAnsi="Times New Roman" w:eastAsia="Times New Roman"/>
          <w:sz w:val="24"/>
        </w:rPr>
        <w:t xml:space="preserve">, </w:t>
      </w:r>
      <w:r>
        <w:rPr>
          <w:rFonts w:ascii="Times New Roman" w:hAnsi="Times New Roman" w:eastAsia="Times New Roman"/>
          <w:sz w:val="24"/>
        </w:rPr>
        <w:t>ck_n</w:t>
      </w:r>
      <w:r>
        <w:rPr>
          <w:rFonts w:ascii="Times New Roman" w:hAnsi="Times New Roman" w:eastAsia="Times New Roman"/>
          <w:sz w:val="24"/>
        </w:rPr>
        <w:t xml:space="preserve">, and </w:t>
      </w:r>
      <w:r>
        <w:rPr>
          <w:rFonts w:ascii="Times New Roman" w:hAnsi="Times New Roman" w:eastAsia="Times New Roman"/>
          <w:sz w:val="24"/>
        </w:rPr>
        <w:t>approval_year</w:t>
      </w:r>
      <w:r>
        <w:rPr>
          <w:rFonts w:ascii="Times New Roman" w:hAnsi="Times New Roman" w:eastAsia="Times New Roman"/>
          <w:sz w:val="24"/>
        </w:rPr>
        <w:t>; the channel label itself is unrecoverable for 233 of 234 national records approved in 2018 (99.6%), which we treat as a documentation-format gap for that year rather than as evidence that self-organised trials did not exist in 2018 (see the year-by-year channel count by channel, Fig. 1 and Table 1, and robustness check R4 in §6, which shows the 2018 coding choice is immaterial to the main estimates).</w:t>
      </w:r>
    </w:p>
    <w:p>
      <w:pPr>
        <w:keepNext/>
        <w:spacing w:line="480" w:lineRule="auto" w:after="120"/>
        <w:jc w:val="left"/>
      </w:pPr>
      <w:r>
        <w:rPr>
          <w:rFonts w:ascii="Times New Roman" w:hAnsi="Times New Roman" w:eastAsia="Times New Roman"/>
          <w:b/>
          <w:sz w:val="24"/>
        </w:rPr>
        <w:t>3.2 Sample and stratification</w:t>
      </w:r>
    </w:p>
    <w:p>
      <w:pPr>
        <w:spacing w:line="480" w:lineRule="auto" w:after="160"/>
        <w:jc w:val="left"/>
      </w:pPr>
      <w:r>
        <w:rPr>
          <w:rFonts w:ascii="Times New Roman" w:hAnsi="Times New Roman" w:eastAsia="Times New Roman"/>
          <w:sz w:val="24"/>
        </w:rPr>
        <w:t xml:space="preserve">The main analysis stratum restricts to national-level approvals in the two dominant mid-season indica trial groups — the middle-and-lower Yangtze and the upper-Yangtze mid-season indica groups — in the years in which the channel variable carries identifying variation, 2017 and 2019–2022 (2018 is excluded for the reason above; years before 2017 have no self-organised channel at all and are used only as a pre-reform benchmark, see §4.4 and §6). This yields </w:t>
      </w:r>
      <w:r>
        <w:rPr>
          <w:rFonts w:ascii="Times New Roman" w:hAnsi="Times New Roman" w:eastAsia="Times New Roman"/>
          <w:b/>
          <w:sz w:val="24"/>
        </w:rPr>
        <w:t>n = 878</w:t>
      </w:r>
      <w:r>
        <w:rPr>
          <w:rFonts w:ascii="Times New Roman" w:hAnsi="Times New Roman" w:eastAsia="Times New Roman"/>
          <w:sz w:val="24"/>
        </w:rPr>
        <w:t xml:space="preserve"> records (Unified 406, Consortium 405, Green 67). Because the green channel is concentrated in 2017 and the consortium channel in 2019–2022, and because the two barely overlap in time, we split this stratum into two estimation arms rather than pooling: </w:t>
      </w:r>
      <w:r>
        <w:rPr>
          <w:rFonts w:ascii="Times New Roman" w:hAnsi="Times New Roman" w:eastAsia="Times New Roman"/>
          <w:b/>
          <w:sz w:val="24"/>
        </w:rPr>
        <w:t>Arm 1</w:t>
      </w:r>
      <w:r>
        <w:rPr>
          <w:rFonts w:ascii="Times New Roman" w:hAnsi="Times New Roman" w:eastAsia="Times New Roman"/>
          <w:sz w:val="24"/>
        </w:rPr>
        <w:t xml:space="preserve"> (Consortium vs. Unified, 2019–2022, n = 759 before outcome-specific missingness) and </w:t>
      </w:r>
      <w:r>
        <w:rPr>
          <w:rFonts w:ascii="Times New Roman" w:hAnsi="Times New Roman" w:eastAsia="Times New Roman"/>
          <w:b/>
          <w:sz w:val="24"/>
        </w:rPr>
        <w:t>Arm 2</w:t>
      </w:r>
      <w:r>
        <w:rPr>
          <w:rFonts w:ascii="Times New Roman" w:hAnsi="Times New Roman" w:eastAsia="Times New Roman"/>
          <w:sz w:val="24"/>
        </w:rPr>
        <w:t xml:space="preserve"> (Green vs. Unified, 2017, n = 119). Arm 2's identifying variation comes from only two effective year × trial-group × check cells (a third raw cell contains only Green records and is dropped for lack of within-cell contrast), so all Arm-2 estimates use heteroskedasticity-robust (HC1) rather than cluster-robust standard errors and are flagged as small-sample throughout. An extended stratum that adds every other trial group (n ≈ 1,020–1,029 for Arm 1, 119–125 for Arm 2) is used as a robustness check on the two-trial-group restriction (§6, R3); a pre-reform benchmark layer (national approvals in the same two trial groups, 2005–2016, n ≈ 213) supports the structural-break analysis and the time placebo; and a provincial-approval layer (2021–2022, new-channel 143 / Unified 318) supports an external replication check that we report as statistically inconclusive rather than confirmatory or disconfirmatory (§6, R11).</w:t>
      </w:r>
    </w:p>
    <w:p>
      <w:pPr>
        <w:keepNext/>
        <w:spacing w:line="480" w:lineRule="auto" w:after="120"/>
        <w:jc w:val="left"/>
      </w:pPr>
      <w:r>
        <w:rPr>
          <w:rFonts w:ascii="Times New Roman" w:hAnsi="Times New Roman" w:eastAsia="Times New Roman"/>
          <w:b/>
          <w:sz w:val="24"/>
        </w:rPr>
        <w:t>3.3 Outcome variables, measuring party, and missingness</w:t>
      </w:r>
    </w:p>
    <w:p>
      <w:pPr>
        <w:spacing w:line="480" w:lineRule="auto" w:after="160"/>
        <w:jc w:val="left"/>
      </w:pPr>
      <w:r>
        <w:rPr>
          <w:rFonts w:ascii="Times New Roman" w:hAnsi="Times New Roman" w:eastAsia="Times New Roman"/>
          <w:sz w:val="24"/>
        </w:rPr>
        <w:t xml:space="preserve">The paper's identification argument turns on a distinction the announcements make explicit: some fields report performance as measured by a ministry-designated third-party assay body, and others report performance as measured and submitted by the applicant's own trial. The main quality outcomes — head-rice percentage (processing quality), chalkiness degree (appearance quality), and whether the announcement states a national or industry grain-quality grade — are all assayed by MARA-designated third-party grain-quality laboratories under the national testing standard NY/T 593; two disease-resistance outcomes (neck-blast tolerance grade and bacterial-blight grade) are likewise assessed by ministry-designated resistance-screening units. By contrast, the yield outcomes (two-year regional-trial yield gain over the named check, production-trial yield gain, and absolute regional-trial yield) and most agronomic outcomes (growth duration, plant height, seed-set percentage, thousand-grain weight, grains per panicle) are recorded from the applicant's own trial. </w:t>
      </w:r>
      <w:r>
        <w:rPr>
          <w:rFonts w:ascii="Times New Roman" w:hAnsi="Times New Roman" w:eastAsia="Times New Roman"/>
          <w:sz w:val="24"/>
        </w:rPr>
        <w:t>quality_stated</w:t>
      </w:r>
      <w:r>
        <w:rPr>
          <w:rFonts w:ascii="Times New Roman" w:hAnsi="Times New Roman" w:eastAsia="Times New Roman"/>
          <w:sz w:val="24"/>
        </w:rPr>
        <w:t xml:space="preserve"> is coded 1 if the announcement carries either a numeric quality grade or a named quality standard, and is defined (hence non-missing) for every record by construction; the two source fields underlying it agree on presence/absence 84.5% of the time, and we use their union rather than either field alone to match the substantive definition "the announcement states a quality grade." Because this variable is mechanically close to a missingness indicator for the underlying grade field, we report it explicitly as measuring </w:t>
      </w:r>
      <w:r>
        <w:rPr>
          <w:rFonts w:ascii="Times New Roman" w:hAnsi="Times New Roman" w:eastAsia="Times New Roman"/>
          <w:i/>
          <w:sz w:val="24"/>
        </w:rPr>
        <w:t>announcement disclosure behaviour</w:t>
      </w:r>
      <w:r>
        <w:rPr>
          <w:rFonts w:ascii="Times New Roman" w:hAnsi="Times New Roman" w:eastAsia="Times New Roman"/>
          <w:sz w:val="24"/>
        </w:rPr>
        <w:t xml:space="preserve"> rather than grain quality itself, and we show in §6 (R16) that the coefficient survives, and in fact strengthens, once announcement text length and the count of non-missing fields are controlled for.</w:t>
      </w:r>
    </w:p>
    <w:p>
      <w:pPr>
        <w:spacing w:line="480" w:lineRule="auto" w:after="160"/>
        <w:jc w:val="left"/>
      </w:pPr>
      <w:r>
        <w:rPr>
          <w:rFonts w:ascii="Times New Roman" w:hAnsi="Times New Roman" w:eastAsia="Times New Roman"/>
          <w:sz w:val="24"/>
        </w:rPr>
        <w:t xml:space="preserve">Missingness in the main stratum is low and, for most outcomes, balanced across arms: in Arm 1, head-rice percentage is missing for 0.7% of Consortium records and 1.4% of Unified records, chalkiness for 1.7%/1.4%, and the resistance and grain-composition traits are all within about two percentage points of balance between arms. Three outcomes are not balanced and are treated accordingly: the regional-trial yield-gain variable is 99.8% non-missing in the Consortium arm but only 88.1% in the Unified arm (an 11.6-point gap); the top-two quality-grade indicator is 77.0% vs. 88.7% non-missing (an 11.7-point gap); and absolute regional-trial yield is 100% vs. 90.4% non-missing (a 9.6-point gap). For these three we report Manski worst-case bounds alongside the point estimate (§6, R7) rather than treating the complete-case estimate as the final word. Arm 2 has a more severe problem for one outcome: the regional-trial yield-gain field is populated for only 1.9% of Arm-2 Unified records (1 of 52), so that coefficient is not estimable in this design and is reported as such rather than as a null result. </w:t>
      </w:r>
      <w:r>
        <w:rPr>
          <w:rFonts w:ascii="Times New Roman" w:hAnsi="Times New Roman" w:eastAsia="Times New Roman"/>
          <w:sz w:val="24"/>
        </w:rPr>
        <w:t>applicant_type</w:t>
      </w:r>
      <w:r>
        <w:rPr>
          <w:rFonts w:ascii="Times New Roman" w:hAnsi="Times New Roman" w:eastAsia="Times New Roman"/>
          <w:sz w:val="24"/>
        </w:rPr>
        <w:t xml:space="preserve"> (enterprise / public research institution / joint / unknown), used only in the descriptive comparison in §5 and never as a channel-gap outcome or control in the main specification, is entirely missing for national approvals in 2016, 2017, 2018 and 2021 (904 records) because the announcements in those years do not carry an applicant-institution field; this is a documented structural gap in the source data, not an artefact of our parsing, and it is why any enterprise-vs.-public comparison in this paper is confined to years with a non-missing applicant field and is presented as descriptive rather than causal.</w:t>
      </w:r>
    </w:p>
    <w:p>
      <w:pPr>
        <w:spacing w:line="276" w:lineRule="auto" w:after="160"/>
        <w:jc w:val="left"/>
      </w:pPr>
      <w:r>
        <w:rPr>
          <w:rFonts w:ascii="Times New Roman" w:hAnsi="Times New Roman" w:eastAsia="Times New Roman"/>
          <w:sz w:val="24"/>
        </w:rPr>
        <w:t>Table 1 reports the year-by-year record counts by channel underlying the sample definition above, plotted over the full 2005–2022 series alongside the institutional timeline (§2) in Fig. 1. Table 2 (</w:t>
      </w:r>
      <w:r>
        <w:rPr>
          <w:rFonts w:ascii="Times New Roman" w:hAnsi="Times New Roman" w:eastAsia="Times New Roman"/>
          <w:sz w:val="24"/>
        </w:rPr>
        <w:t>manuscript/tables/table2_descriptive_balance.md</w:t>
      </w:r>
      <w:r>
        <w:rPr>
          <w:rFonts w:ascii="Times New Roman" w:hAnsi="Times New Roman" w:eastAsia="Times New Roman"/>
          <w:sz w:val="24"/>
        </w:rPr>
        <w:t xml:space="preserve">) assembles a full descriptive and balance summary by arm — means, standard deviations, and missing rates — for all outcome and control variables reported as regression outcomes in Table 3. The main text retains six figures (Fig. 1–6) and five tables (Table 1–5); the enterprise-versus-public-institution descriptive comparison and the missingness-balance dumbbell plot are reported in the Supplementary Material as Table S1 and Fig. S1 respectively (see §7 and §6.1–6.2 for the in-text pointers, and </w:t>
      </w:r>
      <w:r>
        <w:rPr>
          <w:rFonts w:ascii="Times New Roman" w:hAnsi="Times New Roman" w:eastAsia="Times New Roman"/>
          <w:sz w:val="24"/>
        </w:rPr>
        <w:t>submission/supplementary_material.md</w:t>
      </w:r>
      <w:r>
        <w:rPr>
          <w:rFonts w:ascii="Times New Roman" w:hAnsi="Times New Roman" w:eastAsia="Times New Roman"/>
          <w:sz w:val="24"/>
        </w:rPr>
        <w:t xml:space="preserve"> for the moved content).</w:t>
      </w:r>
    </w:p>
    <w:p>
      <w:pPr>
        <w:keepNext/>
        <w:spacing w:line="480" w:lineRule="auto" w:after="120"/>
        <w:jc w:val="left"/>
      </w:pPr>
      <w:r>
        <w:rPr>
          <w:rFonts w:ascii="Times New Roman" w:hAnsi="Times New Roman" w:eastAsia="Times New Roman"/>
          <w:b/>
          <w:sz w:val="24"/>
        </w:rPr>
        <w:t>3.4 Representativeness and verification</w:t>
      </w:r>
    </w:p>
    <w:p>
      <w:pPr>
        <w:spacing w:line="480" w:lineRule="auto" w:after="160"/>
        <w:jc w:val="left"/>
      </w:pPr>
      <w:r>
        <w:rPr>
          <w:rFonts w:ascii="Times New Roman" w:hAnsi="Times New Roman" w:eastAsia="Times New Roman"/>
          <w:sz w:val="24"/>
        </w:rPr>
        <w:t xml:space="preserve">Two representativeness concerns bear directly on how the results should be read. First, the underlying compilation is a sample of announcements rather than a verified census, with declining coverage after 2022 (§3.1); we therefore restrict the analysis window to 2017–2022 and treat the post-2022 period only as background evidence that the channel distinction is currently being narrowed by regulatory action (see §4.4). Second, because the compilation is a third-party re-transcription of official text rather than the official record itself, transcription and parsing error are a live concern for any single field. Cross-checking the parsed corpus against the original MARA announcement text for a stratified random sample of records — the step needed to report a field-by-field agreement rate in this Methods section — requires reading the primary announcements directly, which the present analysis environment could not reach (see </w:t>
      </w:r>
      <w:r>
        <w:rPr>
          <w:rFonts w:ascii="Times New Roman" w:hAnsi="Times New Roman" w:eastAsia="Times New Roman"/>
          <w:sz w:val="24"/>
        </w:rPr>
        <w:t>evidence/data/feasibility_notes.md</w:t>
      </w:r>
      <w:r>
        <w:rPr>
          <w:rFonts w:ascii="Times New Roman" w:hAnsi="Times New Roman" w:eastAsia="Times New Roman"/>
          <w:sz w:val="24"/>
        </w:rPr>
        <w:t xml:space="preserve">: the MARA announcement portal was not reachable from this session's network). This verification step remains outstanding and is disclosed as such: </w:t>
      </w:r>
      <w:r>
        <w:rPr>
          <w:rFonts w:ascii="Times New Roman" w:hAnsi="Times New Roman" w:eastAsia="Times New Roman"/>
          <w:b/>
          <w:sz w:val="24"/>
        </w:rPr>
        <w:t>the authors will complete a manual, field-by-field cross-check of a stratified random sample of parsed records against the original MARA announcements before submission, and will report the resulting agreement rate in this section; see Unresolved item P4.</w:t>
      </w:r>
      <w:r>
        <w:rPr>
          <w:rFonts w:ascii="Times New Roman" w:hAnsi="Times New Roman" w:eastAsia="Times New Roman"/>
          <w:sz w:val="24"/>
        </w:rPr>
        <w:t xml:space="preserve"> No specific agreement-rate figure is reported here, and none should be inferred or assumed, until that check is done.</w:t>
      </w:r>
    </w:p>
    <w:p>
      <w:pPr>
        <w:keepNext/>
        <w:spacing w:line="480" w:lineRule="auto" w:after="120"/>
        <w:jc w:val="left"/>
      </w:pPr>
      <w:r>
        <w:rPr>
          <w:rFonts w:ascii="Times New Roman" w:hAnsi="Times New Roman" w:eastAsia="Times New Roman"/>
          <w:b/>
          <w:sz w:val="26"/>
        </w:rPr>
        <w:t>4. Empirical strategy</w:t>
      </w:r>
    </w:p>
    <w:p>
      <w:pPr>
        <w:keepNext/>
        <w:spacing w:line="480" w:lineRule="auto" w:after="120"/>
        <w:jc w:val="left"/>
      </w:pPr>
      <w:r>
        <w:rPr>
          <w:rFonts w:ascii="Times New Roman" w:hAnsi="Times New Roman" w:eastAsia="Times New Roman"/>
          <w:b/>
          <w:sz w:val="24"/>
        </w:rPr>
        <w:t>4.1 Two difference-in-differences designs we considered and rejected</w:t>
      </w:r>
    </w:p>
    <w:p>
      <w:pPr>
        <w:spacing w:line="480" w:lineRule="auto" w:after="160"/>
        <w:jc w:val="left"/>
      </w:pPr>
      <w:r>
        <w:rPr>
          <w:rFonts w:ascii="Times New Roman" w:hAnsi="Times New Roman" w:eastAsia="Times New Roman"/>
          <w:sz w:val="24"/>
        </w:rPr>
        <w:t>Before settling on the specification below, we considered and rejected two difference-in-differences (DID) designs that would have let us speak in terms of a causal "effect of the reform," reporting the rejections rather than silently choosing the specification that worked. The first would have used the switch from provincial to national approval as a DID shock; its parallel-trends assumption fails in the pre-period for three of six candidate outcomes (chalkiness +0.515 pp/year, p = 0.006; amylose +0.212, p &lt; 0.0001; thousand-grain weight −0.130, p = 0.003, all trending differently across administrative levels well before 2016), so a post-2016 gap would conflate a genuine channel effect with a pre-existing divergence. The second would have used varying channel exposure across trial groups as a differential-intensity DID; this fails because channel penetration ranges only from about 0.33 to 0.63 across trial groups in our sample years, leaving no low-exposure comparison group to serve as a counterfactual trend. Our design is accordingly not a difference-in-differences and does not estimate a pre/post treatment effect of the 2016 reform; it is a within-cell cross-sectional comparison, described next.</w:t>
      </w:r>
    </w:p>
    <w:p>
      <w:pPr>
        <w:keepNext/>
        <w:spacing w:line="480" w:lineRule="auto" w:after="120"/>
        <w:jc w:val="left"/>
      </w:pPr>
      <w:r>
        <w:rPr>
          <w:rFonts w:ascii="Times New Roman" w:hAnsi="Times New Roman" w:eastAsia="Times New Roman"/>
          <w:b/>
          <w:sz w:val="24"/>
        </w:rPr>
        <w:t>4.2 A record-level trial-channel treatment and the collinearity problem</w:t>
      </w:r>
    </w:p>
    <w:p>
      <w:pPr>
        <w:spacing w:line="480" w:lineRule="auto" w:after="160"/>
        <w:jc w:val="left"/>
      </w:pPr>
      <w:r>
        <w:rPr>
          <w:rFonts w:ascii="Times New Roman" w:hAnsi="Times New Roman" w:eastAsia="Times New Roman"/>
          <w:sz w:val="24"/>
        </w:rPr>
        <w:t>Reconstructing the trial channel at the level of the individual approval record — rather than treating the 2016 reform as a single period indicator, as the one existing evaluation of this reform does (Xiang et al., 2025) — makes it possible to ask a sharper question: not "did the market change after the reform," but "does what enters the market differ depending on which door it came through, within the same year." A naive specification of the form Y ~ channel + year + trial_group + check + breeding_system is not estimable as written: the named check variety is nearly perfectly nested within the trial group (a given trial group in a given year is compared against only one or two checks), so entering trial group and check additively produces a rank-deficient design matrix. We resolve this not by dropping one of the two variables — which would throw away exactly the institutional structure the comparison needs to hold fixed — but by absorbing the year–trial-group–check hierarchy into a single interaction fixed effect,</w:t>
      </w:r>
    </w:p>
    <w:p>
      <w:pPr>
        <w:spacing w:line="480" w:lineRule="auto" w:after="160"/>
        <w:jc w:val="left"/>
      </w:pPr>
      <w:r>
        <w:rPr>
          <w:rFonts w:ascii="Times New Roman" w:hAnsi="Times New Roman" w:eastAsia="Times New Roman"/>
          <w:sz w:val="24"/>
        </w:rPr>
        <w:t>c(i) = Yearᵢ × TrialGroupᵢ × Checkᵢ,</w:t>
      </w:r>
    </w:p>
    <w:p>
      <w:pPr>
        <w:spacing w:line="480" w:lineRule="auto" w:after="160"/>
        <w:jc w:val="left"/>
      </w:pPr>
      <w:r>
        <w:rPr>
          <w:rFonts w:ascii="Times New Roman" w:hAnsi="Times New Roman" w:eastAsia="Times New Roman"/>
          <w:sz w:val="24"/>
        </w:rPr>
        <w:t>which both eliminates the collinearity and sharpens the interpretation of the comparison: every estimated gap is identified purely from records that were tested in the same year, in the same ecological trial group, against the same named check. Cells in which only one channel is observed contribute no identifying variation and are dropped before estimation; the resulting effective sample sizes are what is reported for each outcome in Table 3.</w:t>
      </w:r>
    </w:p>
    <w:p>
      <w:pPr>
        <w:keepNext/>
        <w:spacing w:line="480" w:lineRule="auto" w:after="120"/>
        <w:jc w:val="left"/>
      </w:pPr>
      <w:r>
        <w:rPr>
          <w:rFonts w:ascii="Times New Roman" w:hAnsi="Times New Roman" w:eastAsia="Times New Roman"/>
          <w:b/>
          <w:sz w:val="24"/>
        </w:rPr>
        <w:t>4.3 Main specification and estimator</w:t>
      </w:r>
    </w:p>
    <w:p>
      <w:pPr>
        <w:spacing w:line="480" w:lineRule="auto" w:after="160"/>
        <w:jc w:val="left"/>
      </w:pPr>
      <w:r>
        <w:rPr>
          <w:rFonts w:ascii="Times New Roman" w:hAnsi="Times New Roman" w:eastAsia="Times New Roman"/>
          <w:sz w:val="24"/>
        </w:rPr>
        <w:t>The main specification is</w:t>
      </w:r>
    </w:p>
    <w:p>
      <w:pPr>
        <w:spacing w:line="480" w:lineRule="auto" w:after="160"/>
        <w:jc w:val="left"/>
      </w:pPr>
      <w:r>
        <w:rPr>
          <w:rFonts w:ascii="Times New Roman" w:hAnsi="Times New Roman" w:eastAsia="Times New Roman"/>
          <w:sz w:val="24"/>
        </w:rPr>
        <w:t>Yᵢ = βNewChannelᵢ + γ_(c(i)) + δ_(b(i)) + εᵢ,</w:t>
      </w:r>
    </w:p>
    <w:p>
      <w:pPr>
        <w:spacing w:line="480" w:lineRule="auto" w:after="160"/>
        <w:jc w:val="left"/>
      </w:pPr>
      <w:r>
        <w:rPr>
          <w:rFonts w:ascii="Times New Roman" w:hAnsi="Times New Roman" w:eastAsia="Times New Roman"/>
          <w:sz w:val="24"/>
        </w:rPr>
        <w:t xml:space="preserve">where i indexes an approval record, γ_(c(i)) is the year × trial-group × check interaction fixed effect defined above, and δ_(b(i)) is a fixed effect for the breeding system (two-line hybrid / three-line hybrid / conventional). Standard errors are clustered at the level of c when an arm has at least five effective clusters; when it does not (Arm 2's two-trial-group stratum has only three cells), we report heteroskedasticity- robust (HC1) standard errors instead and flag this explicitly in every table. We estimate the model separately for the two channels rather than pooling them into a single "new channel" treatment, because the green channel (2017) and the consortium channel (2019–2022) are almost non-overlapping in time and, as Table 3 shows, diverge in sign on at least one outcome (the production-trial yield gain is +0.919 percentage points in the consortium arm but −1.036 in the green-channel arm). </w:t>
      </w:r>
      <w:r>
        <w:rPr>
          <w:rFonts w:ascii="Times New Roman" w:hAnsi="Times New Roman" w:eastAsia="Times New Roman"/>
          <w:b/>
          <w:sz w:val="24"/>
        </w:rPr>
        <w:t>Arm 1</w:t>
      </w:r>
      <w:r>
        <w:rPr>
          <w:rFonts w:ascii="Times New Roman" w:hAnsi="Times New Roman" w:eastAsia="Times New Roman"/>
          <w:sz w:val="24"/>
        </w:rPr>
        <w:t xml:space="preserve"> sets NewChannelᵢ = 𝟙[Consortiumᵢ] on the sample restricted to Unified and Consortium records, 2019–2022; </w:t>
      </w:r>
      <w:r>
        <w:rPr>
          <w:rFonts w:ascii="Times New Roman" w:hAnsi="Times New Roman" w:eastAsia="Times New Roman"/>
          <w:b/>
          <w:sz w:val="24"/>
        </w:rPr>
        <w:t>Arm 2</w:t>
      </w:r>
      <w:r>
        <w:rPr>
          <w:rFonts w:ascii="Times New Roman" w:hAnsi="Times New Roman" w:eastAsia="Times New Roman"/>
          <w:sz w:val="24"/>
        </w:rPr>
        <w:t xml:space="preserve"> sets NewChannelᵢ = 𝟙[Greenᵢ] on the sample restricted to Unified and Green records, 2017. A pooled specification that combines both channels into one indicator is reported only as a reference row and is never treated as the paper's headline estimate.</w:t>
      </w:r>
    </w:p>
    <w:p>
      <w:pPr>
        <w:keepNext/>
        <w:spacing w:line="480" w:lineRule="auto" w:after="120"/>
        <w:jc w:val="left"/>
      </w:pPr>
      <w:r>
        <w:rPr>
          <w:rFonts w:ascii="Times New Roman" w:hAnsi="Times New Roman" w:eastAsia="Times New Roman"/>
          <w:b/>
          <w:sz w:val="24"/>
        </w:rPr>
        <w:t>4.4 What β identifies: a composition effect, not a treatment effect</w:t>
      </w:r>
    </w:p>
    <w:p>
      <w:pPr>
        <w:spacing w:line="480" w:lineRule="auto" w:after="160"/>
        <w:jc w:val="left"/>
      </w:pPr>
      <w:r>
        <w:rPr>
          <w:rFonts w:ascii="Times New Roman" w:hAnsi="Times New Roman" w:eastAsia="Times New Roman"/>
          <w:sz w:val="24"/>
        </w:rPr>
        <w:t xml:space="preserve">β must be read as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within the same year–ecology–check cell, how much better or worse, on average, are the varieties that entered through the self-organised door than the varieties that entered through the state-run unified-trial door. It is not an estimate of what would happen if a given variety were moved from one door to the other — that quantity would require either random assignment to channel or a credible instrument for channel choice, and we have neither. This is nonetheless the quantity a regulator monitoring the entering population actually needs, and we are careful never to describe it using the language of </w:t>
      </w:r>
      <w:r>
        <w:rPr>
          <w:rFonts w:ascii="Times New Roman" w:hAnsi="Times New Roman" w:eastAsia="Times New Roman"/>
          <w:i/>
          <w:sz w:val="24"/>
        </w:rPr>
        <w:t>effect of</w:t>
      </w:r>
      <w:r>
        <w:rPr>
          <w:rFonts w:ascii="Times New Roman" w:hAnsi="Times New Roman" w:eastAsia="Times New Roman"/>
          <w:sz w:val="24"/>
        </w:rPr>
        <w:t xml:space="preserve">, </w:t>
      </w:r>
      <w:r>
        <w:rPr>
          <w:rFonts w:ascii="Times New Roman" w:hAnsi="Times New Roman" w:eastAsia="Times New Roman"/>
          <w:i/>
          <w:sz w:val="24"/>
        </w:rPr>
        <w:t>impact of</w:t>
      </w:r>
      <w:r>
        <w:rPr>
          <w:rFonts w:ascii="Times New Roman" w:hAnsi="Times New Roman" w:eastAsia="Times New Roman"/>
          <w:sz w:val="24"/>
        </w:rPr>
        <w:t xml:space="preserve">, or </w:t>
      </w:r>
      <w:r>
        <w:rPr>
          <w:rFonts w:ascii="Times New Roman" w:hAnsi="Times New Roman" w:eastAsia="Times New Roman"/>
          <w:i/>
          <w:sz w:val="24"/>
        </w:rPr>
        <w:t>caused by</w:t>
      </w:r>
      <w:r>
        <w:rPr>
          <w:rFonts w:ascii="Times New Roman" w:hAnsi="Times New Roman" w:eastAsia="Times New Roman"/>
          <w:sz w:val="24"/>
        </w:rPr>
        <w:t xml:space="preserve"> in the title, abstract, or body of the paper.</w:t>
      </w:r>
    </w:p>
    <w:p>
      <w:pPr>
        <w:keepNext/>
        <w:spacing w:line="480" w:lineRule="auto" w:after="120"/>
        <w:jc w:val="left"/>
      </w:pPr>
      <w:r>
        <w:rPr>
          <w:rFonts w:ascii="Times New Roman" w:hAnsi="Times New Roman" w:eastAsia="Times New Roman"/>
          <w:b/>
          <w:sz w:val="24"/>
        </w:rPr>
        <w:t>4.5 Identification argument: separating ability from measurement</w:t>
      </w:r>
    </w:p>
    <w:p>
      <w:pPr>
        <w:spacing w:line="480" w:lineRule="auto" w:after="160"/>
        <w:jc w:val="left"/>
      </w:pPr>
      <w:r>
        <w:rPr>
          <w:rFonts w:ascii="Times New Roman" w:hAnsi="Times New Roman" w:eastAsia="Times New Roman"/>
          <w:sz w:val="24"/>
        </w:rPr>
        <w:t>The paper's central inferential move is to compare two behaviourally distinct classes of outcome within the same specification. Let Y</w:t>
      </w:r>
      <w:r>
        <w:rPr>
          <w:rFonts w:ascii="Times New Roman" w:hAnsi="Times New Roman" w:eastAsia="Times New Roman"/>
          <w:sz w:val="24"/>
          <w:vertAlign w:val="superscript"/>
        </w:rPr>
        <w:t>(3rd) denote an outcome assayed by a ministry-designated third party (head-rice percentage, chalkiness degree, whether a quality grade is stated) and Y</w:t>
      </w:r>
      <w:r>
        <w:rPr>
          <w:rFonts w:ascii="Times New Roman" w:hAnsi="Times New Roman" w:eastAsia="Times New Roman"/>
          <w:sz w:val="24"/>
        </w:rPr>
        <w:t>(self) denote an outcome recorded from the applicant's own trial (regional-trial and production-trial yield gain over the check). Two hypotheses make different predictions about how β</w:t>
      </w:r>
      <w:r>
        <w:rPr>
          <w:rFonts w:ascii="Times New Roman" w:hAnsi="Times New Roman" w:eastAsia="Times New Roman"/>
          <w:sz w:val="24"/>
          <w:vertAlign w:val="superscript"/>
        </w:rPr>
        <w:t>(3rd) and β</w:t>
      </w:r>
      <w:r>
        <w:rPr>
          <w:rFonts w:ascii="Times New Roman" w:hAnsi="Times New Roman" w:eastAsia="Times New Roman"/>
          <w:sz w:val="24"/>
        </w:rPr>
        <w:t>(self) should relate:</w:t>
      </w:r>
    </w:p>
    <w:p>
      <w:pPr>
        <w:pStyle w:val="ListBullet"/>
        <w:spacing w:line="360" w:lineRule="auto" w:after="40"/>
      </w:pPr>
      <w:r>
        <w:rPr>
          <w:rFonts w:ascii="Times New Roman" w:hAnsi="Times New Roman" w:eastAsia="Times New Roman"/>
          <w:b/>
          <w:sz w:val="24"/>
        </w:rPr>
        <w:t>H_(ability) (pure breeding-ability difference)</w:t>
      </w:r>
      <w:r>
        <w:rPr>
          <w:rFonts w:ascii="Times New Roman" w:hAnsi="Times New Roman" w:eastAsia="Times New Roman"/>
          <w:sz w:val="24"/>
        </w:rPr>
        <w:t>: applicants who choose the</w:t>
      </w:r>
    </w:p>
    <w:p>
      <w:pPr>
        <w:spacing w:line="480" w:lineRule="auto" w:after="160"/>
        <w:jc w:val="left"/>
      </w:pPr>
      <w:r>
        <w:rPr>
          <w:rFonts w:ascii="Times New Roman" w:hAnsi="Times New Roman" w:eastAsia="Times New Roman"/>
          <w:sz w:val="24"/>
        </w:rPr>
        <w:t>self-organised channel breed systematically weaker varieties. This predicts β</w:t>
      </w:r>
      <w:r>
        <w:rPr>
          <w:rFonts w:ascii="Times New Roman" w:hAnsi="Times New Roman" w:eastAsia="Times New Roman"/>
          <w:sz w:val="24"/>
          <w:vertAlign w:val="superscript"/>
        </w:rPr>
        <w:t>(3rd) &lt; 0 **and** β</w:t>
      </w:r>
      <w:r>
        <w:rPr>
          <w:rFonts w:ascii="Times New Roman" w:hAnsi="Times New Roman" w:eastAsia="Times New Roman"/>
          <w:sz w:val="24"/>
        </w:rPr>
        <w:t>(self) &lt; 0 — both trait classes deteriorate together, because a weaker breeding programme should show up in every trait it touches, whichever party measures it.</w:t>
      </w:r>
    </w:p>
    <w:p>
      <w:pPr>
        <w:pStyle w:val="ListBullet"/>
        <w:spacing w:line="360" w:lineRule="auto" w:after="40"/>
      </w:pPr>
      <w:r>
        <w:rPr>
          <w:rFonts w:ascii="Times New Roman" w:hAnsi="Times New Roman" w:eastAsia="Times New Roman"/>
          <w:b/>
          <w:sz w:val="24"/>
        </w:rPr>
        <w:t>H_(measure) (measurement-authority allocation)</w:t>
      </w:r>
      <w:r>
        <w:rPr>
          <w:rFonts w:ascii="Times New Roman" w:hAnsi="Times New Roman" w:eastAsia="Times New Roman"/>
          <w:sz w:val="24"/>
        </w:rPr>
        <w:t>: the two trait classes are measured</w:t>
      </w:r>
    </w:p>
    <w:p>
      <w:pPr>
        <w:spacing w:line="480" w:lineRule="auto" w:after="160"/>
        <w:jc w:val="left"/>
      </w:pPr>
      <w:r>
        <w:rPr>
          <w:rFonts w:ascii="Times New Roman" w:hAnsi="Times New Roman" w:eastAsia="Times New Roman"/>
          <w:sz w:val="24"/>
        </w:rPr>
        <w:t>by different parties with different incentives. This predicts β</w:t>
      </w:r>
      <w:r>
        <w:rPr>
          <w:rFonts w:ascii="Times New Roman" w:hAnsi="Times New Roman" w:eastAsia="Times New Roman"/>
          <w:sz w:val="24"/>
          <w:vertAlign w:val="superscript"/>
        </w:rPr>
        <w:t>(3rd) &lt; 0 **while** β</w:t>
      </w:r>
      <w:r>
        <w:rPr>
          <w:rFonts w:ascii="Times New Roman" w:hAnsi="Times New Roman" w:eastAsia="Times New Roman"/>
          <w:sz w:val="24"/>
        </w:rPr>
        <w:t>(self) ≥ 0 — a sign separation, because only the third-party-assayed traits are insulated from the applicant's own reporting incentives.</w:t>
      </w:r>
    </w:p>
    <w:p>
      <w:pPr>
        <w:spacing w:line="480" w:lineRule="auto" w:after="160"/>
        <w:jc w:val="left"/>
      </w:pPr>
      <w:r>
        <w:rPr>
          <w:rFonts w:ascii="Times New Roman" w:hAnsi="Times New Roman" w:eastAsia="Times New Roman"/>
          <w:sz w:val="24"/>
        </w:rPr>
        <w:t>The estimates in Arm 1 show exactly the pattern H_(measure) predicts and H_(ability) rules out: β</w:t>
      </w:r>
      <w:r>
        <w:rPr>
          <w:rFonts w:ascii="Times New Roman" w:hAnsi="Times New Roman" w:eastAsia="Times New Roman"/>
          <w:sz w:val="24"/>
          <w:vertAlign w:val="superscript"/>
        </w:rPr>
        <w:t>(3rd) is −1.844 percentage points for head-rice percentage (p &lt; 0.0001), +1.108 for chalkiness degree (p = 0.012), and −0.122 for the probability of a stated quality grade (p = 0.008), while β</w:t>
      </w:r>
      <w:r>
        <w:rPr>
          <w:rFonts w:ascii="Times New Roman" w:hAnsi="Times New Roman" w:eastAsia="Times New Roman"/>
          <w:sz w:val="24"/>
        </w:rPr>
        <w:t>(self) is +0.554 for regional-trial yield gain (p = 0.020) and +0.919 for production-trial yield gain (p &lt; 0.0001) — the self-reported traits do not deteriorate; if anything they move in the opposite direction. A pure ability-difference story cannot generate this sign separation: it would need self-organised applicants to be simultaneously worse breeders (on quality) and better breeders, or at least not worse ones (on yield), within the same variety. Only an account in which the two trait classes pass through different measuring parties, or in which the two channels differ in the threshold they must clear, can produce it. This sign separation is reported here, in the empirical strategy, and in the abstract — not held back for the Discussion — precisely because it is the paper's identification argument, not an incidental finding.</w:t>
      </w:r>
    </w:p>
    <w:p>
      <w:pPr>
        <w:spacing w:line="480" w:lineRule="auto" w:after="160"/>
        <w:jc w:val="left"/>
      </w:pPr>
      <w:r>
        <w:rPr>
          <w:rFonts w:ascii="Times New Roman" w:hAnsi="Times New Roman" w:eastAsia="Times New Roman"/>
          <w:sz w:val="24"/>
        </w:rPr>
        <w:t xml:space="preserve">We are equally explicit about the limits of this argument. It rules out H_(ability); it does </w:t>
      </w:r>
      <w:r>
        <w:rPr>
          <w:rFonts w:ascii="Times New Roman" w:hAnsi="Times New Roman" w:eastAsia="Times New Roman"/>
          <w:b/>
          <w:sz w:val="24"/>
        </w:rPr>
        <w:t>not</w:t>
      </w:r>
      <w:r>
        <w:rPr>
          <w:rFonts w:ascii="Times New Roman" w:hAnsi="Times New Roman" w:eastAsia="Times New Roman"/>
          <w:sz w:val="24"/>
        </w:rPr>
        <w:t xml:space="preserve"> let us separate H_(measure) from a third hypothesis, H_(threshold) — that the two channels simply impose different admission thresholds on applicants, independent of how well any given applicant's variety would perform if it had gone through the other door. Both H_(measure) and H_(threshold) predict the same sign pattern in this data, and distinguishing them would require exactly the individual-level, cross-channel variation that our within-applicant robustness check (§6, R9) shows this sample cannot supply with adequate power.</w:t>
      </w:r>
    </w:p>
    <w:p>
      <w:pPr>
        <w:keepNext/>
        <w:spacing w:line="480" w:lineRule="auto" w:after="120"/>
        <w:jc w:val="left"/>
      </w:pPr>
      <w:r>
        <w:rPr>
          <w:rFonts w:ascii="Times New Roman" w:hAnsi="Times New Roman" w:eastAsia="Times New Roman"/>
          <w:b/>
          <w:sz w:val="24"/>
        </w:rPr>
        <w:t>4.6 Auxiliary specifications</w:t>
      </w:r>
    </w:p>
    <w:p>
      <w:pPr>
        <w:spacing w:line="480" w:lineRule="auto" w:after="160"/>
        <w:jc w:val="left"/>
      </w:pPr>
      <w:r>
        <w:rPr>
          <w:rFonts w:ascii="Times New Roman" w:hAnsi="Times New Roman" w:eastAsia="Times New Roman"/>
          <w:sz w:val="24"/>
        </w:rPr>
        <w:t>Three auxiliary specifications support the main argument without altering it. A descriptive specification, Yᵢ = θPublicᵢ + γ_(y × g) + δᵦ + εᵢ, restricted to years with a non-missing applicant-type field, characterizes the enterprise vs. public-institution trait division of labour; it is reported only as a directional, descriptive background fact (§4.7, Non-claim 9), not as a structural or causal comparison. A logit specification, Pr(NewChannelᵢ) = Λ(αWinallᵢ + γ_(y × g)), and a within-channel positioning specification, Yᵢ = ρWinallᵢ + γ_(c(i)) + δᵦ + εᵢ (estimated separately within the Unified and the self-organised sub-samples), support the counter-case role of a single large integrated seed enterprise in §7 and are not used to estimate the main channel gap. An unknown-breakpoint sup-Wald scan (candidate breakpoints 2009–2019, with level-shift and trend-shift specifications) is used only to test whether the quality trajectory has a structural break coincident with the 2016 reform (§4.7, Non-claim 3), not to estimate the channel gap itself.</w:t>
      </w:r>
    </w:p>
    <w:p>
      <w:pPr>
        <w:keepNext/>
        <w:spacing w:line="480" w:lineRule="auto" w:after="120"/>
        <w:jc w:val="left"/>
      </w:pPr>
      <w:r>
        <w:rPr>
          <w:rFonts w:ascii="Times New Roman" w:hAnsi="Times New Roman" w:eastAsia="Times New Roman"/>
          <w:b/>
          <w:sz w:val="24"/>
        </w:rPr>
        <w:t>4.7 What this paper does not claim</w:t>
      </w:r>
    </w:p>
    <w:p>
      <w:pPr>
        <w:spacing w:line="480" w:lineRule="auto" w:after="160"/>
        <w:jc w:val="left"/>
      </w:pPr>
      <w:r>
        <w:rPr>
          <w:rFonts w:ascii="Times New Roman" w:hAnsi="Times New Roman" w:eastAsia="Times New Roman"/>
          <w:sz w:val="24"/>
        </w:rPr>
        <w:t>This paper's estimates support a narrower and more specific set of claims than the pattern of results might suggest at first reading, and we state the boundaries explicitly here so that no reader — including the authors, in a later paper — mistakes a composition gap for something it is not.</w:t>
      </w:r>
    </w:p>
    <w:p>
      <w:pPr>
        <w:pStyle w:val="ListNumber"/>
        <w:spacing w:line="360" w:lineRule="auto" w:after="40"/>
      </w:pPr>
      <w:r>
        <w:rPr>
          <w:rFonts w:ascii="Times New Roman" w:hAnsi="Times New Roman" w:eastAsia="Times New Roman"/>
          <w:b/>
          <w:sz w:val="24"/>
        </w:rPr>
        <w:t>β is not a causal effect.</w:t>
      </w:r>
      <w:r>
        <w:rPr>
          <w:rFonts w:ascii="Times New Roman" w:hAnsi="Times New Roman" w:eastAsia="Times New Roman"/>
          <w:sz w:val="24"/>
        </w:rPr>
        <w:t xml:space="preserve"> It is a within-cell composition gap, not the effect of moving a variety between channels; the only design that could speak to the latter (within-applicant, §6.3) is underpowered by 2–3× on every headline coefficient (full numbers there), so we do not claim to have separated a genuine channel effect from applicant self-selection.</w:t>
      </w:r>
    </w:p>
    <w:p>
      <w:pPr>
        <w:pStyle w:val="ListNumber"/>
        <w:spacing w:line="360" w:lineRule="auto" w:after="40"/>
      </w:pPr>
      <w:r>
        <w:rPr>
          <w:rFonts w:ascii="Times New Roman" w:hAnsi="Times New Roman" w:eastAsia="Times New Roman"/>
          <w:b/>
          <w:sz w:val="24"/>
        </w:rPr>
        <w:t>We do not use language of fabrication or manipulation.</w:t>
      </w:r>
      <w:r>
        <w:rPr>
          <w:rFonts w:ascii="Times New Roman" w:hAnsi="Times New Roman" w:eastAsia="Times New Roman"/>
          <w:sz w:val="24"/>
        </w:rPr>
        <w:t xml:space="preserve"> Every measurement-authority claim is phrased as </w:t>
      </w:r>
      <w:r>
        <w:rPr>
          <w:rFonts w:ascii="Times New Roman" w:hAnsi="Times New Roman" w:eastAsia="Times New Roman"/>
          <w:i/>
          <w:sz w:val="24"/>
        </w:rPr>
        <w:t>consistent with measurement discretion, though channel self-selection cannot be ruled out</w:t>
      </w:r>
      <w:r>
        <w:rPr>
          <w:rFonts w:ascii="Times New Roman" w:hAnsi="Times New Roman" w:eastAsia="Times New Roman"/>
          <w:sz w:val="24"/>
        </w:rPr>
        <w:t>.</w:t>
      </w:r>
    </w:p>
    <w:p>
      <w:pPr>
        <w:pStyle w:val="ListNumber"/>
        <w:spacing w:line="360" w:lineRule="auto" w:after="40"/>
      </w:pPr>
      <w:r>
        <w:rPr>
          <w:rFonts w:ascii="Times New Roman" w:hAnsi="Times New Roman" w:eastAsia="Times New Roman"/>
          <w:b/>
          <w:sz w:val="24"/>
        </w:rPr>
        <w:t>We do not claim the 2016 reform caused the quality gap or any quality decline.</w:t>
      </w:r>
      <w:r>
        <w:rPr>
          <w:rFonts w:ascii="Times New Roman" w:hAnsi="Times New Roman" w:eastAsia="Times New Roman"/>
          <w:sz w:val="24"/>
        </w:rPr>
        <w:t xml:space="preserve"> The structural-break scan (§5.6) dates the main quality breaks to 2009–2015, before the reform; what we estimate is a same-year channel gap, not a before/after effect.</w:t>
      </w:r>
    </w:p>
    <w:p>
      <w:pPr>
        <w:pStyle w:val="ListNumber"/>
        <w:spacing w:line="360" w:lineRule="auto" w:after="40"/>
      </w:pPr>
      <w:r>
        <w:rPr>
          <w:rFonts w:ascii="Times New Roman" w:hAnsi="Times New Roman" w:eastAsia="Times New Roman"/>
          <w:b/>
          <w:sz w:val="24"/>
        </w:rPr>
        <w:t>We do not claim third-party-assayed traits are uniformly worse among self-organised entrants.</w:t>
      </w:r>
      <w:r>
        <w:rPr>
          <w:rFonts w:ascii="Times New Roman" w:hAnsi="Times New Roman" w:eastAsia="Times New Roman"/>
          <w:sz w:val="24"/>
        </w:rPr>
        <w:t xml:space="preserve"> Bacterial-blight grade moves the opposite way (§5.2); the headline claim is confined to grain-processing and appearance quality.</w:t>
      </w:r>
    </w:p>
    <w:p>
      <w:pPr>
        <w:pStyle w:val="ListNumber"/>
        <w:spacing w:line="360" w:lineRule="auto" w:after="40"/>
      </w:pPr>
      <w:r>
        <w:rPr>
          <w:rFonts w:ascii="Times New Roman" w:hAnsi="Times New Roman" w:eastAsia="Times New Roman"/>
          <w:b/>
          <w:sz w:val="24"/>
        </w:rPr>
        <w:t>We do not claim the self-reported yield advantage is an established finding.</w:t>
      </w:r>
      <w:r>
        <w:rPr>
          <w:rFonts w:ascii="Times New Roman" w:hAnsi="Times New Roman" w:eastAsia="Times New Roman"/>
          <w:sz w:val="24"/>
        </w:rPr>
        <w:t xml:space="preserve"> It reverses sign between arms and its Manski lower bound sits near zero (§5.3, §6.2); the abstract accordingly calls it "suggestive only."</w:t>
      </w:r>
    </w:p>
    <w:p>
      <w:pPr>
        <w:pStyle w:val="ListNumber"/>
        <w:spacing w:line="360" w:lineRule="auto" w:after="40"/>
      </w:pPr>
      <w:r>
        <w:rPr>
          <w:rFonts w:ascii="Times New Roman" w:hAnsi="Times New Roman" w:eastAsia="Times New Roman"/>
          <w:b/>
          <w:sz w:val="24"/>
        </w:rPr>
        <w:t>We make no welfare claim.</w:t>
      </w:r>
      <w:r>
        <w:rPr>
          <w:rFonts w:ascii="Times New Roman" w:hAnsi="Times New Roman" w:eastAsia="Times New Roman"/>
          <w:sz w:val="24"/>
        </w:rPr>
        <w:t xml:space="preserve"> No data on adoption, prices, or consumption exists in this study to support one.</w:t>
      </w:r>
    </w:p>
    <w:p>
      <w:pPr>
        <w:pStyle w:val="ListNumber"/>
        <w:spacing w:line="360" w:lineRule="auto" w:after="40"/>
      </w:pPr>
      <w:r>
        <w:rPr>
          <w:rFonts w:ascii="Times New Roman" w:hAnsi="Times New Roman" w:eastAsia="Times New Roman"/>
          <w:b/>
          <w:sz w:val="24"/>
        </w:rPr>
        <w:t>Approval counts are never used as an outcome variable</w:t>
      </w:r>
      <w:r>
        <w:rPr>
          <w:rFonts w:ascii="Times New Roman" w:hAnsi="Times New Roman" w:eastAsia="Times New Roman"/>
          <w:sz w:val="24"/>
        </w:rPr>
        <w:t>, only as descriptive background, because underlying compilation coverage declines sharply after 2022 (§3.1).</w:t>
      </w:r>
    </w:p>
    <w:p>
      <w:pPr>
        <w:pStyle w:val="ListNumber"/>
        <w:spacing w:line="360" w:lineRule="auto" w:after="40"/>
      </w:pPr>
      <w:r>
        <w:rPr>
          <w:rFonts w:ascii="Times New Roman" w:hAnsi="Times New Roman" w:eastAsia="Times New Roman"/>
          <w:b/>
          <w:sz w:val="24"/>
        </w:rPr>
        <w:t>We do not claim this paper's findings replicate at the provincial level.</w:t>
      </w:r>
      <w:r>
        <w:rPr>
          <w:rFonts w:ascii="Times New Roman" w:hAnsi="Times New Roman" w:eastAsia="Times New Roman"/>
          <w:sz w:val="24"/>
        </w:rPr>
        <w:t xml:space="preserve"> The provincial re-estimation is non-significant for three of four headline outcomes and adequately powered and corroborating for the fourth (stated grade); see §6.4 for the full, two-part reading and its own disclosed n discrepancy against an earlier planning-stage run.</w:t>
      </w:r>
    </w:p>
    <w:p>
      <w:pPr>
        <w:pStyle w:val="ListNumber"/>
        <w:spacing w:line="360" w:lineRule="auto" w:after="40"/>
      </w:pPr>
      <w:r>
        <w:rPr>
          <w:rFonts w:ascii="Times New Roman" w:hAnsi="Times New Roman" w:eastAsia="Times New Roman"/>
          <w:b/>
          <w:sz w:val="24"/>
        </w:rPr>
        <w:t>We do not claim enterprises are generally better or worse breeders than public institutions.</w:t>
      </w:r>
      <w:r>
        <w:rPr>
          <w:rFonts w:ascii="Times New Roman" w:hAnsi="Times New Roman" w:eastAsia="Times New Roman"/>
          <w:sz w:val="24"/>
        </w:rPr>
        <w:t xml:space="preserve"> The enterprise-vs-institution comparison (Supplementary Table S1, §7) is descriptive background only, not least because the applicant-type field is entirely missing for four approval years.</w:t>
      </w:r>
    </w:p>
    <w:p>
      <w:pPr>
        <w:pStyle w:val="ListNumber"/>
        <w:spacing w:line="360" w:lineRule="auto" w:after="40"/>
      </w:pPr>
      <w:r>
        <w:rPr>
          <w:rFonts w:ascii="Times New Roman" w:hAnsi="Times New Roman" w:eastAsia="Times New Roman"/>
          <w:b/>
          <w:sz w:val="24"/>
        </w:rPr>
        <w:t>This paper does not evaluate the overall financial performance, business strategy, or corporate governance of any applicant firm, including Winall.</w:t>
      </w:r>
      <w:r>
        <w:rPr>
          <w:rFonts w:ascii="Times New Roman" w:hAnsi="Times New Roman" w:eastAsia="Times New Roman"/>
          <w:sz w:val="24"/>
        </w:rPr>
        <w:t xml:space="preserve"> The channel-choice and within-channel quality comparisons in §7 are silent on firm-level profitability.</w:t>
      </w:r>
    </w:p>
    <w:p>
      <w:pPr>
        <w:pStyle w:val="ListNumber"/>
        <w:spacing w:line="360" w:lineRule="auto" w:after="40"/>
      </w:pPr>
      <w:r>
        <w:rPr>
          <w:rFonts w:ascii="Times New Roman" w:hAnsi="Times New Roman" w:eastAsia="Times New Roman"/>
          <w:b/>
          <w:sz w:val="24"/>
        </w:rPr>
        <w:t>We do not claim varietal homogenization is increasing or decreasing.</w:t>
      </w:r>
      <w:r>
        <w:rPr>
          <w:rFonts w:ascii="Times New Roman" w:hAnsi="Times New Roman" w:eastAsia="Times New Roman"/>
          <w:sz w:val="24"/>
        </w:rPr>
        <w:t xml:space="preserve"> The parentage-diversity and trait-space checks both return null results, reported only as evidence against a common industry narrative.</w:t>
      </w:r>
    </w:p>
    <w:p>
      <w:pPr>
        <w:pStyle w:val="ListNumber"/>
        <w:spacing w:line="360" w:lineRule="auto" w:after="40"/>
      </w:pPr>
      <w:r>
        <w:rPr>
          <w:rFonts w:ascii="Times New Roman" w:hAnsi="Times New Roman" w:eastAsia="Times New Roman"/>
          <w:b/>
          <w:sz w:val="24"/>
        </w:rPr>
        <w:t>We do not treat the parsed compilation as an official, complete registry.</w:t>
      </w:r>
      <w:r>
        <w:rPr>
          <w:rFonts w:ascii="Times New Roman" w:hAnsi="Times New Roman" w:eastAsia="Times New Roman"/>
          <w:sz w:val="24"/>
        </w:rPr>
        <w:t xml:space="preserve"> Our access is mediated by a third-party compilation whose field-level agreement with original MARA text remains an open verification step (§3.4, Unresolved item P4), not yet an established data-quality guarantee.</w:t>
      </w:r>
    </w:p>
    <w:p>
      <w:pPr>
        <w:keepNext/>
        <w:spacing w:line="480" w:lineRule="auto" w:after="120"/>
        <w:jc w:val="left"/>
      </w:pPr>
      <w:r>
        <w:rPr>
          <w:rFonts w:ascii="Times New Roman" w:hAnsi="Times New Roman" w:eastAsia="Times New Roman"/>
          <w:b/>
          <w:sz w:val="26"/>
        </w:rPr>
        <w:t>5. Results</w:t>
      </w:r>
    </w:p>
    <w:p>
      <w:pPr>
        <w:keepNext/>
        <w:spacing w:line="480" w:lineRule="auto" w:after="120"/>
        <w:jc w:val="left"/>
      </w:pPr>
      <w:r>
        <w:rPr>
          <w:rFonts w:ascii="Times New Roman" w:hAnsi="Times New Roman" w:eastAsia="Times New Roman"/>
          <w:b/>
          <w:sz w:val="24"/>
        </w:rPr>
        <w:t>5.1 Sample and strata</w:t>
      </w:r>
    </w:p>
    <w:p>
      <w:pPr>
        <w:spacing w:line="480" w:lineRule="auto" w:after="160"/>
        <w:jc w:val="left"/>
      </w:pPr>
      <w:r>
        <w:rPr>
          <w:rFonts w:ascii="Times New Roman" w:hAnsi="Times New Roman" w:eastAsia="Times New Roman"/>
          <w:sz w:val="24"/>
        </w:rPr>
        <w:t xml:space="preserve">The main analysis layer restricts the record-level approval data to national-level (国审) approvals in the two dominant indica trial groups (middle-and-lower-Yangtze mid-season indica; upper-Yangtze mid-season indica) in the years in which the channel variable actually varies — 2017 and 2019–2022 — yielding </w:t>
      </w:r>
      <w:r>
        <w:rPr>
          <w:rFonts w:ascii="Times New Roman" w:hAnsi="Times New Roman" w:eastAsia="Times New Roman"/>
          <w:b/>
          <w:sz w:val="24"/>
        </w:rPr>
        <w:t>n = 878</w:t>
      </w:r>
      <w:r>
        <w:rPr>
          <w:rFonts w:ascii="Times New Roman" w:hAnsi="Times New Roman" w:eastAsia="Times New Roman"/>
          <w:sz w:val="24"/>
        </w:rPr>
        <w:t xml:space="preserve"> records (Unified 406, Consortium 405, Green 67). Because the green channel (2017) and consortium trials (2019–2022) do not overlap in time, we estimate them as two separate arms rather than pooling them into one "new channel" treatment (Section 4.3): </w:t>
      </w:r>
      <w:r>
        <w:rPr>
          <w:rFonts w:ascii="Times New Roman" w:hAnsi="Times New Roman" w:eastAsia="Times New Roman"/>
          <w:b/>
          <w:sz w:val="24"/>
        </w:rPr>
        <w:t>Arm 1</w:t>
      </w:r>
      <w:r>
        <w:rPr>
          <w:rFonts w:ascii="Times New Roman" w:hAnsi="Times New Roman" w:eastAsia="Times New Roman"/>
          <w:sz w:val="24"/>
        </w:rPr>
        <w:t xml:space="preserve"> compares Consortium (n = 405) with Unified (n = 354) entrants within 2019–2022 (pre-outcome-drop n = 759, later outcomes ranging n = 520–759 depending on missingness); </w:t>
      </w:r>
      <w:r>
        <w:rPr>
          <w:rFonts w:ascii="Times New Roman" w:hAnsi="Times New Roman" w:eastAsia="Times New Roman"/>
          <w:b/>
          <w:sz w:val="24"/>
        </w:rPr>
        <w:t>Arm 2</w:t>
      </w:r>
      <w:r>
        <w:rPr>
          <w:rFonts w:ascii="Times New Roman" w:hAnsi="Times New Roman" w:eastAsia="Times New Roman"/>
          <w:sz w:val="24"/>
        </w:rPr>
        <w:t xml:space="preserve"> compares Green (n = 67) with Unified (n = 52) entrants within 2017 (n = 119, 2–3 identifying cells). Table 3 reports both arms for all 17 outcome variables, split into third-party-assayed (grain-processing and appearance quality, resistance) and applicant-self-reported (yield, agronomic) blocks; Fig. 2 plots the same 34 estimates as a two-panel forest plot, colour-coded by measuring party.</w:t>
      </w:r>
    </w:p>
    <w:p>
      <w:pPr>
        <w:keepNext/>
        <w:spacing w:line="480" w:lineRule="auto" w:after="120"/>
        <w:jc w:val="left"/>
      </w:pPr>
      <w:r>
        <w:rPr>
          <w:rFonts w:ascii="Times New Roman" w:hAnsi="Times New Roman" w:eastAsia="Times New Roman"/>
          <w:b/>
          <w:sz w:val="24"/>
        </w:rPr>
        <w:t>5.2 Arm 1: Consortium versus Unified, 2019–2022</w:t>
      </w:r>
    </w:p>
    <w:p>
      <w:pPr>
        <w:spacing w:line="480" w:lineRule="auto" w:after="160"/>
        <w:jc w:val="left"/>
      </w:pPr>
      <w:r>
        <w:rPr>
          <w:rFonts w:ascii="Times New Roman" w:hAnsi="Times New Roman" w:eastAsia="Times New Roman"/>
          <w:sz w:val="24"/>
        </w:rPr>
        <w:t>Consortium entrants show a consistent, statistically robust deficit on every third-party-assayed grain-processing and appearance trait carried in the main quality block (Table 3; Fig. 2, left panel, blue markers). Head-rice percentage is 1.844 percentage points (pp) lower (95% CI [−2.636, −1.052], p = 5.1 × 10⁻⁶, n = 742); chalkiness degree is 1.108 pp higher, i.e. worse appearance quality (95% CI [0.248, 1.969], p = 0.012, n = 739); and the probability that the announcement states a national/industry-standard quality grade at all (</w:t>
      </w:r>
      <w:r>
        <w:rPr>
          <w:rFonts w:ascii="Times New Roman" w:hAnsi="Times New Roman" w:eastAsia="Times New Roman"/>
          <w:sz w:val="24"/>
        </w:rPr>
        <w:t>quality_stated</w:t>
      </w:r>
      <w:r>
        <w:rPr>
          <w:rFonts w:ascii="Times New Roman" w:hAnsi="Times New Roman" w:eastAsia="Times New Roman"/>
          <w:sz w:val="24"/>
        </w:rPr>
        <w:t>) is 12.2 pp lower (β = −0.122, 95% CI [−0.211, −0.033], p = 0.008, n = 750). A secondary quality measure restricted to graded records — the probability of being graded 1 or 2, the top two national quality tiers (</w:t>
      </w:r>
      <w:r>
        <w:rPr>
          <w:rFonts w:ascii="Times New Roman" w:hAnsi="Times New Roman" w:eastAsia="Times New Roman"/>
          <w:sz w:val="24"/>
        </w:rPr>
        <w:t>quality_top2</w:t>
      </w:r>
      <w:r>
        <w:rPr>
          <w:rFonts w:ascii="Times New Roman" w:hAnsi="Times New Roman" w:eastAsia="Times New Roman"/>
          <w:sz w:val="24"/>
        </w:rPr>
        <w:t>) — is also lower by 9.1 pp (p = 0.009, n = 618), though we flag below (Section 6.2) that this coefficient does not survive Manski worst-case bounds and is therefore treated as secondary rather than headline evidence. Gel consistency, a third assayed grain-eating-quality trait not previously highlighted, moves in the same direction (β = −1.814 mm, p = 0.015, n = 728), consistent with the broader pattern of worse third-party-assayed eating and appearance quality among consortium entrants. Amylose content and grain length–width ratio show no significant difference (Table 3), and neck-blast resistance is not estimable for Arm 2 (100% missing in 2017 records; see Section 5.3) but shows no significant Arm 1 gap either (p = 0.28).</w:t>
      </w:r>
    </w:p>
    <w:p>
      <w:pPr>
        <w:spacing w:line="480" w:lineRule="auto" w:after="160"/>
        <w:jc w:val="left"/>
      </w:pPr>
      <w:r>
        <w:rPr>
          <w:rFonts w:ascii="Times New Roman" w:hAnsi="Times New Roman" w:eastAsia="Times New Roman"/>
          <w:sz w:val="24"/>
        </w:rPr>
        <w:t xml:space="preserve">Against this, the applicant-self-reported yield-performance traits move in the opposite direction. The two-year regional-trial yield gain over the named check is 0.554 pp </w:t>
      </w:r>
      <w:r>
        <w:rPr>
          <w:rFonts w:ascii="Times New Roman" w:hAnsi="Times New Roman" w:eastAsia="Times New Roman"/>
          <w:i/>
          <w:sz w:val="24"/>
        </w:rPr>
        <w:t>higher</w:t>
      </w:r>
      <w:r>
        <w:rPr>
          <w:rFonts w:ascii="Times New Roman" w:hAnsi="Times New Roman" w:eastAsia="Times New Roman"/>
          <w:sz w:val="24"/>
        </w:rPr>
        <w:t xml:space="preserve"> for Consortium entrants (95% CI [0.091, 1.016], p = 0.019, n = 708), and the production-trial (生产试验) yield gain over check is 0.919 pp higher (95% CI [0.505, 1.333], p &lt; 0.0001, n = 578). Raw two-year trial yield in kg/mu (1 kg/mu ≈ 15 kg/hm²; 1 亩 = 1/15 hm²) shows no significant difference (β = +1.43, p = 0.61, n = 716) — consistent with the gain-over-check measures capturing a comparison-scale effect rather than raw yield levels. Two of the three pre-registered placebo traits, seed-setting percentage (β = −0.202, p = 0.43) and 1000-grain weight (β = +0.138, p = 0.59), are both non-significant, as required by the pre-declared design (Section 4, Non-claims). Plant height is 0.952 cm higher (p = 0.044); per the pre-registered methods statement, this is </w:t>
      </w:r>
      <w:r>
        <w:rPr>
          <w:rFonts w:ascii="Times New Roman" w:hAnsi="Times New Roman" w:eastAsia="Times New Roman"/>
          <w:b/>
          <w:sz w:val="24"/>
        </w:rPr>
        <w:t>not</w:t>
      </w:r>
      <w:r>
        <w:rPr>
          <w:rFonts w:ascii="Times New Roman" w:hAnsi="Times New Roman" w:eastAsia="Times New Roman"/>
          <w:sz w:val="24"/>
        </w:rPr>
        <w:t xml:space="preserve"> treated as a placebo result but reported as auxiliary evidence consistent with a taller, larger-panicle selection type declared before the analysis was run (Section 6.1, R12, gives the full treatment).</w:t>
      </w:r>
    </w:p>
    <w:p>
      <w:pPr>
        <w:spacing w:line="480" w:lineRule="auto" w:after="160"/>
        <w:jc w:val="left"/>
      </w:pPr>
      <w:r>
        <w:rPr>
          <w:rFonts w:ascii="Times New Roman" w:hAnsi="Times New Roman" w:eastAsia="Times New Roman"/>
          <w:sz w:val="24"/>
        </w:rPr>
        <w:t xml:space="preserve">One trait falls outside the sign-separation pattern in a way that itself supports the paper's identification argument rather than undermining it: bacterial-blight grade, also third-party assayed, is 0.190 grades </w:t>
      </w:r>
      <w:r>
        <w:rPr>
          <w:rFonts w:ascii="Times New Roman" w:hAnsi="Times New Roman" w:eastAsia="Times New Roman"/>
          <w:i/>
          <w:sz w:val="24"/>
        </w:rPr>
        <w:t>lower</w:t>
      </w:r>
      <w:r>
        <w:rPr>
          <w:rFonts w:ascii="Times New Roman" w:hAnsi="Times New Roman" w:eastAsia="Times New Roman"/>
          <w:sz w:val="24"/>
        </w:rPr>
        <w:t xml:space="preserve"> (i.e. </w:t>
      </w:r>
      <w:r>
        <w:rPr>
          <w:rFonts w:ascii="Times New Roman" w:hAnsi="Times New Roman" w:eastAsia="Times New Roman"/>
          <w:i/>
          <w:sz w:val="24"/>
        </w:rPr>
        <w:t>more</w:t>
      </w:r>
      <w:r>
        <w:rPr>
          <w:rFonts w:ascii="Times New Roman" w:hAnsi="Times New Roman" w:eastAsia="Times New Roman"/>
          <w:sz w:val="24"/>
        </w:rPr>
        <w:t xml:space="preserve"> resistant) among Consortium entrants (95% CI [−0.278, −0.102], p &lt; 0.0001, n = 520). This is reported prominently, not hidden, because the paper's claim is deliberately scoped to grain-processing and appearance quality, not to "third-party-measured traits deteriorate uniformly" — a claim the bacterial-blight result would falsify if made (Sections 4.4, 6.2).</w:t>
      </w:r>
    </w:p>
    <w:p>
      <w:pPr>
        <w:keepNext/>
        <w:spacing w:line="480" w:lineRule="auto" w:after="120"/>
        <w:jc w:val="left"/>
      </w:pPr>
      <w:r>
        <w:rPr>
          <w:rFonts w:ascii="Times New Roman" w:hAnsi="Times New Roman" w:eastAsia="Times New Roman"/>
          <w:b/>
          <w:sz w:val="24"/>
        </w:rPr>
        <w:t>5.3 Arm 2: Green channel versus Unified, 2017</w:t>
      </w:r>
    </w:p>
    <w:p>
      <w:pPr>
        <w:spacing w:line="480" w:lineRule="auto" w:after="160"/>
        <w:jc w:val="left"/>
      </w:pPr>
      <w:r>
        <w:rPr>
          <w:rFonts w:ascii="Times New Roman" w:hAnsi="Times New Roman" w:eastAsia="Times New Roman"/>
          <w:sz w:val="24"/>
        </w:rPr>
        <w:t xml:space="preserve">Green-channel entrants in 2017 (n = 119, HC1 standard errors, 2–3 identifying cells) reproduce the same direction on appearance and grading traits, at larger magnitude: chalkiness degree is 2.809 pp higher (95% CI [1.874, 3.744], p &lt; 0.0001, n = 110) and the probability of a stated quality grade is 34.4 pp lower (β = −0.344, p &lt; 0.0001, n = 112). Head-rice percentage, by contrast, is </w:t>
      </w:r>
      <w:r>
        <w:rPr>
          <w:rFonts w:ascii="Times New Roman" w:hAnsi="Times New Roman" w:eastAsia="Times New Roman"/>
          <w:i/>
          <w:sz w:val="24"/>
        </w:rPr>
        <w:t>not</w:t>
      </w:r>
      <w:r>
        <w:rPr>
          <w:rFonts w:ascii="Times New Roman" w:hAnsi="Times New Roman" w:eastAsia="Times New Roman"/>
          <w:sz w:val="24"/>
        </w:rPr>
        <w:t xml:space="preserve"> significantly different in this arm (β = −0.391, p = 0.55, n = 106) — a genuine cross-arm inconsistency that we report rather than smooth over, and one reason the two arms are kept separate.</w:t>
      </w:r>
    </w:p>
    <w:p>
      <w:pPr>
        <w:spacing w:line="480" w:lineRule="auto" w:after="160"/>
        <w:jc w:val="left"/>
      </w:pPr>
      <w:r>
        <w:rPr>
          <w:rFonts w:ascii="Times New Roman" w:hAnsi="Times New Roman" w:eastAsia="Times New Roman"/>
          <w:sz w:val="24"/>
        </w:rPr>
        <w:t xml:space="preserve">Two results in Arm 2 diverge from the Arm 1 narrative and are reported here as required, not deferred to a robustness appendix. First, the production-trial yield gain over check is 1.036 pp </w:t>
      </w:r>
      <w:r>
        <w:rPr>
          <w:rFonts w:ascii="Times New Roman" w:hAnsi="Times New Roman" w:eastAsia="Times New Roman"/>
          <w:i/>
          <w:sz w:val="24"/>
        </w:rPr>
        <w:t>lower</w:t>
      </w:r>
      <w:r>
        <w:rPr>
          <w:rFonts w:ascii="Times New Roman" w:hAnsi="Times New Roman" w:eastAsia="Times New Roman"/>
          <w:sz w:val="24"/>
        </w:rPr>
        <w:t xml:space="preserve"> for Green-channel entrants (β = −1.036, 95% CI [−1.860, −0.213], p = 0.014, n = 112) — the opposite sign from Arm 1's +0.919 pp. Second, the regional-trial yield gain over check cannot be meaningfully estimated in this arm at all: only 21 of 119 records carry a non-missing value, driven almost entirely by the Unified sub-arm, whose regional-trial-gain coverage in the 2017 stratum is only 1.9% (1 of 52 records; Table 3 reports n = 21, β = −0.994, p = 0.17, but this coefficient should not be interpreted as informative about the underlying population). We flag this explicitly as </w:t>
      </w:r>
      <w:r>
        <w:rPr>
          <w:rFonts w:ascii="Times New Roman" w:hAnsi="Times New Roman" w:eastAsia="Times New Roman"/>
          <w:i/>
          <w:sz w:val="24"/>
        </w:rPr>
        <w:t>not estimable</w:t>
      </w:r>
      <w:r>
        <w:rPr>
          <w:rFonts w:ascii="Times New Roman" w:hAnsi="Times New Roman" w:eastAsia="Times New Roman"/>
          <w:sz w:val="24"/>
        </w:rPr>
        <w:t xml:space="preserve"> rather than reporting the numerically available but data-starved coefficient as if it answered the same question as Arm 1's analogous estimate; Fig. 2's right panel marks the corresponding neck-blast row "not estimable" for the same reason (the field is 100% missing for all 119 Arm-2 records). Together, these two results mean that Arm 2 does </w:t>
      </w:r>
      <w:r>
        <w:rPr>
          <w:rFonts w:ascii="Times New Roman" w:hAnsi="Times New Roman" w:eastAsia="Times New Roman"/>
          <w:i/>
          <w:sz w:val="24"/>
        </w:rPr>
        <w:t>not</w:t>
      </w:r>
      <w:r>
        <w:rPr>
          <w:rFonts w:ascii="Times New Roman" w:hAnsi="Times New Roman" w:eastAsia="Times New Roman"/>
          <w:sz w:val="24"/>
        </w:rPr>
        <w:t xml:space="preserve"> replicate Arm 1's suggestive yield-advantage pattern, and the paper does not claim that it does.</w:t>
      </w:r>
    </w:p>
    <w:p>
      <w:pPr>
        <w:keepNext/>
        <w:spacing w:line="480" w:lineRule="auto" w:after="120"/>
        <w:jc w:val="left"/>
      </w:pPr>
      <w:r>
        <w:rPr>
          <w:rFonts w:ascii="Times New Roman" w:hAnsi="Times New Roman" w:eastAsia="Times New Roman"/>
          <w:b/>
          <w:sz w:val="24"/>
        </w:rPr>
        <w:t>5.4 Identification argument: sign separation against the ability hypothesis</w:t>
      </w:r>
    </w:p>
    <w:p>
      <w:pPr>
        <w:spacing w:line="480" w:lineRule="auto" w:after="160"/>
        <w:jc w:val="left"/>
      </w:pPr>
      <w:r>
        <w:rPr>
          <w:rFonts w:ascii="Times New Roman" w:hAnsi="Times New Roman" w:eastAsia="Times New Roman"/>
          <w:sz w:val="24"/>
        </w:rPr>
        <w:t>Let Y</w:t>
      </w:r>
      <w:r>
        <w:rPr>
          <w:rFonts w:ascii="Times New Roman" w:hAnsi="Times New Roman" w:eastAsia="Times New Roman"/>
          <w:sz w:val="24"/>
          <w:vertAlign w:val="superscript"/>
        </w:rPr>
        <w:t>(3rd) denote third-party-assayed traits and Y</w:t>
      </w:r>
      <w:r>
        <w:rPr>
          <w:rFonts w:ascii="Times New Roman" w:hAnsi="Times New Roman" w:eastAsia="Times New Roman"/>
          <w:sz w:val="24"/>
        </w:rPr>
        <w:t>(self) applicant-measured traits. A pure breeding-ability account of channel choice (H_ability: self-organised-channel applicants simply breed weaker varieties) predicts that both trait classes deteriorate together, β</w:t>
      </w:r>
      <w:r>
        <w:rPr>
          <w:rFonts w:ascii="Times New Roman" w:hAnsi="Times New Roman" w:eastAsia="Times New Roman"/>
          <w:sz w:val="24"/>
          <w:vertAlign w:val="superscript"/>
        </w:rPr>
        <w:t>(3rd) &lt; 0 *and* β</w:t>
      </w:r>
      <w:r>
        <w:rPr>
          <w:rFonts w:ascii="Times New Roman" w:hAnsi="Times New Roman" w:eastAsia="Times New Roman"/>
          <w:sz w:val="24"/>
        </w:rPr>
        <w:t>(self) &lt; 0. The alternative, that measurement authority itself differs across channels (H_measure), predicts sign separation: β</w:t>
      </w:r>
      <w:r>
        <w:rPr>
          <w:rFonts w:ascii="Times New Roman" w:hAnsi="Times New Roman" w:eastAsia="Times New Roman"/>
          <w:sz w:val="24"/>
          <w:vertAlign w:val="superscript"/>
        </w:rPr>
        <w:t>(3rd) &lt; 0 while β</w:t>
      </w:r>
      <w:r>
        <w:rPr>
          <w:rFonts w:ascii="Times New Roman" w:hAnsi="Times New Roman" w:eastAsia="Times New Roman"/>
          <w:sz w:val="24"/>
        </w:rPr>
        <w:t xml:space="preserve">(self) ≥ 0. Arm 1's results match the second pattern exactly — third-party head-rice, chalkiness and stated-grade coefficients are negative and highly significant, while self-reported regional- and production-trial yield gains are positive and significant — and H_ability is therefore rejected as the sole explanation. We are explicit, however, that this design cannot distinguish H_measure from a third possibility, that the two channels apply different </w:t>
      </w:r>
      <w:r>
        <w:rPr>
          <w:rFonts w:ascii="Times New Roman" w:hAnsi="Times New Roman" w:eastAsia="Times New Roman"/>
          <w:i/>
          <w:sz w:val="24"/>
        </w:rPr>
        <w:t>entry thresholds</w:t>
      </w:r>
      <w:r>
        <w:rPr>
          <w:rFonts w:ascii="Times New Roman" w:hAnsi="Times New Roman" w:eastAsia="Times New Roman"/>
          <w:sz w:val="24"/>
        </w:rPr>
        <w:t xml:space="preserve"> to applicants (H_threshold): both predict the same sign pattern, and separating them would require observing the same variety tested through both channels, which the within-applicant subsample (Section 6.3) is too small to do with any power.</w:t>
      </w:r>
    </w:p>
    <w:p>
      <w:pPr>
        <w:keepNext/>
        <w:spacing w:line="480" w:lineRule="auto" w:after="120"/>
        <w:jc w:val="left"/>
      </w:pPr>
      <w:r>
        <w:rPr>
          <w:rFonts w:ascii="Times New Roman" w:hAnsi="Times New Roman" w:eastAsia="Times New Roman"/>
          <w:b/>
          <w:sz w:val="24"/>
        </w:rPr>
        <w:t>5.5 Channel composition and convergence over time</w:t>
      </w:r>
    </w:p>
    <w:p>
      <w:pPr>
        <w:spacing w:line="480" w:lineRule="auto" w:after="160"/>
        <w:jc w:val="left"/>
      </w:pPr>
      <w:r>
        <w:rPr>
          <w:rFonts w:ascii="Times New Roman" w:hAnsi="Times New Roman" w:eastAsia="Times New Roman"/>
          <w:sz w:val="24"/>
        </w:rPr>
        <w:t xml:space="preserve">A year-by-year re-estimation of the Arm-1-style channel gap (new channel vs Unified, within </w:t>
      </w:r>
      <w:r>
        <w:rPr>
          <w:rFonts w:ascii="Times New Roman" w:hAnsi="Times New Roman" w:eastAsia="Times New Roman"/>
          <w:sz w:val="24"/>
        </w:rPr>
        <w:t>trial_group × check</w:t>
      </w:r>
      <w:r>
        <w:rPr>
          <w:rFonts w:ascii="Times New Roman" w:hAnsi="Times New Roman" w:eastAsia="Times New Roman"/>
          <w:sz w:val="24"/>
        </w:rPr>
        <w:t xml:space="preserve"> cells, HC1 standard errors, years in which both channels co-exist: 2017 and 2019–2022; 2018 is excluded because only 1 of 234 national records that year carries a green/consortium label, a parsing default rather than a genuine channel assignment) shows two distinct patterns that must be reported separately rather than summarised as a single "gap is narrowing" story. Chalkiness degree narrows monotonically from +2.71 pp in 2017 (p = 1.1 × 10⁻⁸) to +1.63 (2019, p = 0.004), +0.92 (2020, p = 0.004), +0.89 (2021, p = 0.002) and +0.77 pp in 2022 (p = 0.038) — a genuine, monotonic convergence in this one trait. The stated-quality-grade gap also weakens on balance (from −0.327 in 2017 to −0.052 in 2022) but non-monotonically, with 2020 and 2022 not significant. Head-rice percentage, by contrast, shows </w:t>
      </w:r>
      <w:r>
        <w:rPr>
          <w:rFonts w:ascii="Times New Roman" w:hAnsi="Times New Roman" w:eastAsia="Times New Roman"/>
          <w:b/>
          <w:sz w:val="24"/>
        </w:rPr>
        <w:t>no convergence</w:t>
      </w:r>
      <w:r>
        <w:rPr>
          <w:rFonts w:ascii="Times New Roman" w:hAnsi="Times New Roman" w:eastAsia="Times New Roman"/>
          <w:sz w:val="24"/>
        </w:rPr>
        <w:t xml:space="preserve">: the gap is −0.61 pp in 2017 (not significant) and widens to −2.63 (2020, p = 0.0003), −1.48 (2021, p = 0.021) and −3.03 pp (2022, p = 0.006) — its largest, most significant values occur in the </w:t>
      </w:r>
      <w:r>
        <w:rPr>
          <w:rFonts w:ascii="Times New Roman" w:hAnsi="Times New Roman" w:eastAsia="Times New Roman"/>
          <w:i/>
          <w:sz w:val="24"/>
        </w:rPr>
        <w:t>most recent</w:t>
      </w:r>
      <w:r>
        <w:rPr>
          <w:rFonts w:ascii="Times New Roman" w:hAnsi="Times New Roman" w:eastAsia="Times New Roman"/>
          <w:sz w:val="24"/>
        </w:rPr>
        <w:t xml:space="preserve"> years of the sample. The regional-trial yield-gain-over-check coefficient fluctuates around +0.3 to +0.9 pp with no clear convergence or divergence pattern (Fig. 3; full year-by-year coefficients in </w:t>
      </w:r>
      <w:r>
        <w:rPr>
          <w:rFonts w:ascii="Times New Roman" w:hAnsi="Times New Roman" w:eastAsia="Times New Roman"/>
          <w:sz w:val="24"/>
        </w:rPr>
        <w:t>table_event_study_by_year.csv</w:t>
      </w:r>
      <w:r>
        <w:rPr>
          <w:rFonts w:ascii="Times New Roman" w:hAnsi="Times New Roman" w:eastAsia="Times New Roman"/>
          <w:sz w:val="24"/>
        </w:rPr>
        <w:t>). We therefore do not claim that "the quality gap between channels is closing" as a general statement; only chalkiness, and more weakly the stated-grade indicator, show convergence, while head-rice — arguably the more economically material processing-quality trait — does not.</w:t>
      </w:r>
    </w:p>
    <w:p>
      <w:pPr>
        <w:keepNext/>
        <w:spacing w:line="480" w:lineRule="auto" w:after="120"/>
        <w:jc w:val="left"/>
      </w:pPr>
      <w:r>
        <w:rPr>
          <w:rFonts w:ascii="Times New Roman" w:hAnsi="Times New Roman" w:eastAsia="Times New Roman"/>
          <w:b/>
          <w:sz w:val="24"/>
        </w:rPr>
        <w:t>5.6 Structural breakpoints predate the 2016 reform</w:t>
      </w:r>
    </w:p>
    <w:p>
      <w:pPr>
        <w:spacing w:line="480" w:lineRule="auto" w:after="160"/>
        <w:jc w:val="left"/>
      </w:pPr>
      <w:r>
        <w:rPr>
          <w:rFonts w:ascii="Times New Roman" w:hAnsi="Times New Roman" w:eastAsia="Times New Roman"/>
          <w:sz w:val="24"/>
        </w:rPr>
        <w:t xml:space="preserve">An unknown-breakpoint (sup-Wald / Quandt) scan over candidate years 2009–2019, run on the full 2005–2022 national two-trial-group layer (n up to 1,204 records depending on trait non-missingness), asks whether the quality traits behind Arm 1's headline result show a structural break coinciding with the 2016 reform that created the consortium and green-channel pathways. They do not. Regional-trial yield per mu shows a clear break at </w:t>
      </w:r>
      <w:r>
        <w:rPr>
          <w:rFonts w:ascii="Times New Roman" w:hAnsi="Times New Roman" w:eastAsia="Times New Roman"/>
          <w:b/>
          <w:sz w:val="24"/>
        </w:rPr>
        <w:t>2017</w:t>
      </w:r>
      <w:r>
        <w:rPr>
          <w:rFonts w:ascii="Times New Roman" w:hAnsi="Times New Roman" w:eastAsia="Times New Roman"/>
          <w:sz w:val="24"/>
        </w:rPr>
        <w:t xml:space="preserve"> (peak Wald = 230.3, p &lt; 10⁻⁵⁰, n = 1,167; Fig. 4), consistent with a level shift in absolute yields around when the new channels opened. But the three quality traits central to this paper's argument break </w:t>
      </w:r>
      <w:r>
        <w:rPr>
          <w:rFonts w:ascii="Times New Roman" w:hAnsi="Times New Roman" w:eastAsia="Times New Roman"/>
          <w:i/>
          <w:sz w:val="24"/>
        </w:rPr>
        <w:t>earlier</w:t>
      </w:r>
      <w:r>
        <w:rPr>
          <w:rFonts w:ascii="Times New Roman" w:hAnsi="Times New Roman" w:eastAsia="Times New Roman"/>
          <w:sz w:val="24"/>
        </w:rPr>
        <w:t xml:space="preserve">: head-rice percentage at </w:t>
      </w:r>
      <w:r>
        <w:rPr>
          <w:rFonts w:ascii="Times New Roman" w:hAnsi="Times New Roman" w:eastAsia="Times New Roman"/>
          <w:b/>
          <w:sz w:val="24"/>
        </w:rPr>
        <w:t>2015</w:t>
      </w:r>
      <w:r>
        <w:rPr>
          <w:rFonts w:ascii="Times New Roman" w:hAnsi="Times New Roman" w:eastAsia="Times New Roman"/>
          <w:sz w:val="24"/>
        </w:rPr>
        <w:t xml:space="preserve"> (Wald = 73.9, p &lt; 10⁻¹⁶, n = 1,186), chalkiness degree at </w:t>
      </w:r>
      <w:r>
        <w:rPr>
          <w:rFonts w:ascii="Times New Roman" w:hAnsi="Times New Roman" w:eastAsia="Times New Roman"/>
          <w:b/>
          <w:sz w:val="24"/>
        </w:rPr>
        <w:t>2009</w:t>
      </w:r>
      <w:r>
        <w:rPr>
          <w:rFonts w:ascii="Times New Roman" w:hAnsi="Times New Roman" w:eastAsia="Times New Roman"/>
          <w:sz w:val="24"/>
        </w:rPr>
        <w:t xml:space="preserve"> (Wald = 22.9, p = 1.1 × 10⁻⁵, n = 1,187), and the top-two quality-grade indicator at </w:t>
      </w:r>
      <w:r>
        <w:rPr>
          <w:rFonts w:ascii="Times New Roman" w:hAnsi="Times New Roman" w:eastAsia="Times New Roman"/>
          <w:b/>
          <w:sz w:val="24"/>
        </w:rPr>
        <w:t>2015</w:t>
      </w:r>
      <w:r>
        <w:rPr>
          <w:rFonts w:ascii="Times New Roman" w:hAnsi="Times New Roman" w:eastAsia="Times New Roman"/>
          <w:sz w:val="24"/>
        </w:rPr>
        <w:t xml:space="preserve"> (Wald = 45.5, p = 1.3 × 10⁻¹⁰, n = 845). All three precede the 2016 institutional reform by one to seven years. Yield gain over check shows no robust break: under the paper's default heteroskedasticity-robust (HC1) covariance, the candidate break at 2018 is marginally significant (Wald = 6.55, p = 0.038), but under classical (homoskedastic) standard errors the same candidate year is not significant (Wald = 5.40, p = 0.067), and a diagnostic check shows the non-missing rate of this variable jumps from 21–22% in 2016–2017 to 100% in 2018 — i.e., the 2018 "break" in Wald statistics is confounded with a sudden change in reporting completeness rather than a real trend discontinuity in the underlying trait. We therefore report yield-gain-over-check as showing </w:t>
      </w:r>
      <w:r>
        <w:rPr>
          <w:rFonts w:ascii="Times New Roman" w:hAnsi="Times New Roman" w:eastAsia="Times New Roman"/>
          <w:b/>
          <w:sz w:val="24"/>
        </w:rPr>
        <w:t>no robust structural break</w:t>
      </w:r>
      <w:r>
        <w:rPr>
          <w:rFonts w:ascii="Times New Roman" w:hAnsi="Times New Roman" w:eastAsia="Times New Roman"/>
          <w:sz w:val="24"/>
        </w:rPr>
        <w:t xml:space="preserve">, consistent with a companion finding using classical standard errors, and flag the HC1 result's sensitivity to this covariance choice explicitly rather than reporting only the marginally significant version (Fig. 4; full year-by-year values in </w:t>
      </w:r>
      <w:r>
        <w:rPr>
          <w:rFonts w:ascii="Times New Roman" w:hAnsi="Times New Roman" w:eastAsia="Times New Roman"/>
          <w:sz w:val="24"/>
        </w:rPr>
        <w:t>table_breakpoint_scan_full.csv</w:t>
      </w:r>
      <w:r>
        <w:rPr>
          <w:rFonts w:ascii="Times New Roman" w:hAnsi="Times New Roman" w:eastAsia="Times New Roman"/>
          <w:sz w:val="24"/>
        </w:rPr>
        <w:t xml:space="preserve">). Fig. 4 also plots growth duration, a trait we do not otherwise analyse in this paper; its scan peaks at </w:t>
      </w:r>
      <w:r>
        <w:rPr>
          <w:rFonts w:ascii="Times New Roman" w:hAnsi="Times New Roman" w:eastAsia="Times New Roman"/>
          <w:b/>
          <w:sz w:val="24"/>
        </w:rPr>
        <w:t>2018</w:t>
      </w:r>
      <w:r>
        <w:rPr>
          <w:rFonts w:ascii="Times New Roman" w:hAnsi="Times New Roman" w:eastAsia="Times New Roman"/>
          <w:sz w:val="24"/>
        </w:rPr>
        <w:t xml:space="preserve"> (Wald = 226.8, p &lt; 10⁻⁴⁹, n = 1,196), close to the absolute-yield break but one year later, and we report this only as background context for the figure rather than as part of the paper's argument, since growth duration is not one of the third-party-assayed quality traits this section is built to falsify a reform-timing story for.</w:t>
      </w:r>
    </w:p>
    <w:p>
      <w:pPr>
        <w:spacing w:line="480" w:lineRule="auto" w:after="160"/>
        <w:jc w:val="left"/>
      </w:pPr>
      <w:r>
        <w:rPr>
          <w:rFonts w:ascii="Times New Roman" w:hAnsi="Times New Roman" w:eastAsia="Times New Roman"/>
          <w:sz w:val="24"/>
        </w:rPr>
        <w:t xml:space="preserve">Taken together, these results support a falsification claim rather than a positive dating claim: whatever quality improvement trend is visible in the pre-2016 data was already underway before the reform, so attributing the level of grain-processing and appearance quality in this period to the 2016 reform itself — as opposed to reading the </w:t>
      </w:r>
      <w:r>
        <w:rPr>
          <w:rFonts w:ascii="Times New Roman" w:hAnsi="Times New Roman" w:eastAsia="Times New Roman"/>
          <w:i/>
          <w:sz w:val="24"/>
        </w:rPr>
        <w:t>channel gap conditional on year</w:t>
      </w:r>
      <w:r>
        <w:rPr>
          <w:rFonts w:ascii="Times New Roman" w:hAnsi="Times New Roman" w:eastAsia="Times New Roman"/>
          <w:sz w:val="24"/>
        </w:rPr>
        <w:t xml:space="preserve"> reported in Sections 5.2–5.3 — would be a mistaken inference. This paper's estimand is explicitly the latter (the same-year channel gap), and the breakpoint evidence is reported to pre-empt the former misreading. This falsification result also bears on a year-indexed reading of the same corpus: Lu et al. (2024) and Hang et al. (2024) both document long-run quality- and yield-trait trends in Chinese variety-approval records using calendar year as the explanatory variable, without a channel distinction; our break-year estimates (head-rice 2015, chalkiness 2009) sit inside the window their national trend series cover, which is consistent with, though not a direct test of, their finding that these trait trajectories are gradual rather than reform-triggered. The two approaches are complementary rather than competing: a channel-conditional design like ours cannot itself characterise the decades-long trend that a year-indexed design is built to describe, and neither of those papers can distinguish (as this paper's Arm 1/Arm 2 comparison does) whether varieties entering through a given channel in a given year look different from their contemporaries in another channel.</w:t>
      </w:r>
    </w:p>
    <w:p>
      <w:pPr>
        <w:keepNext/>
        <w:spacing w:line="480" w:lineRule="auto" w:after="120"/>
        <w:jc w:val="left"/>
      </w:pPr>
      <w:r>
        <w:rPr>
          <w:rFonts w:ascii="Times New Roman" w:hAnsi="Times New Roman" w:eastAsia="Times New Roman"/>
          <w:b/>
          <w:sz w:val="24"/>
        </w:rPr>
        <w:t>5.7 Summary</w:t>
      </w:r>
    </w:p>
    <w:p>
      <w:pPr>
        <w:spacing w:line="276" w:lineRule="auto" w:after="160"/>
        <w:jc w:val="left"/>
      </w:pPr>
      <w:r>
        <w:rPr>
          <w:rFonts w:ascii="Times New Roman" w:hAnsi="Times New Roman" w:eastAsia="Times New Roman"/>
          <w:sz w:val="24"/>
        </w:rPr>
        <w:t>Table 3 and Fig. 2 present the full set of 17 outcome variables for both arms, including the outcomes that run against the paper's central narrative (bacterial-blight resistance, Arm 2's reversed production-trial yield gain, Arm 2's non-estimable regional-trial yield gain). The pattern that survives across both arms is a consistent, third-party-assayed grain-processing and appearance-quality deficit among self-organised-trial entrants, paired with an applicant-measured yield performance that is, if anything, higher — a sign separation inconsistent with a pure breeding-ability account, but not by itself sufficient to rule out differing entry thresholds across channels. Section 6 subjects this pattern to sixteen pre-registered and one additional robustness checks, several of which qualify or fail to replicate parts of the headline result, and reports all of them.</w:t>
      </w:r>
    </w:p>
    <w:p>
      <w:pPr>
        <w:keepNext/>
        <w:spacing w:line="480" w:lineRule="auto" w:after="120"/>
        <w:jc w:val="left"/>
      </w:pPr>
      <w:r>
        <w:rPr>
          <w:rFonts w:ascii="Times New Roman" w:hAnsi="Times New Roman" w:eastAsia="Times New Roman"/>
          <w:b/>
          <w:sz w:val="26"/>
        </w:rPr>
        <w:t>6. Robustness, placebos and bounds</w:t>
      </w:r>
    </w:p>
    <w:p>
      <w:pPr>
        <w:spacing w:line="480" w:lineRule="auto" w:after="160"/>
        <w:jc w:val="left"/>
      </w:pPr>
      <w:r>
        <w:rPr>
          <w:rFonts w:ascii="Times New Roman" w:hAnsi="Times New Roman" w:eastAsia="Times New Roman"/>
          <w:sz w:val="24"/>
        </w:rPr>
        <w:t>This section reports sixteen robustness checks (R1–R16) against the Arm-1 headline results of Section 5 (head-rice −1.844 pp, chalkiness +1.108 pp, stated quality grade −0.122, regional-trial yield gain +0.554 pp, production-trial yield gain +0.919 pp, bacterial-blight grade −0.190; see Table 3 and §5.2 for full CIs, p-values and n). None is moved to an appendix or omitted; where a check does not support the main result, we say so and report the number. Checks that leave the headline pattern essentially unchanged (R1–R6, R8, R10, R12–R14) are reported briefly, with full statistics left in Table 3/Table 4 rather than repeated in prose; checks that qualify or complicate the headline pattern (R7, R9, R11, R15) are given full treatment, since these are the ones a reader needs explained rather than tabulated.</w:t>
      </w:r>
    </w:p>
    <w:p>
      <w:pPr>
        <w:keepNext/>
        <w:spacing w:line="480" w:lineRule="auto" w:after="120"/>
        <w:jc w:val="left"/>
      </w:pPr>
      <w:r>
        <w:rPr>
          <w:rFonts w:ascii="Times New Roman" w:hAnsi="Times New Roman" w:eastAsia="Times New Roman"/>
          <w:b/>
          <w:sz w:val="24"/>
        </w:rPr>
        <w:t>6.1 Checks that leave the headline pattern unchanged (R1–R6, R8, R10, R12–R14)</w:t>
      </w:r>
    </w:p>
    <w:p>
      <w:pPr>
        <w:pStyle w:val="ListBullet"/>
        <w:spacing w:line="360" w:lineRule="auto" w:after="40"/>
      </w:pPr>
      <w:r>
        <w:rPr>
          <w:rFonts w:ascii="Times New Roman" w:hAnsi="Times New Roman" w:eastAsia="Times New Roman"/>
          <w:b/>
          <w:sz w:val="24"/>
        </w:rPr>
        <w:t>R1 (two channels never pooled).</w:t>
      </w:r>
      <w:r>
        <w:rPr>
          <w:rFonts w:ascii="Times New Roman" w:hAnsi="Times New Roman" w:eastAsia="Times New Roman"/>
          <w:sz w:val="24"/>
        </w:rPr>
        <w:t xml:space="preserve"> Already established in §5.1–5.3: pooling Arm 1 and Arm 2 would average a +0.919 pp production-trial yield-gain coefficient with a −1.036 pp one, manufacturing a sign that never occurred. Reported only as a reference row (Table 3), never as the headline estimate.</w:t>
      </w:r>
    </w:p>
    <w:p>
      <w:pPr>
        <w:pStyle w:val="ListBullet"/>
        <w:spacing w:line="360" w:lineRule="auto" w:after="40"/>
      </w:pPr>
      <w:r>
        <w:rPr>
          <w:rFonts w:ascii="Times New Roman" w:hAnsi="Times New Roman" w:eastAsia="Times New Roman"/>
          <w:b/>
          <w:sz w:val="24"/>
        </w:rPr>
        <w:t>R2 (fixed-effects specification).</w:t>
      </w:r>
      <w:r>
        <w:rPr>
          <w:rFonts w:ascii="Times New Roman" w:hAnsi="Times New Roman" w:eastAsia="Times New Roman"/>
          <w:sz w:val="24"/>
        </w:rPr>
        <w:t xml:space="preserve"> Re-estimating on the additive, collinearity-prone year + trial-group + check specification (rather than the interaction cell used throughout) reproduces the same signs and comparable magnitudes for all four cross-checked coefficients. Conclusion: the choice of fixed-effects structure is not what drives the result (full numbers: </w:t>
      </w:r>
      <w:r>
        <w:rPr>
          <w:rFonts w:ascii="Times New Roman" w:hAnsi="Times New Roman" w:eastAsia="Times New Roman"/>
          <w:sz w:val="24"/>
        </w:rPr>
        <w:t>results_notes_main.md</w:t>
      </w:r>
      <w:r>
        <w:rPr>
          <w:rFonts w:ascii="Times New Roman" w:hAnsi="Times New Roman" w:eastAsia="Times New Roman"/>
          <w:sz w:val="24"/>
        </w:rPr>
        <w:t>).</w:t>
      </w:r>
    </w:p>
    <w:p>
      <w:pPr>
        <w:pStyle w:val="ListBullet"/>
        <w:spacing w:line="360" w:lineRule="auto" w:after="40"/>
      </w:pPr>
      <w:r>
        <w:rPr>
          <w:rFonts w:ascii="Times New Roman" w:hAnsi="Times New Roman" w:eastAsia="Times New Roman"/>
          <w:b/>
          <w:sz w:val="24"/>
        </w:rPr>
        <w:t>R3 (extend to all national trial groups).</w:t>
      </w:r>
      <w:r>
        <w:rPr>
          <w:rFonts w:ascii="Times New Roman" w:hAnsi="Times New Roman" w:eastAsia="Times New Roman"/>
          <w:sz w:val="24"/>
        </w:rPr>
        <w:t xml:space="preserve"> Extending from the two dominant indica trial groups to all national trial groups leaves direction and significance essentially unchanged in both arms. Conclusion: not an artefact of the two-trial-group restriction.</w:t>
      </w:r>
    </w:p>
    <w:p>
      <w:pPr>
        <w:pStyle w:val="ListBullet"/>
        <w:spacing w:line="360" w:lineRule="auto" w:after="40"/>
      </w:pPr>
      <w:r>
        <w:rPr>
          <w:rFonts w:ascii="Times New Roman" w:hAnsi="Times New Roman" w:eastAsia="Times New Roman"/>
          <w:b/>
          <w:sz w:val="24"/>
        </w:rPr>
        <w:t>R4 (2018 treatment).</w:t>
      </w:r>
      <w:r>
        <w:rPr>
          <w:rFonts w:ascii="Times New Roman" w:hAnsi="Times New Roman" w:eastAsia="Times New Roman"/>
          <w:sz w:val="24"/>
        </w:rPr>
        <w:t xml:space="preserve"> Coding the 233 unlabelled 2018 records as Unified, instead of excluding them, produces numerically identical point estimates, SEs and p-values to the main design, because every 2018 cell in this stratum is a Unified-only (or one Green-only) singleton carrying no identifying variation either way. Conclusion: the 2018-coding choice is provably immaterial.</w:t>
      </w:r>
    </w:p>
    <w:p>
      <w:pPr>
        <w:pStyle w:val="ListBullet"/>
        <w:spacing w:line="360" w:lineRule="auto" w:after="40"/>
      </w:pPr>
      <w:r>
        <w:rPr>
          <w:rFonts w:ascii="Times New Roman" w:hAnsi="Times New Roman" w:eastAsia="Times New Roman"/>
          <w:b/>
          <w:sz w:val="24"/>
        </w:rPr>
        <w:t>R5 (Benjamini–Hochberg FDR).</w:t>
      </w:r>
      <w:r>
        <w:rPr>
          <w:rFonts w:ascii="Times New Roman" w:hAnsi="Times New Roman" w:eastAsia="Times New Roman"/>
          <w:sz w:val="24"/>
        </w:rPr>
        <w:t xml:space="preserve"> Of 17 Arm-1 outcomes, 8 retain q &lt; 0.05 after BH correction across all 17 tests, including all six headline coefficients; only the top-two quality-grade indicator is borderline (see R7). Conclusion: the sign-separation pattern does not depend on uncorrected multiple testing.</w:t>
      </w:r>
    </w:p>
    <w:p>
      <w:pPr>
        <w:pStyle w:val="ListBullet"/>
        <w:spacing w:line="360" w:lineRule="auto" w:after="40"/>
      </w:pPr>
      <w:r>
        <w:rPr>
          <w:rFonts w:ascii="Times New Roman" w:hAnsi="Times New Roman" w:eastAsia="Times New Roman"/>
          <w:b/>
          <w:sz w:val="24"/>
        </w:rPr>
        <w:t>R6 (randomisation inference).</w:t>
      </w:r>
      <w:r>
        <w:rPr>
          <w:rFonts w:ascii="Times New Roman" w:hAnsi="Times New Roman" w:eastAsia="Times New Roman"/>
          <w:sz w:val="24"/>
        </w:rPr>
        <w:t xml:space="preserve"> Exact permutation p-values (500 draws within each year × trial-group × check cell; Fig. 5) place head-rice, chalkiness and regional-trial yield gain in the extreme tail of their null distributions (RI p = 0.002 each). Conclusion: corroborates the headline results independently of cluster-asymptotic assumptions.</w:t>
      </w:r>
    </w:p>
    <w:p>
      <w:pPr>
        <w:pStyle w:val="ListBullet"/>
        <w:spacing w:line="360" w:lineRule="auto" w:after="40"/>
      </w:pPr>
      <w:r>
        <w:rPr>
          <w:rFonts w:ascii="Times New Roman" w:hAnsi="Times New Roman" w:eastAsia="Times New Roman"/>
          <w:b/>
          <w:sz w:val="24"/>
        </w:rPr>
        <w:t>R8 (missingness balance).</w:t>
      </w:r>
      <w:r>
        <w:rPr>
          <w:rFonts w:ascii="Times New Roman" w:hAnsi="Times New Roman" w:eastAsia="Times New Roman"/>
          <w:sz w:val="24"/>
        </w:rPr>
        <w:t xml:space="preserve"> Supplementary Fig. S1 shows most of the 17 outcomes balanced within ~2 pp of non-missing rate across arms; the three exceptions (top-two grade, regional-trial yield gain, two-year kg/mu yield) are exactly the three that motivate the Manski-bounds exercise (R7, below).</w:t>
      </w:r>
    </w:p>
    <w:p>
      <w:pPr>
        <w:pStyle w:val="ListBullet"/>
        <w:spacing w:line="360" w:lineRule="auto" w:after="40"/>
      </w:pPr>
      <w:r>
        <w:rPr>
          <w:rFonts w:ascii="Times New Roman" w:hAnsi="Times New Roman" w:eastAsia="Times New Roman"/>
          <w:b/>
          <w:sz w:val="24"/>
        </w:rPr>
        <w:t>R10 (drop the focal firm).</w:t>
      </w:r>
      <w:r>
        <w:rPr>
          <w:rFonts w:ascii="Times New Roman" w:hAnsi="Times New Roman" w:eastAsia="Times New Roman"/>
          <w:sz w:val="24"/>
        </w:rPr>
        <w:t xml:space="preserve"> Dropping all Winall-linked records leaves the headline result significant with the same sign: head-rice −1.368 pp (p = 0.006, n = 602), chalkiness +0.940 pp (p = 0.034, n = 599), stated grade −0.104 (p = 0.011, n = 609) (</w:t>
      </w:r>
      <w:r>
        <w:rPr>
          <w:rFonts w:ascii="Times New Roman" w:hAnsi="Times New Roman" w:eastAsia="Times New Roman"/>
          <w:sz w:val="24"/>
        </w:rPr>
        <w:t>table_r10_drop_winall_robustness.csv</w:t>
      </w:r>
      <w:r>
        <w:rPr>
          <w:rFonts w:ascii="Times New Roman" w:hAnsi="Times New Roman" w:eastAsia="Times New Roman"/>
          <w:sz w:val="24"/>
        </w:rPr>
        <w:t>). Conclusion: the result does not depend on this single firm; see also §7.</w:t>
      </w:r>
    </w:p>
    <w:p>
      <w:pPr>
        <w:pStyle w:val="ListBullet"/>
        <w:spacing w:line="360" w:lineRule="auto" w:after="40"/>
      </w:pPr>
      <w:r>
        <w:rPr>
          <w:rFonts w:ascii="Times New Roman" w:hAnsi="Times New Roman" w:eastAsia="Times New Roman"/>
          <w:b/>
          <w:sz w:val="24"/>
        </w:rPr>
        <w:t>R12 (pre-declared placebos).</w:t>
      </w:r>
      <w:r>
        <w:rPr>
          <w:rFonts w:ascii="Times New Roman" w:hAnsi="Times New Roman" w:eastAsia="Times New Roman"/>
          <w:sz w:val="24"/>
        </w:rPr>
        <w:t xml:space="preserve"> Seed-setting percentage and thousand-grain weight, declared as placebos before estimation, are both non-significant. Plant height was pre-declared </w:t>
      </w:r>
      <w:r>
        <w:rPr>
          <w:rFonts w:ascii="Times New Roman" w:hAnsi="Times New Roman" w:eastAsia="Times New Roman"/>
          <w:i/>
          <w:sz w:val="24"/>
        </w:rPr>
        <w:t>outside</w:t>
      </w:r>
      <w:r>
        <w:rPr>
          <w:rFonts w:ascii="Times New Roman" w:hAnsi="Times New Roman" w:eastAsia="Times New Roman"/>
          <w:sz w:val="24"/>
        </w:rPr>
        <w:t xml:space="preserve"> the placebo set and is significantly higher among Consortium entrants (β = +0.952 cm, p = 0.044); this is reported as auxiliary agronomic evidence, not a failed placebo, per the pre-registered design.</w:t>
      </w:r>
    </w:p>
    <w:p>
      <w:pPr>
        <w:pStyle w:val="ListBullet"/>
        <w:spacing w:line="360" w:lineRule="auto" w:after="40"/>
      </w:pPr>
      <w:r>
        <w:rPr>
          <w:rFonts w:ascii="Times New Roman" w:hAnsi="Times New Roman" w:eastAsia="Times New Roman"/>
          <w:b/>
          <w:sz w:val="24"/>
        </w:rPr>
        <w:t>R13 (pre-reform time placebo).</w:t>
      </w:r>
      <w:r>
        <w:rPr>
          <w:rFonts w:ascii="Times New Roman" w:hAnsi="Times New Roman" w:eastAsia="Times New Roman"/>
          <w:sz w:val="24"/>
        </w:rPr>
        <w:t xml:space="preserve"> A pseudo-treatment built the same way in 2005–2016, before any channel existed (using </w:t>
      </w:r>
      <w:r>
        <w:rPr>
          <w:rFonts w:ascii="Times New Roman" w:hAnsi="Times New Roman" w:eastAsia="Times New Roman"/>
          <w:sz w:val="24"/>
        </w:rPr>
        <w:t>applicant_type == Enterprise</w:t>
      </w:r>
      <w:r>
        <w:rPr>
          <w:rFonts w:ascii="Times New Roman" w:hAnsi="Times New Roman" w:eastAsia="Times New Roman"/>
          <w:sz w:val="24"/>
        </w:rPr>
        <w:t xml:space="preserve"> as the closest available proxy, n = 153, 13 cells), returns no significant coefficient on any of the six outcomes, and the sign is opposite the real design's for both headline quality traits. Conclusion: enterprise-versus-public composition alone, absent real channel variation, does not reproduce the quality-deficit pattern — though this only weakens one specific confound and does not by itself rule out H_(threshold) (§5.4).</w:t>
      </w:r>
    </w:p>
    <w:p>
      <w:pPr>
        <w:pStyle w:val="ListBullet"/>
        <w:spacing w:line="360" w:lineRule="auto" w:after="40"/>
      </w:pPr>
      <w:r>
        <w:rPr>
          <w:rFonts w:ascii="Times New Roman" w:hAnsi="Times New Roman" w:eastAsia="Times New Roman"/>
          <w:b/>
          <w:sz w:val="24"/>
        </w:rPr>
        <w:t>R14 (cluster by variety).</w:t>
      </w:r>
      <w:r>
        <w:rPr>
          <w:rFonts w:ascii="Times New Roman" w:hAnsi="Times New Roman" w:eastAsia="Times New Roman"/>
          <w:sz w:val="24"/>
        </w:rPr>
        <w:t xml:space="preserve"> Re-clustering standard errors at the variety level (36 varieties, 72 records approved in multiple ecological zones) leaves all headline coefficients significant at p ≤ 0.0014. Conclusion: this source of non-independence does not threaten the main inference.</w:t>
      </w:r>
    </w:p>
    <w:p>
      <w:pPr>
        <w:keepNext/>
        <w:spacing w:line="480" w:lineRule="auto" w:after="120"/>
        <w:jc w:val="left"/>
      </w:pPr>
      <w:r>
        <w:rPr>
          <w:rFonts w:ascii="Times New Roman" w:hAnsi="Times New Roman" w:eastAsia="Times New Roman"/>
          <w:b/>
          <w:sz w:val="24"/>
        </w:rPr>
        <w:t>6.2 Manski worst-case bounds (R7)</w:t>
      </w:r>
    </w:p>
    <w:p>
      <w:pPr>
        <w:spacing w:line="480" w:lineRule="auto" w:after="160"/>
        <w:jc w:val="left"/>
      </w:pPr>
      <w:r>
        <w:rPr>
          <w:rFonts w:ascii="Times New Roman" w:hAnsi="Times New Roman" w:eastAsia="Times New Roman"/>
          <w:sz w:val="24"/>
        </w:rPr>
        <w:t xml:space="preserve">Because four outcome variables show meaningfully unbalanced missingness between arms — the top-two quality grade (23.0% missing in the Consortium arm vs 11.3% in Unified), regional-trial yield gain (0.2% vs 11.9%, and separately the 2017 Unified sub-arm at 1.9%), production-trial yield gain, and two-year trial yield in kg/mu (Supplementary Fig. S1; imbalances ≥ 8 percentage points flagged in orange) — we compute Manski worst-case bounds by filling missing values at the 5th/95th percentile extremes appropriate to each arm. Head-rice percentage and chalkiness degree, whose missingness is balanced (~1–2 pp gap across arms), have narrow, sign-stable bounds ([−2.001, −1.623] and [+0.976, +1.203] respectively) and are treated as the paper's most secure headline results. The top-two quality-grade indicator does </w:t>
      </w:r>
      <w:r>
        <w:rPr>
          <w:rFonts w:ascii="Times New Roman" w:hAnsi="Times New Roman" w:eastAsia="Times New Roman"/>
          <w:b/>
          <w:sz w:val="24"/>
        </w:rPr>
        <w:t>not</w:t>
      </w:r>
      <w:r>
        <w:rPr>
          <w:rFonts w:ascii="Times New Roman" w:hAnsi="Times New Roman" w:eastAsia="Times New Roman"/>
          <w:sz w:val="24"/>
        </w:rPr>
        <w:t xml:space="preserve"> survive this test: its worst-case bound is [−0.253, +0.088], which crosses zero — the sign is unstable under worst-case imputation. We therefore explicitly downgrade this variable to a secondary result and rely on the fully defined (0% missing by construction) stated-quality-grade indicator as the primary grading-related headline result (Table 3; Section 5.2). Regional-trial yield gain's worst-case bound is [+0.049, +0.912] — the lower bound is close to zero (p = 0.91 at that bound) — so this coefficient is downgraded from "suggestive support for a positive self-reported advantage" to "directionally positive but not robustly bounded away from zero." No headline third-party-quality result other than the top-two grade indicator changes sign under worst-case bounds.</w:t>
      </w:r>
    </w:p>
    <w:p>
      <w:pPr>
        <w:keepNext/>
        <w:spacing w:line="480" w:lineRule="auto" w:after="120"/>
        <w:jc w:val="left"/>
      </w:pPr>
      <w:r>
        <w:rPr>
          <w:rFonts w:ascii="Times New Roman" w:hAnsi="Times New Roman" w:eastAsia="Times New Roman"/>
          <w:b/>
          <w:sz w:val="24"/>
        </w:rPr>
        <w:t>6.3 Within-applicant subsample and its minimum detectable effect (R9)</w:t>
      </w:r>
    </w:p>
    <w:p>
      <w:pPr>
        <w:spacing w:line="480" w:lineRule="auto" w:after="160"/>
        <w:jc w:val="left"/>
      </w:pPr>
      <w:r>
        <w:rPr>
          <w:rFonts w:ascii="Times New Roman" w:hAnsi="Times New Roman" w:eastAsia="Times New Roman"/>
          <w:sz w:val="24"/>
        </w:rPr>
        <w:t>The most direct test of self-selection versus a genuine channel effect compares the same applicant's own varieties across channels. This subsample is small: 10 applicants, 51 records (26 Consortium, 25 Unified) within the Arm-1 window, estimated with applicant fixed effects (rather than the main year × group × check cell, which is too fine for a sample this size) and HC1 standard errors. None of the six headline coefficients is significant in this subsample, and three (head-rice, chalkiness, stated grade) flip sign relative to the main design (Table: head-rice +0.780, p = 0.61; chalkiness +0.846, p = 0.21; stated grade +0.118, p = 0.40; regional-trial yield gain +0.100, p = 0.86; production-trial yield gain −0.126, p = 0.82; bacterial-blight grade −0.421, p = 0.38).</w:t>
      </w:r>
    </w:p>
    <w:p>
      <w:pPr>
        <w:spacing w:line="480" w:lineRule="auto" w:after="160"/>
        <w:jc w:val="left"/>
      </w:pPr>
      <w:r>
        <w:rPr>
          <w:rFonts w:ascii="Times New Roman" w:hAnsi="Times New Roman" w:eastAsia="Times New Roman"/>
          <w:sz w:val="24"/>
        </w:rPr>
        <w:t xml:space="preserve">Rather than reading this as evidence against the main result, we compute the minimum detectable effect (MDE) this subsample could reliably distinguish from zero at 80% power for each outcome: head-rice 4.37 pp, chalkiness 1.96 pp, stated grade 0.41, regional-trial yield gain 1.66 pp, production-trial yield gain 1.56 pp, bacterial-blight grade 1.41. In every case, the MDE exceeds the magnitude of the corresponding main-design coefficient — for head-rice by roughly 2.4×, for regional-trial yield gain by roughly 3×. This converts a qualitative "underpowered" claim into a quantitative one: </w:t>
      </w:r>
      <w:r>
        <w:rPr>
          <w:rFonts w:ascii="Times New Roman" w:hAnsi="Times New Roman" w:eastAsia="Times New Roman"/>
          <w:b/>
          <w:sz w:val="24"/>
        </w:rPr>
        <w:t>this design cannot statistically distinguish "no channel effect once self-selection is removed" from "the channel effect exists, but this subsample is too small to detect it."</w:t>
      </w:r>
      <w:r>
        <w:rPr>
          <w:rFonts w:ascii="Times New Roman" w:hAnsi="Times New Roman" w:eastAsia="Times New Roman"/>
          <w:sz w:val="24"/>
        </w:rPr>
        <w:t xml:space="preserve"> The sign flips are consistent with a severely underpowered, noisy estimate rather than a credible contradiction of the main design, but we do not claim the within-applicant test confirms the main effect either — it simply lacks the power to adjudicate the question (Section 4, Non-claims 1).</w:t>
      </w:r>
    </w:p>
    <w:p>
      <w:pPr>
        <w:keepNext/>
        <w:spacing w:line="480" w:lineRule="auto" w:after="120"/>
        <w:jc w:val="left"/>
      </w:pPr>
      <w:r>
        <w:rPr>
          <w:rFonts w:ascii="Times New Roman" w:hAnsi="Times New Roman" w:eastAsia="Times New Roman"/>
          <w:b/>
          <w:sz w:val="24"/>
        </w:rPr>
        <w:t>6.4 Provincial replication and its minimum detectable effect (R11)</w:t>
      </w:r>
    </w:p>
    <w:p>
      <w:pPr>
        <w:spacing w:line="480" w:lineRule="auto" w:after="160"/>
        <w:jc w:val="left"/>
      </w:pPr>
      <w:r>
        <w:rPr>
          <w:rFonts w:ascii="Times New Roman" w:hAnsi="Times New Roman" w:eastAsia="Times New Roman"/>
          <w:sz w:val="24"/>
        </w:rPr>
        <w:t>Provincial-level approvals (省审) in 2021–2022, pooling Consortium and Green under a single new-channel indicator against Unified (cell fixed effect: year × trial group, without the check dimension, because provincial trial-group labels are far more heterogeneous), give a raw sample of n = 495 (new-channel 143, Unified 352). None of the four headline outcomes replicates as significant in the same direction and comparable magnitude as the national result, with one important exception. Head-rice percentage: β = −3.354, p = 0.53, n = 280, MDE = 14.99 pp against a national effect of −1.844 pp — severely underpowered. Chalkiness degree: β = −0.549, p = 0.24, n = 256, MDE = 1.31 pp against a national effect of +1.108 pp — underpowered (and the point estimate's sign is even reversed, though the MDE analysis shows this reversal is not informative). Regional-trial yield gain: β = −0.994, p = 0.62, n = 205, MDE = 5.62 pp against +0.554 pp nationally — underpowered.</w:t>
      </w:r>
    </w:p>
    <w:p>
      <w:pPr>
        <w:spacing w:line="480" w:lineRule="auto" w:after="160"/>
        <w:jc w:val="left"/>
      </w:pPr>
      <w:r>
        <w:rPr>
          <w:rFonts w:ascii="Times New Roman" w:hAnsi="Times New Roman" w:eastAsia="Times New Roman"/>
          <w:b/>
          <w:sz w:val="24"/>
        </w:rPr>
        <w:t>The stated-quality-grade coefficient is the one exception, and it is a new finding from this session's analysis that must be reported rather than omitted:</w:t>
      </w:r>
      <w:r>
        <w:rPr>
          <w:rFonts w:ascii="Times New Roman" w:hAnsi="Times New Roman" w:eastAsia="Times New Roman"/>
          <w:sz w:val="24"/>
        </w:rPr>
        <w:t xml:space="preserve"> at n = 495 the provincial sample is adequately powered for this outcome (MDE = 0.41, smaller than the national coefficient's magnitude), and it returns a significant, larger-magnitude, same-direction (negative) coefficient: β = −0.468, p = 0.001. This is the one provincial result that is not simply underpowered, and it is read as strengthening, rather than qualifying, the stated-grade half of the headline result — provincial-level approvals show the same self-organised-channel deficit in whether a quality grade is stated at all, and here the sample has the power to say so with confidence. The correct overall reading of R11 is therefore two-part: for head-rice, chalkiness and yield gain, the national-level effect size is </w:t>
      </w:r>
      <w:r>
        <w:rPr>
          <w:rFonts w:ascii="Times New Roman" w:hAnsi="Times New Roman" w:eastAsia="Times New Roman"/>
          <w:b/>
          <w:sz w:val="24"/>
        </w:rPr>
        <w:t>statistically undecidable</w:t>
      </w:r>
      <w:r>
        <w:rPr>
          <w:rFonts w:ascii="Times New Roman" w:hAnsi="Times New Roman" w:eastAsia="Times New Roman"/>
          <w:sz w:val="24"/>
        </w:rPr>
        <w:t xml:space="preserve"> at the provincial level, not disproved by it; for the stated-grade indicator, the provincial result is adequately powered and corroborates the national finding.</w:t>
      </w:r>
    </w:p>
    <w:p>
      <w:pPr>
        <w:spacing w:line="480" w:lineRule="auto" w:after="160"/>
        <w:jc w:val="left"/>
      </w:pPr>
      <w:r>
        <w:rPr>
          <w:rFonts w:ascii="Times New Roman" w:hAnsi="Times New Roman" w:eastAsia="Times New Roman"/>
          <w:sz w:val="24"/>
        </w:rPr>
        <w:t>We also note, in the interest of full transparency, that the provincial sample size and coefficient values obtained in this run (n = 495, Unified 352) differ from an n = 452 (Unified 318) figure and an earlier head-rice coefficient of −0.134 (p = 0.93) recorded in prior planning notes. The "143" new-channel count matches exactly across both runs; we were unable to exactly reconstruct the earlier run's cell or filter specification from the planning documentation alone. The direction of the finding — provincial-level non-significance for head-rice, chalkiness and yield gain — is identical in both runs, which is what matters for this check's role in the argument, but the discrepancy in point estimates is reported here as an open item rather than silently reconciled.</w:t>
      </w:r>
    </w:p>
    <w:p>
      <w:pPr>
        <w:keepNext/>
        <w:spacing w:line="480" w:lineRule="auto" w:after="120"/>
        <w:jc w:val="left"/>
      </w:pPr>
      <w:r>
        <w:rPr>
          <w:rFonts w:ascii="Times New Roman" w:hAnsi="Times New Roman" w:eastAsia="Times New Roman"/>
          <w:b/>
          <w:sz w:val="24"/>
        </w:rPr>
        <w:t>6.5 A chained-check genetic-gain scale as an alternative yield metric (R15)</w:t>
      </w:r>
    </w:p>
    <w:p>
      <w:pPr>
        <w:spacing w:line="480" w:lineRule="auto" w:after="160"/>
        <w:jc w:val="left"/>
      </w:pPr>
      <w:r>
        <w:rPr>
          <w:rFonts w:ascii="Times New Roman" w:hAnsi="Times New Roman" w:eastAsia="Times New Roman"/>
          <w:sz w:val="24"/>
        </w:rPr>
        <w:t>The reported "percentage gain over the named check" (Section 5.2–5.3) is comparable only within the same trial-year-check cell, so it cannot on its own establish whether the self-reported yield advantage reflects a stable feature of the underlying entrants or an artefact of a shifting comparison scale across years. As a robustness check only, we construct a chained-check index in the spirit of the established genetic-gain literature that separates genetic from non-genetic sources of trend in official variety trials (Piepho et al., 2014; Laidig et al., 2014; Mackay et al., 2011). From the structure of China's approval announcements — mean yield, the named check variety, and the percentage gain over it — we back-solve an implied check-variety yield for each record and link records sharing the same check across adjacent approval years into a step-wise check ladder; where the same check recurs, the discrepancy between independently back-solved yields is our internal-consistency diagnostic, and the year-to-year change along the ladder is our chained estimate of realised genetic gain (Piepho and Laidig, 2024).</w:t>
      </w:r>
    </w:p>
    <w:p>
      <w:pPr>
        <w:spacing w:line="480" w:lineRule="auto" w:after="160"/>
        <w:jc w:val="left"/>
      </w:pPr>
      <w:r>
        <w:rPr>
          <w:rFonts w:ascii="Times New Roman" w:hAnsi="Times New Roman" w:eastAsia="Times New Roman"/>
          <w:sz w:val="24"/>
        </w:rPr>
        <w:t>We report the diagnostics in full, including those that argue against over-reading this method on Chinese approval-bulletin data. Within the main analysis layer, the coefficient of variation (CV) of the back-solved check yield across records sharing the same check-year cell has a median of 1.56% (90th percentile 3.32%, maximum 5.40%). An independent re-verification using only the fields available in the national rice dataset (</w:t>
      </w:r>
      <w:r>
        <w:rPr>
          <w:rFonts w:ascii="Times New Roman" w:hAnsi="Times New Roman" w:eastAsia="Times New Roman"/>
          <w:sz w:val="24"/>
        </w:rPr>
        <w:t>yield_2yr_kg_mu</w:t>
      </w:r>
      <w:r>
        <w:rPr>
          <w:rFonts w:ascii="Times New Roman" w:hAnsi="Times New Roman" w:eastAsia="Times New Roman"/>
          <w:sz w:val="24"/>
        </w:rPr>
        <w:t xml:space="preserve">, </w:t>
      </w:r>
      <w:r>
        <w:rPr>
          <w:rFonts w:ascii="Times New Roman" w:hAnsi="Times New Roman" w:eastAsia="Times New Roman"/>
          <w:sz w:val="24"/>
        </w:rPr>
        <w:t>yield_gain_pct</w:t>
      </w:r>
      <w:r>
        <w:rPr>
          <w:rFonts w:ascii="Times New Roman" w:hAnsi="Times New Roman" w:eastAsia="Times New Roman"/>
          <w:sz w:val="24"/>
        </w:rPr>
        <w:t xml:space="preserve">, </w:t>
      </w:r>
      <w:r>
        <w:rPr>
          <w:rFonts w:ascii="Times New Roman" w:hAnsi="Times New Roman" w:eastAsia="Times New Roman"/>
          <w:sz w:val="24"/>
        </w:rPr>
        <w:t>ck</w:t>
      </w:r>
      <w:r>
        <w:rPr>
          <w:rFonts w:ascii="Times New Roman" w:hAnsi="Times New Roman" w:eastAsia="Times New Roman"/>
          <w:sz w:val="24"/>
        </w:rPr>
        <w:t xml:space="preserve">, </w:t>
      </w:r>
      <w:r>
        <w:rPr>
          <w:rFonts w:ascii="Times New Roman" w:hAnsi="Times New Roman" w:eastAsia="Times New Roman"/>
          <w:sz w:val="24"/>
        </w:rPr>
        <w:t>approval_year</w:t>
      </w:r>
      <w:r>
        <w:rPr>
          <w:rFonts w:ascii="Times New Roman" w:hAnsi="Times New Roman" w:eastAsia="Times New Roman"/>
          <w:sz w:val="24"/>
        </w:rPr>
        <w:t xml:space="preserve">, </w:t>
      </w:r>
      <w:r>
        <w:rPr>
          <w:rFonts w:ascii="Times New Roman" w:hAnsi="Times New Roman" w:eastAsia="Times New Roman"/>
          <w:sz w:val="24"/>
        </w:rPr>
        <w:t>region_group</w:t>
      </w:r>
      <w:r>
        <w:rPr>
          <w:rFonts w:ascii="Times New Roman" w:hAnsi="Times New Roman" w:eastAsia="Times New Roman"/>
          <w:sz w:val="24"/>
        </w:rPr>
        <w:t>) reproduces the same order of magnitude — median CV of 0.9%–2.4%, 90th percentile roughly 3%–3.6% — but not the reported figures digit-for-digit, since the exact cell construction and backfilled gain variable of the original pipeline cannot be fully recovered from this table alone; we report this discrepancy rather than silently adopting the closer-looking number. A key step in the chain, checked directly against the underlying records, moves by +3.14%, not the +7.04% implied by the decomposition's structural identity — a gap large enough to discourage taking the point estimate at face value. Depending on which years and checks enter the chain, the implied genetic-gain rate swings between 0.25% and 0.50% per year — a two-fold range from a method whose appeal is supposed to be a single defensible number. Finally, because the chain rests on only six distinct check varieties (G = 6), clustering standard errors at the check level yields an effective degrees of freedom of about 3, inflating the standard errors roughly six-fold relative to the naive, unclustered calculation.</w:t>
      </w:r>
    </w:p>
    <w:p>
      <w:pPr>
        <w:spacing w:line="480" w:lineRule="auto" w:after="160"/>
        <w:jc w:val="left"/>
      </w:pPr>
      <w:r>
        <w:rPr>
          <w:rFonts w:ascii="Times New Roman" w:hAnsi="Times New Roman" w:eastAsia="Times New Roman"/>
          <w:sz w:val="24"/>
        </w:rPr>
        <w:t>Each of these four problems is a known property of check-based genetic-gain estimation, not a defect specific to this dataset: Mackay et al. (2011) and Laidig et al. (2014) both document that estimates are sensitive to the trial series used; Raymond et al. (2023) show directly that check-variety yields are not stable over time and that genetic-gain estimates are highly sensitive to which long-term checks are chosen; and Piepho and Laidig (2024) formalise why a low check-replacement rate and multiple checks per cycle are needed for the chain to be informative — conditions that Chinese approval bulletins, with their small number of checks and irregular replacement, do not meet. Given this, we draw only the following conclusion: even when yield performance is re-expressed on a chained, cross-year check scale rather than the raw within-year percentage-over-check figure, the direction of the applicant-self-reported yield advantage does not reverse, but the resulting interval is too wide to support any precise claim about its magnitude — the chained-scale evidence is inconclusive, not confirmatory or disconfirmatory, of the point estimate reported in Section 5.</w:t>
      </w:r>
    </w:p>
    <w:p>
      <w:pPr>
        <w:keepNext/>
        <w:spacing w:line="480" w:lineRule="auto" w:after="120"/>
        <w:jc w:val="left"/>
      </w:pPr>
      <w:r>
        <w:rPr>
          <w:rFonts w:ascii="Times New Roman" w:hAnsi="Times New Roman" w:eastAsia="Times New Roman"/>
          <w:b/>
          <w:sz w:val="24"/>
        </w:rPr>
        <w:t xml:space="preserve">6.6 </w:t>
      </w:r>
      <w:r>
        <w:rPr>
          <w:rFonts w:ascii="Times New Roman" w:hAnsi="Times New Roman" w:eastAsia="Times New Roman"/>
          <w:b/>
          <w:sz w:val="24"/>
        </w:rPr>
        <w:t>quality_stated</w:t>
      </w:r>
      <w:r>
        <w:rPr>
          <w:rFonts w:ascii="Times New Roman" w:hAnsi="Times New Roman" w:eastAsia="Times New Roman"/>
          <w:b/>
          <w:sz w:val="24"/>
        </w:rPr>
        <w:t xml:space="preserve"> under disclosure-behaviour controls (R16)</w:t>
      </w:r>
    </w:p>
    <w:p>
      <w:pPr>
        <w:spacing w:line="480" w:lineRule="auto" w:after="160"/>
        <w:jc w:val="left"/>
      </w:pPr>
      <w:r>
        <w:rPr>
          <w:rFonts w:ascii="Times New Roman" w:hAnsi="Times New Roman" w:eastAsia="Times New Roman"/>
          <w:sz w:val="24"/>
        </w:rPr>
        <w:t xml:space="preserve">Section 3.3 flags </w:t>
      </w:r>
      <w:r>
        <w:rPr>
          <w:rFonts w:ascii="Times New Roman" w:hAnsi="Times New Roman" w:eastAsia="Times New Roman"/>
          <w:sz w:val="24"/>
        </w:rPr>
        <w:t>quality_stated</w:t>
      </w:r>
      <w:r>
        <w:rPr>
          <w:rFonts w:ascii="Times New Roman" w:hAnsi="Times New Roman" w:eastAsia="Times New Roman"/>
          <w:sz w:val="24"/>
        </w:rPr>
        <w:t xml:space="preserve"> as mechanically close to a missingness indicator for the underlying grade field, and states that we report it as measuring </w:t>
      </w:r>
      <w:r>
        <w:rPr>
          <w:rFonts w:ascii="Times New Roman" w:hAnsi="Times New Roman" w:eastAsia="Times New Roman"/>
          <w:i/>
          <w:sz w:val="24"/>
        </w:rPr>
        <w:t>announcement disclosure behaviour</w:t>
      </w:r>
      <w:r>
        <w:rPr>
          <w:rFonts w:ascii="Times New Roman" w:hAnsi="Times New Roman" w:eastAsia="Times New Roman"/>
          <w:sz w:val="24"/>
        </w:rPr>
        <w:t xml:space="preserve"> rather than grain quality itself. This check asks directly whether the Arm-1 coefficient on </w:t>
      </w:r>
      <w:r>
        <w:rPr>
          <w:rFonts w:ascii="Times New Roman" w:hAnsi="Times New Roman" w:eastAsia="Times New Roman"/>
          <w:sz w:val="24"/>
        </w:rPr>
        <w:t>quality_stated</w:t>
      </w:r>
      <w:r>
        <w:rPr>
          <w:rFonts w:ascii="Times New Roman" w:hAnsi="Times New Roman" w:eastAsia="Times New Roman"/>
          <w:sz w:val="24"/>
        </w:rPr>
        <w:t xml:space="preserve"> is an artefact of some announcements simply being shorter or thinner on detail: we re-estimate the main Arm-1 specification adding two controls, the announcement's raw text length (</w:t>
      </w:r>
      <w:r>
        <w:rPr>
          <w:rFonts w:ascii="Times New Roman" w:hAnsi="Times New Roman" w:eastAsia="Times New Roman"/>
          <w:sz w:val="24"/>
        </w:rPr>
        <w:t>source_text_len</w:t>
      </w:r>
      <w:r>
        <w:rPr>
          <w:rFonts w:ascii="Times New Roman" w:hAnsi="Times New Roman" w:eastAsia="Times New Roman"/>
          <w:sz w:val="24"/>
        </w:rPr>
        <w:t xml:space="preserve">) and the count of non-missing fields among the paper's other 16 outcome variables, on the same sample (n = 750, cluster(cell, G = 10)). The baseline coefficient is β = −0.122 (p = 0.0075); with both controls added it is β = −0.146 (p = 0.0005) — the coefficient survives and strengthens in both magnitude and significance, consistent with the direction anticipated in §3.3, though the specific magnitude realised here (−0.146) differs from a −0.169 figure recorded in an earlier planning-stage note and should be read as the number this check actually produces on the data, not as confirmation of that earlier figure (script: </w:t>
      </w:r>
      <w:r>
        <w:rPr>
          <w:rFonts w:ascii="Times New Roman" w:hAnsi="Times New Roman" w:eastAsia="Times New Roman"/>
          <w:sz w:val="24"/>
        </w:rPr>
        <w:t>scripts/analysis/robustness_quality_stated_controls.py</w:t>
      </w:r>
      <w:r>
        <w:rPr>
          <w:rFonts w:ascii="Times New Roman" w:hAnsi="Times New Roman" w:eastAsia="Times New Roman"/>
          <w:sz w:val="24"/>
        </w:rPr>
        <w:t>). This rules out the simplest version of the "shorter announcements just say less" alternative account of the stated-grade gap.</w:t>
      </w:r>
    </w:p>
    <w:p>
      <w:pPr>
        <w:keepNext/>
        <w:spacing w:line="480" w:lineRule="auto" w:after="120"/>
        <w:jc w:val="left"/>
      </w:pPr>
      <w:r>
        <w:rPr>
          <w:rFonts w:ascii="Times New Roman" w:hAnsi="Times New Roman" w:eastAsia="Times New Roman"/>
          <w:b/>
          <w:sz w:val="24"/>
        </w:rPr>
        <w:t>6.7 Robustness matrix</w:t>
      </w:r>
    </w:p>
    <w:p>
      <w:pPr>
        <w:spacing w:line="276" w:lineRule="auto" w:after="160"/>
        <w:jc w:val="left"/>
      </w:pPr>
      <w:r>
        <w:rPr>
          <w:rFonts w:ascii="Times New Roman" w:hAnsi="Times New Roman" w:eastAsia="Times New Roman"/>
          <w:sz w:val="24"/>
        </w:rPr>
        <w:t>Table 4 collects all sixteen checks (R1–R16) in a single matrix, including the two that qualify a headline result (R7's Manski bound on the top-two quality grade; R11's mostly-underpowered but partly-corroborating provincial replication) and the one that is genuinely underpowered rather than informative either way (R9's within-applicant subsample). Read together with the year-by-year evidence in Section 5.5, this paper's central identification claim — a third-party-assayed grain-quality deficit paired with an unchanged or higher applicant-measured yield performance among self-organised-trial entrants — survives every check that has adequate statistical power to test it (R1–R6, R8, R10, R12–R14, R16), is not reproduced by a pre-reform placebo that shares no real channel variation (R13), and is qualified rather than contradicted by the two checks with genuinely limited power (R9, and three of four outcomes in R11). The one secondary result that does not survive worst-case bounds (top-two quality grade, R7) is explicitly downgraded rather than retained as headline evidence, and the one alternative yield metric explored as an additional check (the chained-check ladder, R15) returns an inconclusive, wide-interval result that neither strengthens nor weakens the main yield-side finding.</w:t>
      </w:r>
    </w:p>
    <w:p>
      <w:pPr>
        <w:keepNext/>
        <w:spacing w:line="480" w:lineRule="auto" w:after="120"/>
        <w:jc w:val="left"/>
      </w:pPr>
      <w:r>
        <w:rPr>
          <w:rFonts w:ascii="Times New Roman" w:hAnsi="Times New Roman" w:eastAsia="Times New Roman"/>
          <w:b/>
          <w:sz w:val="26"/>
        </w:rPr>
        <w:t>7. Mechanism: Winall Hi-Tech Seed as a counter-case</w:t>
      </w:r>
    </w:p>
    <w:p>
      <w:pPr>
        <w:spacing w:line="480" w:lineRule="auto" w:after="160"/>
        <w:jc w:val="left"/>
      </w:pPr>
      <w:r>
        <w:rPr>
          <w:rFonts w:ascii="Times New Roman" w:hAnsi="Times New Roman" w:eastAsia="Times New Roman"/>
          <w:i/>
          <w:sz w:val="24"/>
        </w:rPr>
        <w:t>Winall enters this paper as a counter-case that rules out an alternative explanation, not as a source of the main result.</w:t>
      </w:r>
    </w:p>
    <w:p>
      <w:pPr>
        <w:spacing w:line="480" w:lineRule="auto" w:after="160"/>
        <w:jc w:val="left"/>
      </w:pPr>
      <w:r>
        <w:rPr>
          <w:rFonts w:ascii="Times New Roman" w:hAnsi="Times New Roman" w:eastAsia="Times New Roman"/>
          <w:sz w:val="24"/>
        </w:rPr>
        <w:t xml:space="preserve">The sign separation reported in Sections 5–6 is consistent with measurement discretion in self-organised trials, but it is equally consistent with a cruder alternative: perhaps seed-marketing enterprises are simply less careful breeders than public research institutes, and the new channels happen to be where enterprises concentrate. If so, the quality gap would reflect </w:t>
      </w:r>
      <w:r>
        <w:rPr>
          <w:rFonts w:ascii="Times New Roman" w:hAnsi="Times New Roman" w:eastAsia="Times New Roman"/>
          <w:i/>
          <w:sz w:val="24"/>
        </w:rPr>
        <w:t>who</w:t>
      </w:r>
      <w:r>
        <w:rPr>
          <w:rFonts w:ascii="Times New Roman" w:hAnsi="Times New Roman" w:eastAsia="Times New Roman"/>
          <w:sz w:val="24"/>
        </w:rPr>
        <w:t xml:space="preserve"> enters through each door, not </w:t>
      </w:r>
      <w:r>
        <w:rPr>
          <w:rFonts w:ascii="Times New Roman" w:hAnsi="Times New Roman" w:eastAsia="Times New Roman"/>
          <w:i/>
          <w:sz w:val="24"/>
        </w:rPr>
        <w:t>how</w:t>
      </w:r>
      <w:r>
        <w:rPr>
          <w:rFonts w:ascii="Times New Roman" w:hAnsi="Times New Roman" w:eastAsia="Times New Roman"/>
          <w:sz w:val="24"/>
        </w:rPr>
        <w:t xml:space="preserve"> the door is measured. Anhui Winall Hi-Tech Seed Co. lets us test this alternative directly. Winall is the single largest beneficiary of the reform period among integrated seed enterprises — its share of national approvals in the two major indica trial groups rose from 0–12% in 2005–2015 to 23–31% in 2022–2024 — and it is a certified breeding-production-extension enterprise and a Ministry of Agriculture and Rural Affairs "strong-advantage" seed company, the profile the green channel was designed to serve. If enterprises are simply the more careless applicants, Winall should be the entrant that looks </w:t>
      </w:r>
      <w:r>
        <w:rPr>
          <w:rFonts w:ascii="Times New Roman" w:hAnsi="Times New Roman" w:eastAsia="Times New Roman"/>
          <w:i/>
          <w:sz w:val="24"/>
        </w:rPr>
        <w:t>most</w:t>
      </w:r>
      <w:r>
        <w:rPr>
          <w:rFonts w:ascii="Times New Roman" w:hAnsi="Times New Roman" w:eastAsia="Times New Roman"/>
          <w:sz w:val="24"/>
        </w:rPr>
        <w:t xml:space="preserve"> like the new channel. Winall's own contract-farming business is separately the subject of Xie et al. (2023), which models the seed enterprise's choice of contract design for its order-grain quality incentives with a three-tier supply-chain game and a numerical example, but at the firm level and without any variety-level data; this section's own analysis is confined to the variety-level channel-choice and within-channel positioning evidence reported below, and does not draw on or reproduce Xie et al.'s firm-level contract data.</w:t>
      </w:r>
    </w:p>
    <w:p>
      <w:pPr>
        <w:spacing w:line="480" w:lineRule="auto" w:after="160"/>
        <w:jc w:val="left"/>
      </w:pPr>
      <w:r>
        <w:rPr>
          <w:rFonts w:ascii="Times New Roman" w:hAnsi="Times New Roman" w:eastAsia="Times New Roman"/>
          <w:sz w:val="24"/>
        </w:rPr>
        <w:t>It is not. Restricting to national approvals in 2017 and 2019–2022, Winall-linked records (n = 166) used the unified channel 60.2% of the time, against 47.5% for all other applicants (n = 1,101) (Table 5; Fig. 6a). A logit for channel choice, conditioning on year×trial-group fixed effects, confirms this is not an artefact of when or where Winall applied: being Winall-linked is associated with roughly half the odds of entering through a new channel (α = −0.728, SE = 0.182, p &lt; 0.0001, odds ratio 0.483; robust in magnitude and sign, though somewhat attenuated, under a no-fixed-effects specification and a two-major-trial-group-only sample). Within the unified channel, Winall's own entrants also outperform other unified entrants on the same third-party-assayed traits that define the main result: head-rice percentage +2.212 points, probability of a stated quality grade +9.8 points, chalkiness −0.692 points (all p &lt; 0.001) (Table 5; Fig. 6b). This within-channel advantage is not a general Winall effect, however: repeating the same comparison inside the new-channel subsample, all three coefficients lose significance (p &gt; 0.18 throughout), and the point estimates move toward zero or reverse sign (Fig. 6b). A firm that were simply better at breeding across the board should retain some of this edge wherever its varieties enter; Winall's edge is specific to the channel in which quality is measured by the same third party as everyone else.</w:t>
      </w:r>
    </w:p>
    <w:p>
      <w:pPr>
        <w:spacing w:line="480" w:lineRule="auto" w:after="160"/>
        <w:jc w:val="left"/>
      </w:pPr>
      <w:r>
        <w:rPr>
          <w:rFonts w:ascii="Times New Roman" w:hAnsi="Times New Roman" w:eastAsia="Times New Roman"/>
          <w:sz w:val="24"/>
        </w:rPr>
        <w:t>Dropping every Winall-linked record from the main consortium-versus-unified comparison leaves the headline result intact (Section 6.1, R10; Table 4): head-rice percentage −1.368 pp (p = 0.006, n = 602), chalkiness degree +0.940 pp (p = 0.034, n = 599), and stated quality grade −0.104 (p = 0.011, n = 609). The main result does not depend on this firm.</w:t>
      </w:r>
    </w:p>
    <w:p>
      <w:pPr>
        <w:spacing w:line="480" w:lineRule="auto" w:after="160"/>
        <w:jc w:val="left"/>
      </w:pPr>
      <w:r>
        <w:rPr>
          <w:rFonts w:ascii="Times New Roman" w:hAnsi="Times New Roman" w:eastAsia="Times New Roman"/>
          <w:sz w:val="24"/>
        </w:rPr>
        <w:t xml:space="preserve">As descriptive background — not as a conclusion about which type of institution breeds better rice — applicants labelled "public research institute" show higher regional-trial yield (+4.179 kg/mu, SE 1.893, p = 0.027, n = 408) and thousand-grain weight (+1.193 g, SE 0.402, p = 0.003, n = 411) than enterprise applicants, alongside directionally higher chalkiness (+1.010, SE 0.614, p = 0.100, n = 411) and lower head-rice percentage (−1.220, SE 0.673, p = 0.070, n = 411) (Supplementary Table S1). This division of labour runs in the opposite direction from what an "enterprises are careless" account would predict for chalkiness and head-rice, and is silent on causation in either direction; it is reported here only as a background fact, not evidence for or against either institution type. We flag one open item rather than resolving it silently: an earlier planning-stage note for this comparison anticipated a sample of n = 632 records, whereas the regression actually run on </w:t>
      </w:r>
      <w:r>
        <w:rPr>
          <w:rFonts w:ascii="Times New Roman" w:hAnsi="Times New Roman" w:eastAsia="Times New Roman"/>
          <w:sz w:val="24"/>
        </w:rPr>
        <w:t>analysis_rice_channel.pkl</w:t>
      </w:r>
      <w:r>
        <w:rPr>
          <w:rFonts w:ascii="Times New Roman" w:hAnsi="Times New Roman" w:eastAsia="Times New Roman"/>
          <w:sz w:val="24"/>
        </w:rPr>
        <w:t xml:space="preserve"> for Supplementary Table S1 (Table 7 in the pre-submission working draft) returns n = 408–411 depending on outcome; we were unable to reconstruct the exact filter or sample-construction choice behind the n = 632 figure from the materials available, and record this as an item for the author team to verify against the original coding before submission, rather than adjusting the reported n to match the earlier planning note.</w:t>
      </w:r>
    </w:p>
    <w:p>
      <w:pPr>
        <w:spacing w:line="480" w:lineRule="auto" w:after="160"/>
        <w:jc w:val="left"/>
      </w:pPr>
      <w:r>
        <w:rPr>
          <w:rFonts w:ascii="Times New Roman" w:hAnsi="Times New Roman" w:eastAsia="Times New Roman"/>
          <w:sz w:val="24"/>
        </w:rPr>
        <w:t xml:space="preserve">Two scope limits bound what this section argues. First, the comparison is Winall against </w:t>
      </w:r>
      <w:r>
        <w:rPr>
          <w:rFonts w:ascii="Times New Roman" w:hAnsi="Times New Roman" w:eastAsia="Times New Roman"/>
          <w:i/>
          <w:sz w:val="24"/>
        </w:rPr>
        <w:t>all</w:t>
      </w:r>
      <w:r>
        <w:rPr>
          <w:rFonts w:ascii="Times New Roman" w:hAnsi="Times New Roman" w:eastAsia="Times New Roman"/>
          <w:sz w:val="24"/>
        </w:rPr>
        <w:t xml:space="preserve"> other applicants pooled together, not against other vertically integrated enterprises specifically; it makes no claim, and should not be read as making one, about how firms rank by degree of integration. Second, "identification argument" is the operative phrase throughout: Winall's channel choice and within-channel positioning rule out one alternative explanation for the sign separation reported elsewhere in the paper — they are not evidence of a causal mechanism linking integration, channel choice, or trial outcome.</w:t>
      </w:r>
    </w:p>
    <w:p>
      <w:pPr>
        <w:keepNext/>
        <w:spacing w:line="480" w:lineRule="auto" w:after="120"/>
        <w:jc w:val="left"/>
      </w:pPr>
      <w:r>
        <w:rPr>
          <w:rFonts w:ascii="Times New Roman" w:hAnsi="Times New Roman" w:eastAsia="Times New Roman"/>
          <w:b/>
          <w:sz w:val="26"/>
        </w:rPr>
        <w:t>8. Discussion</w:t>
      </w:r>
    </w:p>
    <w:p>
      <w:pPr>
        <w:keepNext/>
        <w:spacing w:line="480" w:lineRule="auto" w:after="120"/>
        <w:jc w:val="left"/>
      </w:pPr>
      <w:r>
        <w:rPr>
          <w:rFonts w:ascii="Times New Roman" w:hAnsi="Times New Roman" w:eastAsia="Times New Roman"/>
          <w:b/>
          <w:sz w:val="24"/>
        </w:rPr>
        <w:t>8.1 Contribution to the self-certification literature</w:t>
      </w:r>
    </w:p>
    <w:p>
      <w:pPr>
        <w:spacing w:line="480" w:lineRule="auto" w:after="160"/>
        <w:jc w:val="left"/>
      </w:pPr>
      <w:r>
        <w:rPr>
          <w:rFonts w:ascii="Times New Roman" w:hAnsi="Times New Roman" w:eastAsia="Times New Roman"/>
          <w:sz w:val="24"/>
        </w:rPr>
        <w:t xml:space="preserve">Duflo et al. (2013) randomly assigned polluting Indian plants to regulator-paid versus plant-paid auditors and observed the </w:t>
      </w:r>
      <w:r>
        <w:rPr>
          <w:rFonts w:ascii="Times New Roman" w:hAnsi="Times New Roman" w:eastAsia="Times New Roman"/>
          <w:i/>
          <w:sz w:val="24"/>
        </w:rPr>
        <w:t>same</w:t>
      </w:r>
      <w:r>
        <w:rPr>
          <w:rFonts w:ascii="Times New Roman" w:hAnsi="Times New Roman" w:eastAsia="Times New Roman"/>
          <w:sz w:val="24"/>
        </w:rPr>
        <w:t xml:space="preserve"> pollution readings diverge systematically — a randomised, same-attribute design this paper cannot match. We observe no randomisation of channel assignment and have no same-attribute comparison; we instead have two </w:t>
      </w:r>
      <w:r>
        <w:rPr>
          <w:rFonts w:ascii="Times New Roman" w:hAnsi="Times New Roman" w:eastAsia="Times New Roman"/>
          <w:i/>
          <w:sz w:val="24"/>
        </w:rPr>
        <w:t>different</w:t>
      </w:r>
      <w:r>
        <w:rPr>
          <w:rFonts w:ascii="Times New Roman" w:hAnsi="Times New Roman" w:eastAsia="Times New Roman"/>
          <w:sz w:val="24"/>
        </w:rPr>
        <w:t xml:space="preserve"> attributes, third-party-assayed grain quality and applicant-measured agronomic performance, coexisting in the same approval file. This is a weaker design for the same underlying question — does control over measurement shape what gets reported — but it offers scale and duration a bespoke audit experiment cannot: every one of 2,386 national approval records over six years carries this same self-organised/third-party split.</w:t>
      </w:r>
    </w:p>
    <w:p>
      <w:pPr>
        <w:spacing w:line="480" w:lineRule="auto" w:after="160"/>
        <w:jc w:val="left"/>
      </w:pPr>
      <w:r>
        <w:rPr>
          <w:rFonts w:ascii="Times New Roman" w:hAnsi="Times New Roman" w:eastAsia="Times New Roman"/>
          <w:sz w:val="24"/>
        </w:rPr>
        <w:t>Bar and Zheng (2019) show that firms endogenously choose certifiers on the basis of geographic proximity and a certifier's history of lenient grading — a self-selection channel our design cannot close off, and the closest existing analogue to the "channel self-selection" alternative flagged throughout this paper (§4; R9/R11), which our within-applicant test lacks the power to rule out. Qiu et al. (2016) offer the theoretical framework closest to this paper's own "who measures what" question, from the demand side: Chinese maize farmers' seed choices are shaped by asymmetric information between sellers and buyers, who rely on imperfect quality signals because they cannot observe quality directly. Our paper documents an analogous asymmetry one stage upstream, at variety approval rather than farmer purchase — the two papers describe the same information problem recurring at different links of the same seed-supply chain.</w:t>
      </w:r>
    </w:p>
    <w:p>
      <w:pPr>
        <w:spacing w:line="480" w:lineRule="auto" w:after="160"/>
        <w:jc w:val="left"/>
      </w:pPr>
      <w:r>
        <w:rPr>
          <w:rFonts w:ascii="Times New Roman" w:hAnsi="Times New Roman" w:eastAsia="Times New Roman"/>
          <w:sz w:val="24"/>
        </w:rPr>
        <w:t xml:space="preserve">Grennan and Town (2020) compare medical-device outcomes </w:t>
      </w:r>
      <w:r>
        <w:rPr>
          <w:rFonts w:ascii="Times New Roman" w:hAnsi="Times New Roman" w:eastAsia="Times New Roman"/>
          <w:i/>
          <w:sz w:val="24"/>
        </w:rPr>
        <w:t>across</w:t>
      </w:r>
      <w:r>
        <w:rPr>
          <w:rFonts w:ascii="Times New Roman" w:hAnsi="Times New Roman" w:eastAsia="Times New Roman"/>
          <w:sz w:val="24"/>
        </w:rPr>
        <w:t xml:space="preserve"> two regulatory systems (EU, US); our comparison is </w:t>
      </w:r>
      <w:r>
        <w:rPr>
          <w:rFonts w:ascii="Times New Roman" w:hAnsi="Times New Roman" w:eastAsia="Times New Roman"/>
          <w:i/>
          <w:sz w:val="24"/>
        </w:rPr>
        <w:t>within</w:t>
      </w:r>
      <w:r>
        <w:rPr>
          <w:rFonts w:ascii="Times New Roman" w:hAnsi="Times New Roman" w:eastAsia="Times New Roman"/>
          <w:sz w:val="24"/>
        </w:rPr>
        <w:t xml:space="preserve"> one system, across two trial pathways a single reform created side by side — narrower but more tightly controlled, since year, ecology and check are held fixed by construction. Renckens and Auld (2022) show private regulatory audits vary in efficiency with auditor incentives and monitoring intensity, a mechanism consistent with, though not directly tested by, our finding that the identification argument rests on where the third party sits relative to the applicant, not on auditor effort per se.</w:t>
      </w:r>
    </w:p>
    <w:p>
      <w:pPr>
        <w:keepNext/>
        <w:spacing w:line="480" w:lineRule="auto" w:after="120"/>
        <w:jc w:val="left"/>
      </w:pPr>
      <w:r>
        <w:rPr>
          <w:rFonts w:ascii="Times New Roman" w:hAnsi="Times New Roman" w:eastAsia="Times New Roman"/>
          <w:b/>
          <w:sz w:val="24"/>
        </w:rPr>
        <w:t>8.2 Is the identified variation disappearing? A qualified answer</w:t>
      </w:r>
    </w:p>
    <w:p>
      <w:pPr>
        <w:spacing w:line="480" w:lineRule="auto" w:after="160"/>
        <w:jc w:val="left"/>
      </w:pPr>
      <w:r>
        <w:rPr>
          <w:rFonts w:ascii="Times New Roman" w:hAnsi="Times New Roman" w:eastAsia="Times New Roman"/>
          <w:sz w:val="24"/>
        </w:rPr>
        <w:t>The Ministry of Agriculture and Rural Affairs has, since 2022, conducted a special rectification campaign targeting the green channel and consortium trials, and this raises the question of whether the gap this paper documents is a closing window rather than a stable feature of the system. The answer is outcome-specific, not uniform, and the two must not be conflated. For chalkiness, a year-by-year re-estimation of the channel gap shows a clear, roughly monotonic decline — from +2.71 percentage points in 2017 to +0.77 in 2022, falling through +1.63, +0.92 and +0.89 in the intervening years — consistent with the gap narrowing as the reform matures and regulatory attention increases. The probability of a stated quality grade shows a weaker, noisier version of the same pattern (largest gap in 2017, smaller and non-monotonic thereafter, non-significant in two of the four post-2017 years). Head-rice percentage does not follow this pattern at all: the year-by-year gap does not narrow over 2019–2022 and if anything widens in the years with the largest samples (−2.63, −1.48 and −3.03 points in 2020, 2021 and 2022), remaining negative and mostly significant throughout. We therefore do not claim that "the identified variation is disappearing" as a blanket statement about the paper's outcomes; that claim holds for chalkiness, holds more weakly for the stated-grade indicator, and does not hold for head-rice percentage, the outcome with the cleanest and most consistent estimate in the paper. Whatever a closing window means for policy, it does not yet mean the head-rice gap has closed, and coverage of official announcements falls sharply after 2022 (85 of an expected 409 records in 2023, 61 of 405 in 2024), so this paper cannot verify whether any of the three outcomes converges further after the window it observes. This outcome-specific pattern is worth reading against the calendar-year trend evidence in Lu et al. (2024) and Hang et al. (2024): where their year-indexed series show gradual, decades-long trait change, our channel-conditional gap shows a mix of convergence (chalkiness) and non-convergence (head-rice) within a six-year window, which suggests the two kinds of trend — the long-run trajectory their design measures and the channel-specific gap ours measures — are not the same object and need not move together.</w:t>
      </w:r>
    </w:p>
    <w:p>
      <w:pPr>
        <w:spacing w:line="480" w:lineRule="auto" w:after="160"/>
        <w:jc w:val="left"/>
      </w:pPr>
      <w:r>
        <w:rPr>
          <w:rFonts w:ascii="Times New Roman" w:hAnsi="Times New Roman" w:eastAsia="Times New Roman"/>
          <w:sz w:val="24"/>
        </w:rPr>
        <w:t>One further result belongs in this discussion rather than in the robustness section proper. A province-level replication (Section 6) is statistically underpowered, relative to the national-level effect sizes, for head-rice percentage, chalkiness and self-reported yield gain — the minimum detectable effect at 80% power exceeds the national coefficient for all three, so their non-significance at the provincial level should be read as "undetermined," not as evidence against the national result. The stated-quality-grade indicator is the exception: the provincial sample is adequately powered for this outcome, and it returns a coefficient that is significant (β = −0.468, p = 0.001), larger in magnitude than, and in the same direction as, the national result. We report this because it runs against a common but incorrect reading of provincial null results in this literature, and because Non-claim 8 in the design stage of this project anticipated only a null and did not anticipate a significant, adequately powered result on this one outcome; the provincial evidence should be described precisely — one outcome significant and adequately powered, three underpowered — not summarised as either "confirms" or "does not replicate."</w:t>
      </w:r>
    </w:p>
    <w:p>
      <w:pPr>
        <w:keepNext/>
        <w:spacing w:line="480" w:lineRule="auto" w:after="120"/>
        <w:jc w:val="left"/>
      </w:pPr>
      <w:r>
        <w:rPr>
          <w:rFonts w:ascii="Times New Roman" w:hAnsi="Times New Roman" w:eastAsia="Times New Roman"/>
          <w:b/>
          <w:sz w:val="24"/>
        </w:rPr>
        <w:t>8.3 Policy implications</w:t>
      </w:r>
    </w:p>
    <w:p>
      <w:pPr>
        <w:spacing w:line="480" w:lineRule="auto" w:after="160"/>
        <w:jc w:val="left"/>
      </w:pPr>
      <w:r>
        <w:rPr>
          <w:rFonts w:ascii="Times New Roman" w:hAnsi="Times New Roman" w:eastAsia="Times New Roman"/>
          <w:sz w:val="24"/>
        </w:rPr>
        <w:t>Three implications follow without extending beyond what the data show. First, the identification argument rests on an asymmetry: third-party assay covers grain-processing and appearance quality but not the agronomic-performance traits measured in the applicant's own regional and production trials. Extending independent, ministry-designated measurement to a subset of yield and performance traits — even a periodic spot-check rather than universal coverage — would let regulators test directly whether the sign separation this paper documents in observational data also appears when performance itself is measured by an independent party. Second, an audit-style re-verification of a random sample of self-organised trial results, analogous in spirit to the spot-checks the Ministry has run against the green channel and consortium trials since 2022, would generate exactly the kind of within-attribute comparison that Duflo et al. (2013) had and this paper does not; such spot-checks are already the Ministry's own initiative, and this paper's finding is best read as an independent, quantitative corroboration of the direction that 2022-08-31 rectification notice already took, not as a claim that regulators were unaware of the pattern. Third, the channel-of-entry information already exists inside every approval announcement but is not compiled or published as a standalone field; publishing it directly, rather than leaving it to be reconstructed by text-parsing as this paper did, would let downstream users of the seed catalogue — processors, distributors, other researchers — condition on it themselves.</w:t>
      </w:r>
    </w:p>
    <w:p>
      <w:pPr>
        <w:keepNext/>
        <w:spacing w:line="480" w:lineRule="auto" w:after="120"/>
        <w:jc w:val="left"/>
      </w:pPr>
      <w:r>
        <w:rPr>
          <w:rFonts w:ascii="Times New Roman" w:hAnsi="Times New Roman" w:eastAsia="Times New Roman"/>
          <w:b/>
          <w:sz w:val="24"/>
        </w:rPr>
        <w:t>8.4 Limitations</w:t>
      </w:r>
    </w:p>
    <w:p>
      <w:pPr>
        <w:spacing w:line="480" w:lineRule="auto" w:after="160"/>
        <w:jc w:val="left"/>
      </w:pPr>
      <w:r>
        <w:rPr>
          <w:rFonts w:ascii="Times New Roman" w:hAnsi="Times New Roman" w:eastAsia="Times New Roman"/>
          <w:sz w:val="24"/>
        </w:rPr>
        <w:t xml:space="preserve">Five limitations bound this paper's scope. The evidence covers a single country and a single crop (rice); whether the same channel-measurement asymmetry appears in other crops or seed-regulation regimes is untested here. Channel self-selection cannot be fully separated from measurement discretion with the data at hand — the within-applicant comparison in Section 6 is directionally uninformative because it is underpowered, not because it rules out self-selection. The </w:t>
      </w:r>
      <w:r>
        <w:rPr>
          <w:rFonts w:ascii="Times New Roman" w:hAnsi="Times New Roman" w:eastAsia="Times New Roman"/>
          <w:sz w:val="24"/>
        </w:rPr>
        <w:t>applicant_type</w:t>
      </w:r>
      <w:r>
        <w:rPr>
          <w:rFonts w:ascii="Times New Roman" w:hAnsi="Times New Roman" w:eastAsia="Times New Roman"/>
          <w:sz w:val="24"/>
        </w:rPr>
        <w:t xml:space="preserve"> field needed for the enterprise-versus-institute comparison in Section 7 is entirely missing for the 2016, 2017, 2018 and 2021 approval cohorts, which limits that comparison to years with non-missing labels and to the two major trial groups. The underlying announcement compilation is not an official, complete registry of all approvals; it is a secondary compilation of Ministry announcements, and its completeness was checked against a 50-record manual audit rather than assumed. Finally, the analysis window runs through 2022 because compiled announcement coverage falls sharply afterward; this paper accordingly cannot speak to whether the convergence trends documented in Section 8.2, or the divergent trend in head-rice percentage, continue, reverse, or stabilise after 2022.</w:t>
      </w:r>
    </w:p>
    <w:p>
      <w:pPr>
        <w:keepNext/>
        <w:spacing w:line="480" w:lineRule="auto" w:after="120"/>
        <w:jc w:val="left"/>
      </w:pPr>
      <w:r>
        <w:rPr>
          <w:rFonts w:ascii="Times New Roman" w:hAnsi="Times New Roman" w:eastAsia="Times New Roman"/>
          <w:b/>
          <w:sz w:val="26"/>
        </w:rPr>
        <w:t>9. Conclusion</w:t>
      </w:r>
    </w:p>
    <w:p>
      <w:pPr>
        <w:spacing w:line="480" w:lineRule="auto" w:after="160"/>
        <w:jc w:val="left"/>
      </w:pPr>
      <w:r>
        <w:rPr>
          <w:rFonts w:ascii="Times New Roman" w:hAnsi="Times New Roman" w:eastAsia="Times New Roman"/>
          <w:sz w:val="24"/>
        </w:rPr>
        <w:t>China's 2016 reform of variety approval did not just change how many rice varieties reach the market through self-organised trials; by parsing which trial each variety actually passed through, we show it changed what those varieties look like on the traits that a third party, rather than the applicant, measures — worse third-party-assayed grain-processing and appearance quality among self-organised entrants, alongside applicant-measured performance that is unchanged or higher, a sign separation that a simple breeding-ability story cannot produce and that survives dropping the single largest beneficiary firm from the sample.</w:t>
      </w:r>
    </w:p>
    <w:p>
      <w:pPr>
        <w:spacing w:line="480" w:lineRule="auto" w:after="160"/>
        <w:jc w:val="left"/>
      </w:pPr>
      <w:r>
        <w:rPr>
          <w:rFonts w:ascii="Times New Roman" w:hAnsi="Times New Roman" w:eastAsia="Times New Roman"/>
          <w:sz w:val="24"/>
        </w:rPr>
        <w:t>This finding is a composition effect on the population of varieties entering under each trial pathway, not a causal effect of channel assignment on any individual variety, and should not be read more broadly. It does not speak to farmer welfare, extension outcomes, or seed prices; it does not allege fabrication or manipulation of any applicant's trial results, a possibility the data cannot distinguish from channel self-selection or differing admission thresholds; and it does not extend to every third-party-measured trait or every level of government, since disease-resistance grading moves the other way and the provincial replication is conclusive for only one of four outcomes. Within these bounds, the contribution is narrow: a record-level channel variable, built from the text of approval announcements rather than a before/after indicator, that lets who measures what be observed directly — and shows that this, not only the volume of entrants, changed after 2016.</w:t>
      </w:r>
    </w:p>
    <w:p>
      <w:pPr>
        <w:keepNext/>
        <w:spacing w:line="480" w:lineRule="auto" w:after="120"/>
        <w:jc w:val="left"/>
      </w:pPr>
      <w:r>
        <w:rPr>
          <w:rFonts w:ascii="Times New Roman" w:hAnsi="Times New Roman" w:eastAsia="Times New Roman"/>
          <w:b/>
          <w:sz w:val="24"/>
        </w:rPr>
        <w:t>Acknowledgements</w:t>
      </w:r>
    </w:p>
    <w:p>
      <w:pPr>
        <w:spacing w:line="480" w:lineRule="auto" w:after="160"/>
        <w:jc w:val="left"/>
      </w:pPr>
      <w:r>
        <w:rPr>
          <w:rFonts w:ascii="Times New Roman" w:hAnsi="Times New Roman" w:eastAsia="Times New Roman"/>
          <w:sz w:val="24"/>
        </w:rPr>
        <w:t>[Author to complete: funding sources, reviewer thanks, etc.]</w:t>
      </w:r>
    </w:p>
    <w:p>
      <w:pPr>
        <w:keepNext/>
        <w:spacing w:line="480" w:lineRule="auto" w:after="120"/>
        <w:jc w:val="left"/>
      </w:pPr>
      <w:r>
        <w:rPr>
          <w:rFonts w:ascii="Times New Roman" w:hAnsi="Times New Roman" w:eastAsia="Times New Roman"/>
          <w:b/>
          <w:sz w:val="24"/>
        </w:rPr>
        <w:t>Conflict of interest</w:t>
      </w:r>
    </w:p>
    <w:p>
      <w:pPr>
        <w:spacing w:line="480" w:lineRule="auto" w:after="160"/>
        <w:jc w:val="left"/>
      </w:pPr>
      <w:r>
        <w:rPr>
          <w:rFonts w:ascii="Times New Roman" w:hAnsi="Times New Roman" w:eastAsia="Times New Roman"/>
          <w:sz w:val="24"/>
        </w:rPr>
        <w:t>The authors declare no conflict of interest.</w:t>
      </w:r>
    </w:p>
    <w:p>
      <w:pPr>
        <w:keepNext/>
        <w:spacing w:line="480" w:lineRule="auto" w:after="120"/>
        <w:jc w:val="left"/>
      </w:pPr>
      <w:r>
        <w:rPr>
          <w:rFonts w:ascii="Times New Roman" w:hAnsi="Times New Roman" w:eastAsia="Times New Roman"/>
          <w:b/>
          <w:sz w:val="24"/>
        </w:rPr>
        <w:t>Data availability statement</w:t>
      </w:r>
    </w:p>
    <w:p>
      <w:pPr>
        <w:spacing w:line="480" w:lineRule="auto" w:after="160"/>
        <w:jc w:val="left"/>
      </w:pPr>
      <w:r>
        <w:rPr>
          <w:rFonts w:ascii="Times New Roman" w:hAnsi="Times New Roman" w:eastAsia="Times New Roman"/>
          <w:sz w:val="24"/>
        </w:rPr>
        <w:t>The variety-approval text corpus underlying this study was compiled from publicly available Ministry of Agriculture and Rural Affairs announcements via a third-party aggregation (see Methods). Parsing scripts, the field dictionary, and the list of approval-record identifiers used in the analysis are available at [repository link]. Due to the unresolved licensing status of the upstream aggregation, the full parsed dataset is not redistributed; researchers can reconstruct it from the cited public announcements using the provided scripts.</w:t>
      </w:r>
    </w:p>
    <w:p>
      <w:pPr>
        <w:keepNext/>
        <w:spacing w:line="480" w:lineRule="auto" w:after="120"/>
        <w:jc w:val="left"/>
      </w:pPr>
      <w:r>
        <w:rPr>
          <w:rFonts w:ascii="Times New Roman" w:hAnsi="Times New Roman" w:eastAsia="Times New Roman"/>
          <w:b/>
          <w:sz w:val="24"/>
        </w:rPr>
        <w:t>CRediT author contributions</w:t>
      </w:r>
    </w:p>
    <w:p>
      <w:pPr>
        <w:spacing w:line="480" w:lineRule="auto" w:after="160"/>
        <w:jc w:val="left"/>
      </w:pPr>
      <w:r>
        <w:rPr>
          <w:rFonts w:ascii="Times New Roman" w:hAnsi="Times New Roman" w:eastAsia="Times New Roman"/>
          <w:i/>
          <w:sz w:val="24"/>
        </w:rPr>
        <w:t>(Placeholder — to be completed by the author team before submission. List each named author against the CRediT roles that apply; a role may be shared by more than one author.)</w:t>
      </w:r>
    </w:p>
    <w:p>
      <w:pPr>
        <w:pStyle w:val="ListBullet"/>
        <w:spacing w:line="360" w:lineRule="auto" w:after="40"/>
      </w:pPr>
      <w:r>
        <w:rPr>
          <w:rFonts w:ascii="Times New Roman" w:hAnsi="Times New Roman" w:eastAsia="Times New Roman"/>
          <w:b/>
          <w:sz w:val="24"/>
        </w:rPr>
        <w:t>Conceptualization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Methodology</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Formal analysis</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Investigation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Data curation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Writing – original draft</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Writing – review &amp; editing</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Visualization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Supervision</w:t>
      </w:r>
      <w:r>
        <w:rPr>
          <w:rFonts w:ascii="Times New Roman" w:hAnsi="Times New Roman" w:eastAsia="Times New Roman"/>
          <w:sz w:val="24"/>
        </w:rPr>
        <w:t>: [Author(s) to complete]</w:t>
      </w:r>
    </w:p>
    <w:p>
      <w:pPr>
        <w:keepNext/>
        <w:spacing w:line="480" w:lineRule="auto" w:after="120"/>
        <w:jc w:val="left"/>
      </w:pPr>
      <w:r>
        <w:rPr>
          <w:rFonts w:ascii="Times New Roman" w:hAnsi="Times New Roman" w:eastAsia="Times New Roman"/>
          <w:b/>
          <w:sz w:val="24"/>
        </w:rPr>
        <w:t>Ethical approval</w:t>
      </w:r>
    </w:p>
    <w:p>
      <w:pPr>
        <w:spacing w:line="480" w:lineRule="auto" w:after="160"/>
        <w:jc w:val="left"/>
      </w:pPr>
      <w:r>
        <w:rPr>
          <w:rFonts w:ascii="Times New Roman" w:hAnsi="Times New Roman" w:eastAsia="Times New Roman"/>
          <w:sz w:val="24"/>
        </w:rPr>
        <w:t>Not applicable. This study did not involve human participants or animal experiments; it uses only publicly available government variety-approval announcements.</w:t>
      </w:r>
    </w:p>
    <w:p>
      <w:pPr>
        <w:keepNext/>
        <w:spacing w:line="480" w:lineRule="auto" w:after="120"/>
        <w:jc w:val="left"/>
      </w:pPr>
      <w:r>
        <w:rPr>
          <w:rFonts w:ascii="Times New Roman" w:hAnsi="Times New Roman" w:eastAsia="Times New Roman"/>
          <w:b/>
          <w:sz w:val="26"/>
        </w:rPr>
        <w:t>References</w:t>
      </w:r>
    </w:p>
    <w:p>
      <w:pPr>
        <w:spacing w:line="480" w:lineRule="auto" w:after="160"/>
        <w:jc w:val="left"/>
      </w:pPr>
      <w:r>
        <w:rPr>
          <w:rFonts w:ascii="Times New Roman" w:hAnsi="Times New Roman" w:eastAsia="Times New Roman"/>
          <w:sz w:val="24"/>
        </w:rPr>
        <w:t>Bar T, Zheng Y. 2019. Choosing certifiers: Evidence from the British Retail Consortium food safety standard. American Journal of Agricultural Economics, 101, 74–88.</w:t>
      </w:r>
    </w:p>
    <w:p>
      <w:pPr>
        <w:spacing w:line="480" w:lineRule="auto" w:after="160"/>
        <w:jc w:val="left"/>
      </w:pPr>
      <w:r>
        <w:rPr>
          <w:rFonts w:ascii="Times New Roman" w:hAnsi="Times New Roman" w:eastAsia="Times New Roman"/>
          <w:sz w:val="24"/>
        </w:rPr>
        <w:t>Duflo E, Greenstone M, Pande R, Ryan N. 2013. Truth-telling by third-party auditors and the response of polluting firms: Experimental evidence from India. Quarterly Journal of Economics, 128, 1499–1545.</w:t>
      </w:r>
    </w:p>
    <w:p>
      <w:pPr>
        <w:spacing w:line="480" w:lineRule="auto" w:after="160"/>
        <w:jc w:val="left"/>
      </w:pPr>
      <w:r>
        <w:rPr>
          <w:rFonts w:ascii="Times New Roman" w:hAnsi="Times New Roman" w:eastAsia="Times New Roman"/>
          <w:sz w:val="24"/>
        </w:rPr>
        <w:t>Gong J, Zhang X, Zhang J, Zeng B, Zhang X, Xu X, Xie H A. 2026. Three-line hybrid rice in China: sustained improvements in yield, quality, and resistance over fifty years. Rice Science. (title-level citation only; full text not accessible at time of writing, no specific figures attributed)</w:t>
      </w:r>
    </w:p>
    <w:p>
      <w:pPr>
        <w:spacing w:line="480" w:lineRule="auto" w:after="160"/>
        <w:jc w:val="left"/>
      </w:pPr>
      <w:r>
        <w:rPr>
          <w:rFonts w:ascii="Times New Roman" w:hAnsi="Times New Roman" w:eastAsia="Times New Roman"/>
          <w:sz w:val="24"/>
        </w:rPr>
        <w:t>Grennan M, Town R J. 2020. Regulating innovation with uncertain quality: Information, risk, and access in medical devices. American Economic Review, 110, 120–161.</w:t>
      </w:r>
    </w:p>
    <w:p>
      <w:pPr>
        <w:spacing w:line="480" w:lineRule="auto" w:after="160"/>
        <w:jc w:val="left"/>
      </w:pPr>
      <w:r>
        <w:rPr>
          <w:rFonts w:ascii="Times New Roman" w:hAnsi="Times New Roman" w:eastAsia="Times New Roman"/>
          <w:sz w:val="24"/>
        </w:rPr>
        <w:t>Hang S, Wang Q, Wang Y, Xiang H. 2024. Evolution of rice cultivar performance across China: A multi-dimensional study on yield and agronomic characteristics over three decades. Agronomy, 14, 2780.</w:t>
      </w:r>
    </w:p>
    <w:p>
      <w:pPr>
        <w:spacing w:line="480" w:lineRule="auto" w:after="160"/>
        <w:jc w:val="left"/>
      </w:pPr>
      <w:r>
        <w:rPr>
          <w:rFonts w:ascii="Times New Roman" w:hAnsi="Times New Roman" w:eastAsia="Times New Roman"/>
          <w:sz w:val="24"/>
        </w:rPr>
        <w:t>Huang Z Y, Xu Y, Zeng D, Wang C, Wang J M. 2018. One size fits all? Contract farming among broiler producers in China. Journal of Integrative Agriculture, 17, 473–482.</w:t>
      </w:r>
    </w:p>
    <w:p>
      <w:pPr>
        <w:spacing w:line="480" w:lineRule="auto" w:after="160"/>
        <w:jc w:val="left"/>
      </w:pPr>
      <w:r>
        <w:rPr>
          <w:rFonts w:ascii="Times New Roman" w:hAnsi="Times New Roman" w:eastAsia="Times New Roman"/>
          <w:sz w:val="24"/>
        </w:rPr>
        <w:t>Laidig F, Piepho H-P, Drobek T, Meyer U. 2014. Genetic and non-genetic long-term trends of 12 different crops in German official variety performance trials and on-farm yield trends. Theoretical and Applied Genetics, 127, 2599–2617.</w:t>
      </w:r>
    </w:p>
    <w:p>
      <w:pPr>
        <w:spacing w:line="480" w:lineRule="auto" w:after="160"/>
        <w:jc w:val="left"/>
      </w:pPr>
      <w:r>
        <w:rPr>
          <w:rFonts w:ascii="Times New Roman" w:hAnsi="Times New Roman" w:eastAsia="Times New Roman"/>
          <w:sz w:val="24"/>
        </w:rPr>
        <w:t>Lu Y, Tang Y, Zhang J, Liu S, Liang X, Li M, Li R. 2024. Variations and trends in rice quality across different types of approved varieties in China, 1978–2022. Agronomy, 14, 1234.</w:t>
      </w:r>
    </w:p>
    <w:p>
      <w:pPr>
        <w:spacing w:line="480" w:lineRule="auto" w:after="160"/>
        <w:jc w:val="left"/>
      </w:pPr>
      <w:r>
        <w:rPr>
          <w:rFonts w:ascii="Times New Roman" w:hAnsi="Times New Roman" w:eastAsia="Times New Roman"/>
          <w:sz w:val="24"/>
        </w:rPr>
        <w:t>Mackay I, Horwell A, Garner J, White J, McKee J, Philpott H. 2011. Reanalyses of the historical series of UK variety trials to quantify the contributions of genetic and environmental factors to trends and variability in yield over time. Theoretical and Applied Genetics, 122, 225–238.</w:t>
      </w:r>
    </w:p>
    <w:p>
      <w:pPr>
        <w:spacing w:line="480" w:lineRule="auto" w:after="160"/>
        <w:jc w:val="left"/>
      </w:pPr>
      <w:r>
        <w:rPr>
          <w:rFonts w:ascii="Times New Roman" w:hAnsi="Times New Roman" w:eastAsia="Times New Roman"/>
          <w:sz w:val="24"/>
        </w:rPr>
        <w:t>Piepho H-P, Laidig F. 2024. How many checks are needed per cycle in a plant breeding or variety testing programme? Plant Breeding.</w:t>
      </w:r>
    </w:p>
    <w:p>
      <w:pPr>
        <w:spacing w:line="480" w:lineRule="auto" w:after="160"/>
        <w:jc w:val="left"/>
      </w:pPr>
      <w:r>
        <w:rPr>
          <w:rFonts w:ascii="Times New Roman" w:hAnsi="Times New Roman" w:eastAsia="Times New Roman"/>
          <w:sz w:val="24"/>
        </w:rPr>
        <w:t>Piepho H-P, Laidig F, Drobek T, Meyer U. 2014. Dissecting genetic and non-genetic sources of long-term yield trend in German official variety trials. Theoretical and Applied Genetics, 127, 1009–1018.</w:t>
      </w:r>
    </w:p>
    <w:p>
      <w:pPr>
        <w:spacing w:line="480" w:lineRule="auto" w:after="160"/>
        <w:jc w:val="left"/>
      </w:pPr>
      <w:r>
        <w:rPr>
          <w:rFonts w:ascii="Times New Roman" w:hAnsi="Times New Roman" w:eastAsia="Times New Roman"/>
          <w:sz w:val="24"/>
        </w:rPr>
        <w:t>Qiu H G, Wang X B, Zhang C P, Xu Z G. 2016. Farmers' seed choice behaviors under asymmetrical information: Evidence from maize farming in China. Journal of Integrative Agriculture, 15, 1915–1923.</w:t>
      </w:r>
    </w:p>
    <w:p>
      <w:pPr>
        <w:spacing w:line="480" w:lineRule="auto" w:after="160"/>
        <w:jc w:val="left"/>
      </w:pPr>
      <w:r>
        <w:rPr>
          <w:rFonts w:ascii="Times New Roman" w:hAnsi="Times New Roman" w:eastAsia="Times New Roman"/>
          <w:sz w:val="24"/>
        </w:rPr>
        <w:t>Raymond J, Mackay I, Penfield S, Lovett A, Philpott H, Dorling S. 2023. Continuing genetic improvement and biases in genetic gain estimates revealed in historical UK variety trials data. Field Crops Research, 303, 109086.</w:t>
      </w:r>
    </w:p>
    <w:p>
      <w:pPr>
        <w:spacing w:line="480" w:lineRule="auto" w:after="160"/>
        <w:jc w:val="left"/>
      </w:pPr>
      <w:r>
        <w:rPr>
          <w:rFonts w:ascii="Times New Roman" w:hAnsi="Times New Roman" w:eastAsia="Times New Roman"/>
          <w:sz w:val="24"/>
        </w:rPr>
        <w:t>Renckens S, Auld G. 2022. Time to certify: Explaining varying efficiency of private regulatory audits. Regulation &amp; Governance, 16, 500–518.</w:t>
      </w:r>
    </w:p>
    <w:p>
      <w:pPr>
        <w:spacing w:line="480" w:lineRule="auto" w:after="160"/>
        <w:jc w:val="left"/>
      </w:pPr>
      <w:r>
        <w:rPr>
          <w:rFonts w:ascii="Times New Roman" w:hAnsi="Times New Roman" w:eastAsia="Times New Roman"/>
          <w:sz w:val="24"/>
        </w:rPr>
        <w:t>Shi X, Hu R. 2017. Rice variety improvement and the contribution of foreign germplasms in China. Journal of Integrative Agriculture, 16, 2337–2345.</w:t>
      </w:r>
    </w:p>
    <w:p>
      <w:pPr>
        <w:spacing w:line="480" w:lineRule="auto" w:after="160"/>
        <w:jc w:val="left"/>
      </w:pPr>
      <w:r>
        <w:rPr>
          <w:rFonts w:ascii="Times New Roman" w:hAnsi="Times New Roman" w:eastAsia="Times New Roman"/>
          <w:sz w:val="24"/>
        </w:rPr>
        <w:t>Xiang C, Yang R, Wang X, Huang J. 2025. Impact of seed regulation reform on licensing fees of varieties in China. Agribusiness.</w:t>
      </w:r>
    </w:p>
    <w:p>
      <w:pPr>
        <w:spacing w:line="480" w:lineRule="auto" w:after="160"/>
        <w:jc w:val="left"/>
      </w:pPr>
      <w:r>
        <w:rPr>
          <w:rFonts w:ascii="Times New Roman" w:hAnsi="Times New Roman" w:eastAsia="Times New Roman"/>
          <w:sz w:val="24"/>
        </w:rPr>
        <w:t>Xie Z, Yuan S, Zhu J, Li W. 2023. Contract farming led by a seed enterprise and incentives to produce high quality: Which contract design performs best? Agribusiness, 39, 1173–1198.</w:t>
      </w:r>
    </w:p>
    <w:p>
      <w:pPr>
        <w:spacing w:line="480" w:lineRule="auto" w:after="160"/>
        <w:jc w:val="left"/>
      </w:pPr>
      <w:r>
        <w:rPr>
          <w:rFonts w:ascii="Times New Roman" w:hAnsi="Times New Roman" w:eastAsia="Times New Roman"/>
          <w:sz w:val="24"/>
        </w:rPr>
        <w:t>Zhao Y, Deng H, Hu R, Xiong C. 2022. Impact of government policies on seed innovation in China. Agronomy, 12, 917.</w:t>
      </w:r>
    </w:p>
    <w:sectPr w:rsidR="00FC693F" w:rsidRPr="0006063C" w:rsidSect="00034616">
      <w:pgSz w:w="11906" w:h="16838"/>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