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eastAsia="Times New Roman"/>
          <w:b/>
          <w:sz w:val="28"/>
        </w:rPr>
        <w:t>Rice variety approval records as an innovation indicator source: trial channel, third-party-assayed grain quality, and who measures what enters the market in China, 2017–2022</w:t>
      </w:r>
    </w:p>
    <w:p>
      <w:pPr>
        <w:spacing w:line="480" w:lineRule="auto" w:after="160"/>
        <w:jc w:val="left"/>
      </w:pPr>
      <w:r>
        <w:rPr>
          <w:rFonts w:ascii="Times New Roman" w:hAnsi="Times New Roman" w:eastAsia="Times New Roman"/>
          <w:i/>
          <w:sz w:val="24"/>
        </w:rPr>
        <w:t>Running title:</w:t>
      </w:r>
      <w:r>
        <w:rPr>
          <w:rFonts w:ascii="Times New Roman" w:hAnsi="Times New Roman" w:eastAsia="Times New Roman"/>
          <w:sz w:val="24"/>
        </w:rPr>
        <w:t xml:space="preserve"> Trial channel and third-party grain quality in Chinese rice approvals</w:t>
      </w:r>
    </w:p>
    <w:p>
      <w:pPr>
        <w:spacing w:line="480" w:lineRule="auto" w:after="160"/>
        <w:jc w:val="left"/>
      </w:pPr>
      <w:r>
        <w:rPr>
          <w:rFonts w:ascii="Times New Roman" w:hAnsi="Times New Roman" w:eastAsia="Times New Roman"/>
          <w:b/>
          <w:sz w:val="24"/>
        </w:rPr>
        <w:t>Authors:</w:t>
      </w:r>
      <w:r>
        <w:rPr>
          <w:rFonts w:ascii="Times New Roman" w:hAnsi="Times New Roman" w:eastAsia="Times New Roman"/>
          <w:sz w:val="24"/>
        </w:rPr>
        <w:t xml:space="preserve"> [Author(s) to complete — given name and surname, in submission order]</w:t>
      </w:r>
    </w:p>
    <w:p>
      <w:pPr>
        <w:spacing w:line="480" w:lineRule="auto" w:after="160"/>
        <w:jc w:val="left"/>
      </w:pPr>
      <w:r>
        <w:rPr>
          <w:rFonts w:ascii="Times New Roman" w:hAnsi="Times New Roman" w:eastAsia="Times New Roman"/>
          <w:b/>
          <w:sz w:val="24"/>
        </w:rPr>
        <w:t>Affiliations:</w:t>
      </w:r>
      <w:r>
        <w:rPr>
          <w:rFonts w:ascii="Times New Roman" w:hAnsi="Times New Roman" w:eastAsia="Times New Roman"/>
          <w:sz w:val="24"/>
        </w:rPr>
        <w:t xml:space="preserve"> [Author(s) to complete. Note: the first author's affiliation must be the S&amp;T information/intelligence institute, listed first, to satisfy the first-affiliation requirement.]</w:t>
      </w:r>
    </w:p>
    <w:p>
      <w:pPr>
        <w:spacing w:line="480" w:lineRule="auto" w:after="160"/>
        <w:jc w:val="left"/>
      </w:pPr>
      <w:r>
        <w:rPr>
          <w:rFonts w:ascii="Times New Roman" w:hAnsi="Times New Roman" w:eastAsia="Times New Roman"/>
          <w:b/>
          <w:sz w:val="24"/>
        </w:rPr>
        <w:t>Corresponding author:</w:t>
      </w:r>
      <w:r>
        <w:rPr>
          <w:rFonts w:ascii="Times New Roman" w:hAnsi="Times New Roman" w:eastAsia="Times New Roman"/>
          <w:sz w:val="24"/>
        </w:rPr>
        <w:t xml:space="preserve"> [name, postal address, e-mail, ORCID]</w:t>
      </w:r>
    </w:p>
    <w:p>
      <w:pPr>
        <w:keepNext/>
        <w:spacing w:line="480" w:lineRule="auto" w:after="120"/>
        <w:jc w:val="left"/>
      </w:pPr>
      <w:r>
        <w:rPr>
          <w:rFonts w:ascii="Times New Roman" w:hAnsi="Times New Roman" w:eastAsia="Times New Roman"/>
          <w:b/>
          <w:sz w:val="24"/>
        </w:rPr>
        <w:t>Abstract</w:t>
      </w:r>
    </w:p>
    <w:p>
      <w:pPr>
        <w:spacing w:line="480" w:lineRule="auto" w:after="160"/>
        <w:jc w:val="left"/>
      </w:pPr>
      <w:r>
        <w:rPr>
          <w:rFonts w:ascii="Times New Roman" w:hAnsi="Times New Roman" w:eastAsia="Times New Roman"/>
          <w:sz w:val="24"/>
        </w:rPr>
        <w:t>Official rice variety-approval announcements record who tested a variety and what a third party measured, but the trial channel they name has never been extracted as an analysable field. We mine China's rice variety-approval announcements into a record-level indicator system (2,386 records, 17 fields) and extract an unused element: each variety's trial channel. China's 2016 approval reform let seed firms and breeder consortia run their own trials, but no prior study observes the channel, so none can tell whether what enters the market changed. We compare self-organised with unified-trial entrants within the same approval year, ecological trial group and named check, estimating the green channel (2017) and consortium trials (2019–2022) separately since they do not overlap in time. Consortium entrants show 1.84 percentage points lower head-rice percentage, 1.11 points higher chalkiness, and a 12.2-point lower probability of carrying a stated national quality grade, all third-party-assayed, while the yield advantage recorded in the applicant's own trial is, if anything, higher (+0.55 points, suggestive only); green-channel entrants likewise show higher chalkiness. This sign separation is the identification argument: a breeding-ability account predicts both trait classes deteriorate together, whereas only third-party grain quality does. Results survive worst-case bounds, randomisation inference, and dropping the most prevalent breeding lineage. Bacterial-blight grades are better among self-organised entrants, which bounds the composition effect. The wider point is that evidence strength can differ across fields of one official source according to who measured each field, so approval indicators should be read field by field.</w:t>
      </w:r>
    </w:p>
    <w:p>
      <w:pPr>
        <w:keepNext/>
        <w:spacing w:line="480" w:lineRule="auto" w:after="120"/>
        <w:jc w:val="left"/>
      </w:pPr>
      <w:r>
        <w:rPr>
          <w:rFonts w:ascii="Times New Roman" w:hAnsi="Times New Roman" w:eastAsia="Times New Roman"/>
          <w:b/>
          <w:sz w:val="24"/>
        </w:rPr>
        <w:t>Keywords</w:t>
      </w:r>
    </w:p>
    <w:p>
      <w:pPr>
        <w:spacing w:line="480" w:lineRule="auto" w:after="160"/>
        <w:jc w:val="left"/>
      </w:pPr>
      <w:r>
        <w:rPr>
          <w:rFonts w:ascii="Times New Roman" w:hAnsi="Times New Roman" w:eastAsia="Times New Roman"/>
          <w:sz w:val="24"/>
        </w:rPr>
        <w:t>rice variety approval; grain quality; trial channel; data provenance; administrative text mining; China</w:t>
      </w:r>
    </w:p>
    <w:p>
      <w:pPr>
        <w:keepNext/>
        <w:spacing w:line="480" w:lineRule="auto" w:after="120"/>
        <w:jc w:val="left"/>
      </w:pPr>
      <w:r>
        <w:rPr>
          <w:rFonts w:ascii="Times New Roman" w:hAnsi="Times New Roman" w:eastAsia="Times New Roman"/>
          <w:b/>
          <w:sz w:val="24"/>
        </w:rPr>
        <w:t>Highlights</w:t>
      </w:r>
    </w:p>
    <w:p>
      <w:pPr>
        <w:pStyle w:val="ListNumber"/>
        <w:spacing w:line="360" w:lineRule="auto" w:after="40"/>
      </w:pPr>
      <w:r>
        <w:rPr>
          <w:rFonts w:ascii="Times New Roman" w:hAnsi="Times New Roman" w:eastAsia="Times New Roman"/>
          <w:sz w:val="24"/>
        </w:rPr>
        <w:t>Rice variety-approval announcements are mined into record-level indicators.</w:t>
      </w:r>
    </w:p>
    <w:p>
      <w:pPr>
        <w:pStyle w:val="ListNumber"/>
        <w:spacing w:line="360" w:lineRule="auto" w:after="40"/>
      </w:pPr>
      <w:r>
        <w:rPr>
          <w:rFonts w:ascii="Times New Roman" w:hAnsi="Times New Roman" w:eastAsia="Times New Roman"/>
          <w:sz w:val="24"/>
        </w:rPr>
        <w:t>Trial channel is reconstructed from approval-announcement text at record level.</w:t>
      </w:r>
    </w:p>
    <w:p>
      <w:pPr>
        <w:pStyle w:val="ListNumber"/>
        <w:spacing w:line="360" w:lineRule="auto" w:after="40"/>
      </w:pPr>
      <w:r>
        <w:rPr>
          <w:rFonts w:ascii="Times New Roman" w:hAnsi="Times New Roman" w:eastAsia="Times New Roman"/>
          <w:sz w:val="24"/>
        </w:rPr>
        <w:t>Consortium-trial entrants show lower third-party-assayed grain quality.</w:t>
      </w:r>
    </w:p>
    <w:p>
      <w:pPr>
        <w:pStyle w:val="ListNumber"/>
        <w:spacing w:line="360" w:lineRule="auto" w:after="40"/>
      </w:pPr>
      <w:r>
        <w:rPr>
          <w:rFonts w:ascii="Times New Roman" w:hAnsi="Times New Roman" w:eastAsia="Times New Roman"/>
          <w:sz w:val="24"/>
        </w:rPr>
        <w:t>Applicant-measured yield performance is not lower for self-organised entrants.</w:t>
      </w:r>
    </w:p>
    <w:p>
      <w:pPr>
        <w:pStyle w:val="ListNumber"/>
        <w:spacing w:line="360" w:lineRule="auto" w:after="40"/>
      </w:pPr>
      <w:r>
        <w:rPr>
          <w:rFonts w:ascii="Times New Roman" w:hAnsi="Times New Roman" w:eastAsia="Times New Roman"/>
          <w:sz w:val="24"/>
        </w:rPr>
        <w:t>In one rice approval record, evidence strength depends on who measured the field.</w:t>
      </w:r>
    </w:p>
    <w:p>
      <w:pPr>
        <w:keepNext/>
        <w:spacing w:line="480" w:lineRule="auto" w:after="120"/>
        <w:jc w:val="left"/>
      </w:pPr>
      <w:r>
        <w:rPr>
          <w:rFonts w:ascii="Times New Roman" w:hAnsi="Times New Roman" w:eastAsia="Times New Roman"/>
          <w:b/>
          <w:sz w:val="26"/>
        </w:rPr>
        <w:t>1. Introduction</w:t>
      </w:r>
    </w:p>
    <w:p>
      <w:pPr>
        <w:spacing w:line="480" w:lineRule="auto" w:after="160"/>
        <w:jc w:val="left"/>
      </w:pPr>
      <w:r>
        <w:rPr>
          <w:rFonts w:ascii="Times New Roman" w:hAnsi="Times New Roman" w:eastAsia="Times New Roman"/>
          <w:sz w:val="24"/>
        </w:rPr>
        <w:t xml:space="preserve">Variety approval decides which rice varieties may be sold as certified seed in China. Until 2016 the state held a monopoly on the trials that produced this decision; 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ended it, letting certified integrated seed-breeding-extension enterprises run their own "green-channel" trials and consortia of five or more breeders organise their own regional trials. Both channels replace the government as the party that runs the trial in which agronomic performance is measured; neither replaces the ministry-designated third-party laboratories that measure grain-processing and appearance quality once a candidate reaches the approval stage. This split — self-organised measurement of performance, third-party measurement of quality, inside the same approval file — is the object of this paper. We ask not how large the reform was, but </w:t>
      </w:r>
      <w:r>
        <w:rPr>
          <w:rFonts w:ascii="Times New Roman" w:hAnsi="Times New Roman" w:eastAsia="Times New Roman"/>
          <w:i/>
          <w:sz w:val="24"/>
        </w:rPr>
        <w:t>who measures what enters the market</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Observing that split requires a field nobody has extracted. Approval announcements have been read at scale before, but always as year-indexed trait series, since they are running prose yielding only whatever parsing a given study needs. Innovation measurement more broadly rests on a few curated indicator families, and its text-mining methods were developed over patent and publication corpora (Losiewicz et al., 2000; Antons et al., 2020) rather than over the regulatory record (Rammer and Es-Sadki, 2023). A single variety-approval record carries the applicant, the trial the variety was tested in, the named check it was compared against, and more than a dozen measured agronomic, grain-quality and resistance fields — each, crucially for what follows, with an identifiable measuring party. Our first contribution is to parse that structure into a record-level indicator system carrying the trial channel, and our second is to show what it reveals once the fields are separated by who measured them.</w:t>
      </w:r>
    </w:p>
    <w:p>
      <w:pPr>
        <w:spacing w:line="480" w:lineRule="auto" w:after="160"/>
        <w:jc w:val="left"/>
      </w:pPr>
      <w:r>
        <w:rPr>
          <w:rFonts w:ascii="Times New Roman" w:hAnsi="Times New Roman" w:eastAsia="Times New Roman"/>
          <w:sz w:val="24"/>
        </w:rPr>
        <w:t xml:space="preserve">This question has not been answered because it has not been asked in a form the data could answer. Two studies evaluate this same reform as a </w:t>
      </w:r>
      <w:r>
        <w:rPr>
          <w:rFonts w:ascii="Times New Roman" w:hAnsi="Times New Roman" w:eastAsia="Times New Roman"/>
          <w:i/>
          <w:sz w:val="24"/>
        </w:rPr>
        <w:t>period</w:t>
      </w:r>
      <w:r>
        <w:rPr>
          <w:rFonts w:ascii="Times New Roman" w:hAnsi="Times New Roman" w:eastAsia="Times New Roman"/>
          <w:sz w:val="24"/>
        </w:rPr>
        <w:t xml:space="preserve"> variable — before versus after 2016 — applied to licensing-fee data (Xiang et al., 2025, who find no significant effect) and to national approval panels (Zhao et al., 2022); neither observes which trial a variety actually passed through, so neither can distinguish a change in </w:t>
      </w:r>
      <w:r>
        <w:rPr>
          <w:rFonts w:ascii="Times New Roman" w:hAnsi="Times New Roman" w:eastAsia="Times New Roman"/>
          <w:i/>
          <w:sz w:val="24"/>
        </w:rPr>
        <w:t>how much</w:t>
      </w:r>
      <w:r>
        <w:rPr>
          <w:rFonts w:ascii="Times New Roman" w:hAnsi="Times New Roman" w:eastAsia="Times New Roman"/>
          <w:sz w:val="24"/>
        </w:rPr>
        <w:t xml:space="preserve"> enters the market from a change in </w:t>
      </w:r>
      <w:r>
        <w:rPr>
          <w:rFonts w:ascii="Times New Roman" w:hAnsi="Times New Roman" w:eastAsia="Times New Roman"/>
          <w:i/>
          <w:sz w:val="24"/>
        </w:rPr>
        <w:t>what</w:t>
      </w:r>
      <w:r>
        <w:rPr>
          <w:rFonts w:ascii="Times New Roman" w:hAnsi="Times New Roman" w:eastAsia="Times New Roman"/>
          <w:sz w:val="24"/>
        </w:rPr>
        <w:t xml:space="preserve"> enters it. A related literature reads approved-variety trait trends by </w:t>
      </w:r>
      <w:r>
        <w:rPr>
          <w:rFonts w:ascii="Times New Roman" w:hAnsi="Times New Roman" w:eastAsia="Times New Roman"/>
          <w:i/>
          <w:sz w:val="24"/>
        </w:rPr>
        <w:t>calendar year</w:t>
      </w:r>
      <w:r>
        <w:rPr>
          <w:rFonts w:ascii="Times New Roman" w:hAnsi="Times New Roman" w:eastAsia="Times New Roman"/>
          <w:sz w:val="24"/>
        </w:rPr>
        <w:t xml:space="preserve"> rather than by channel: Lu et al. (2024) classify quality-trait trajectories for 17,785 approved varieties, and Hang et al. (2024) track agronomic-trait evolution across 11,811 regional-trial entries; both attribute trait change to </w:t>
      </w:r>
      <w:r>
        <w:rPr>
          <w:rFonts w:ascii="Times New Roman" w:hAnsi="Times New Roman" w:eastAsia="Times New Roman"/>
          <w:i/>
          <w:sz w:val="24"/>
        </w:rPr>
        <w:t>when</w:t>
      </w:r>
      <w:r>
        <w:rPr>
          <w:rFonts w:ascii="Times New Roman" w:hAnsi="Times New Roman" w:eastAsia="Times New Roman"/>
          <w:sz w:val="24"/>
        </w:rPr>
        <w:t xml:space="preserve"> a variety was approved rather than to </w:t>
      </w:r>
      <w:r>
        <w:rPr>
          <w:rFonts w:ascii="Times New Roman" w:hAnsi="Times New Roman" w:eastAsia="Times New Roman"/>
          <w:i/>
          <w:sz w:val="24"/>
        </w:rPr>
        <w:t>which door</w:t>
      </w:r>
      <w:r>
        <w:rPr>
          <w:rFonts w:ascii="Times New Roman" w:hAnsi="Times New Roman" w:eastAsia="Times New Roman"/>
          <w:sz w:val="24"/>
        </w:rPr>
        <w:t xml:space="preserve"> it entered through. This paper's structural-break analysis (§5.5) and "closing window" discussion (§8.2) ask the channel-conditional version of the same question a year-indexed reading cannot. A recent title-level review of fifty years of three-line hybrid rice trends (Gong et al., 2026) situates this trait trajectory over a longer horizon; its full text was not accessible to us, so we cite it only for scope. No existing study has a record-level channel variable to test whether self-organised and state-run entrants differ in what they bring to market — this is the gap we close.</w:t>
      </w:r>
    </w:p>
    <w:p>
      <w:pPr>
        <w:spacing w:line="480" w:lineRule="auto" w:after="160"/>
        <w:jc w:val="left"/>
      </w:pPr>
      <w:r>
        <w:rPr>
          <w:rFonts w:ascii="Times New Roman" w:hAnsi="Times New Roman" w:eastAsia="Times New Roman"/>
          <w:sz w:val="24"/>
        </w:rPr>
        <w:t>We close it using a feature of the announcements that has not previously been exploited: each states, in its own text, the name of the trial the variety was tested in. Parsing this text lets us assign every record to a channel and compare self-organised with unified-trial entrants within the same approval year, ecological trial group, and named check. Because the green channel is concentrated in 2017 and consortium trials begin only in 2019, the two barely overlap in time; we treat them as separate treatments rather than pooling them into one "new channel."</w:t>
      </w:r>
    </w:p>
    <w:p>
      <w:pPr>
        <w:spacing w:line="480" w:lineRule="auto" w:after="160"/>
        <w:jc w:val="left"/>
      </w:pPr>
      <w:r>
        <w:rPr>
          <w:rFonts w:ascii="Times New Roman" w:hAnsi="Times New Roman" w:eastAsia="Times New Roman"/>
          <w:sz w:val="24"/>
        </w:rPr>
        <w:t xml:space="preserve">The paper's estimand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conditional on year, trial group and check, how do the traits of varieties entering through a self-organised channel differ from those entering through the unified trial. This is not the effect of moving one variety between channels, since assignment is not random and applicants self-select into it; it is the difference in what each door lets through. We do not estimate, and do not claim, a causal effect of the reform on trait levels or on grain quality — the identification strategy concerns the </w:t>
      </w:r>
      <w:r>
        <w:rPr>
          <w:rFonts w:ascii="Times New Roman" w:hAnsi="Times New Roman" w:eastAsia="Times New Roman"/>
          <w:i/>
          <w:sz w:val="24"/>
        </w:rPr>
        <w:t>entering population</w:t>
      </w:r>
      <w:r>
        <w:rPr>
          <w:rFonts w:ascii="Times New Roman" w:hAnsi="Times New Roman" w:eastAsia="Times New Roman"/>
          <w:sz w:val="24"/>
        </w:rPr>
        <w:t xml:space="preserve">, not the </w:t>
      </w:r>
      <w:r>
        <w:rPr>
          <w:rFonts w:ascii="Times New Roman" w:hAnsi="Times New Roman" w:eastAsia="Times New Roman"/>
          <w:i/>
          <w:sz w:val="24"/>
        </w:rPr>
        <w:t>time trend</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 xml:space="preserve">This paper makes three contributions. </w:t>
      </w:r>
      <w:r>
        <w:rPr>
          <w:rFonts w:ascii="Times New Roman" w:hAnsi="Times New Roman" w:eastAsia="Times New Roman"/>
          <w:b/>
          <w:sz w:val="24"/>
        </w:rPr>
        <w:t>First</w:t>
      </w:r>
      <w:r>
        <w:rPr>
          <w:rFonts w:ascii="Times New Roman" w:hAnsi="Times New Roman" w:eastAsia="Times New Roman"/>
          <w:sz w:val="24"/>
        </w:rPr>
        <w:t xml:space="preserve">, an S&amp;T-intelligence extraction pipeline over an unstructured administrative corpus yields the first record-level trial-channel variable for China's approval system — read from announcement wording rather than imposed as a before/after indicator — and a 17-field indicator set labelled by measuring party. </w:t>
      </w:r>
      <w:r>
        <w:rPr>
          <w:rFonts w:ascii="Times New Roman" w:hAnsi="Times New Roman" w:eastAsia="Times New Roman"/>
          <w:b/>
          <w:sz w:val="24"/>
        </w:rPr>
        <w:t>Second</w:t>
      </w:r>
      <w:r>
        <w:rPr>
          <w:rFonts w:ascii="Times New Roman" w:hAnsi="Times New Roman" w:eastAsia="Times New Roman"/>
          <w:sz w:val="24"/>
        </w:rPr>
        <w:t xml:space="preserve">, the coexistence of applicant-measured and third-party-measured traits within one approval file becomes an identification argument, distinct from the randomised self-certification literature's two measurements of the same attribute (Duflo et al., 2013; Bar and Zheng, 2019): here we have two </w:t>
      </w:r>
      <w:r>
        <w:rPr>
          <w:rFonts w:ascii="Times New Roman" w:hAnsi="Times New Roman" w:eastAsia="Times New Roman"/>
          <w:i/>
          <w:sz w:val="24"/>
        </w:rPr>
        <w:t>different</w:t>
      </w:r>
      <w:r>
        <w:rPr>
          <w:rFonts w:ascii="Times New Roman" w:hAnsi="Times New Roman" w:eastAsia="Times New Roman"/>
          <w:sz w:val="24"/>
        </w:rPr>
        <w:t xml:space="preserve"> attributes measured by two different parties in a single document. Grain-processing and appearance quality are measured by third-party laboratories uniformly across channels; agronomic performance is measured by the applicant's own trial when self-organised. A pure breeding-ability difference predicts both move together; we instead find a sign separation — third-party quality lower, applicant-measured performance unchanged or higher (§4.5, §5) — that such an account cannot generate on its own, though it cannot alone rule out a difference in channel-specific admission thresholds. </w:t>
      </w:r>
      <w:r>
        <w:rPr>
          <w:rFonts w:ascii="Times New Roman" w:hAnsi="Times New Roman" w:eastAsia="Times New Roman"/>
          <w:b/>
          <w:sz w:val="24"/>
        </w:rPr>
        <w:t>Third</w:t>
      </w:r>
      <w:r>
        <w:rPr>
          <w:rFonts w:ascii="Times New Roman" w:hAnsi="Times New Roman" w:eastAsia="Times New Roman"/>
          <w:sz w:val="24"/>
        </w:rPr>
        <w:t>, splitting the reform into two non-overlapping treatments shows pooling them would misstate the gap's direction, since the green channel (2017) and consortium trials (2019–2022) differ in sign on at least one trait. A second indicator — germplasm concentration across parental lines from the same announcements — serves as a counter-case: consortium entrants draw on a significantly broader sterile-line base than the unified entrants they are compared against, so a narrower breeding base cannot explain their deficit. No analysis in the paper is conducted at the level of a named organisation.</w:t>
      </w:r>
    </w:p>
    <w:p>
      <w:pPr>
        <w:spacing w:line="480" w:lineRule="auto" w:after="160"/>
        <w:jc w:val="left"/>
      </w:pPr>
      <w:r>
        <w:rPr>
          <w:rFonts w:ascii="Times New Roman" w:hAnsi="Times New Roman" w:eastAsia="Times New Roman"/>
          <w:sz w:val="24"/>
        </w:rPr>
        <w:t>Section 2 covers institutional background; Section 3 the extraction pipeline; Section 4 the empirical strategy and its limits; Sections 5–6 results and robustness; Section 7 the germplasm counter-case; Section 8 S&amp;T intelligence and policy implications; Section 9 concludes.</w:t>
      </w:r>
    </w:p>
    <w:p>
      <w:pPr>
        <w:keepNext/>
        <w:spacing w:line="480" w:lineRule="auto" w:after="120"/>
        <w:jc w:val="left"/>
      </w:pPr>
      <w:r>
        <w:rPr>
          <w:rFonts w:ascii="Times New Roman" w:hAnsi="Times New Roman" w:eastAsia="Times New Roman"/>
          <w:b/>
          <w:sz w:val="26"/>
        </w:rPr>
        <w:t>2. Institutional background</w:t>
      </w:r>
    </w:p>
    <w:p>
      <w:pPr>
        <w:spacing w:line="480" w:lineRule="auto" w:after="160"/>
        <w:jc w:val="left"/>
      </w:pPr>
      <w:r>
        <w:rPr>
          <w:rFonts w:ascii="Times New Roman" w:hAnsi="Times New Roman" w:eastAsia="Times New Roman"/>
          <w:sz w:val="24"/>
        </w:rPr>
        <w:t xml:space="preserve">China's variety approval system evaluates candidate crop varieties before they may be marketed as certified seed. Until 2016 the evaluation trial was uniformly state-run: a candidate enters the </w:t>
      </w:r>
      <w:r>
        <w:rPr>
          <w:rFonts w:ascii="Times New Roman" w:hAnsi="Times New Roman" w:eastAsia="Times New Roman"/>
          <w:b/>
          <w:sz w:val="24"/>
        </w:rPr>
        <w:t>unified regional trial</w:t>
      </w:r>
      <w:r>
        <w:rPr>
          <w:rFonts w:ascii="Times New Roman" w:hAnsi="Times New Roman" w:eastAsia="Times New Roman"/>
          <w:sz w:val="24"/>
        </w:rPr>
        <w:t xml:space="preserve"> (统一区域试验), a multi-site, multi-year trial organised by the provincial or national approval committee, grown alongside a named check under a common protocol. This remained the only route until a </w:t>
      </w:r>
      <w:r>
        <w:rPr>
          <w:rFonts w:ascii="Times New Roman" w:hAnsi="Times New Roman" w:eastAsia="Times New Roman"/>
          <w:b/>
          <w:sz w:val="24"/>
        </w:rPr>
        <w:t>green channel</w:t>
      </w:r>
      <w:r>
        <w:rPr>
          <w:rFonts w:ascii="Times New Roman" w:hAnsi="Times New Roman" w:eastAsia="Times New Roman"/>
          <w:sz w:val="24"/>
        </w:rPr>
        <w:t xml:space="preserve"> (绿色通道) opened in 2014, letting certified integrated seed-breeding-production-extension enterprises run their own trials; in our data it appears concentrated in 2017.</w:t>
      </w:r>
    </w:p>
    <w:p>
      <w:pPr>
        <w:spacing w:line="480" w:lineRule="auto" w:after="160"/>
        <w:jc w:val="left"/>
      </w:pPr>
      <w:r>
        <w:rPr>
          <w:rFonts w:ascii="Times New Roman" w:hAnsi="Times New Roman" w:eastAsia="Times New Roman"/>
          <w:sz w:val="24"/>
        </w:rPr>
        <w:t xml:space="preserve">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(Order No. 4, effective 15 August 2016) extended self-organised testing by creating the </w:t>
      </w:r>
      <w:r>
        <w:rPr>
          <w:rFonts w:ascii="Times New Roman" w:hAnsi="Times New Roman" w:eastAsia="Times New Roman"/>
          <w:b/>
          <w:sz w:val="24"/>
        </w:rPr>
        <w:t>consortium trial</w:t>
      </w:r>
      <w:r>
        <w:rPr>
          <w:rFonts w:ascii="Times New Roman" w:hAnsi="Times New Roman" w:eastAsia="Times New Roman"/>
          <w:sz w:val="24"/>
        </w:rPr>
        <w:t xml:space="preserve"> (联合体区域试验), run by a consortium of five or more breeders rather than the state system. Consortium-trial records first appear in 2019 and dominate the self-organised channel from 2019 through 2022; the green channel and consortium trials barely overlap in time.</w:t>
      </w:r>
    </w:p>
    <w:p>
      <w:pPr>
        <w:spacing w:line="480" w:lineRule="auto" w:after="160"/>
        <w:jc w:val="left"/>
      </w:pPr>
      <w:r>
        <w:rPr>
          <w:rFonts w:ascii="Times New Roman" w:hAnsi="Times New Roman" w:eastAsia="Times New Roman"/>
          <w:sz w:val="24"/>
        </w:rPr>
        <w:t xml:space="preserve">Regardless of channel, grain-processing and appearance quality are assessed under a separate, uniform regime: laboratories designated by the Ministry of Agriculture and Rural Affairs apply a published standard — </w:t>
      </w:r>
      <w:r>
        <w:rPr>
          <w:rFonts w:ascii="Times New Roman" w:hAnsi="Times New Roman" w:eastAsia="Times New Roman"/>
          <w:b/>
          <w:sz w:val="24"/>
        </w:rPr>
        <w:t>NY/T 593</w:t>
      </w:r>
      <w:r>
        <w:rPr>
          <w:rFonts w:ascii="Times New Roman" w:hAnsi="Times New Roman" w:eastAsia="Times New Roman"/>
          <w:sz w:val="24"/>
        </w:rPr>
        <w:t xml:space="preserve"> (《食用稻品种品质》) for most of the window, or </w:t>
      </w:r>
      <w:r>
        <w:rPr>
          <w:rFonts w:ascii="Times New Roman" w:hAnsi="Times New Roman" w:eastAsia="Times New Roman"/>
          <w:b/>
          <w:sz w:val="24"/>
        </w:rPr>
        <w:t>GB/T 17891</w:t>
      </w:r>
      <w:r>
        <w:rPr>
          <w:rFonts w:ascii="Times New Roman" w:hAnsi="Times New Roman" w:eastAsia="Times New Roman"/>
          <w:sz w:val="24"/>
        </w:rPr>
        <w:t xml:space="preserve"> (《优质稻谷》), which predominates in 2017 — grading head-rice percentage, chalkiness and the national or industry quality grade. The channel therefore determines who measures agronomic performance, but not who measures grain-processing and appearance quality.</w:t>
      </w:r>
    </w:p>
    <w:p>
      <w:pPr>
        <w:spacing w:line="480" w:lineRule="auto" w:after="160"/>
        <w:jc w:val="left"/>
      </w:pPr>
      <w:r>
        <w:rPr>
          <w:rFonts w:ascii="Times New Roman" w:hAnsi="Times New Roman" w:eastAsia="Times New Roman"/>
          <w:sz w:val="24"/>
        </w:rPr>
        <w:t>Two further changes fall at the edge of our window. In 2021, approval standards for rice and maize were revised upward on yield, quality and resistance thresholds, and approval volumes fell markedly afterward (evidence from industry-media reporting, flagged as lower confidence). On 1 March 2022 the revised Seed Law took effect, establishing an essentially-derived-variety (EDV) system requiring the original right-holder's consent for commercial exploitation of a derived variety. On 31 August 2022 the Ministry issued a notice launching a special-rectification campaign targeting green-channel and consortium-trial practices, at the end of our sample window; we treat it only as the point after which identifying variation becomes harder to observe.</w:t>
      </w:r>
    </w:p>
    <w:p>
      <w:pPr>
        <w:spacing w:line="480" w:lineRule="auto" w:after="160"/>
        <w:jc w:val="left"/>
      </w:pPr>
      <w:r>
        <w:rPr>
          <w:rFonts w:ascii="Times New Roman" w:hAnsi="Times New Roman" w:eastAsia="Times New Roman"/>
          <w:sz w:val="24"/>
        </w:rPr>
        <w:t>These five events — the 2014 green channel, the 2016 Measures, the 2021 revision, the 2022 EDV provision and the 2022 rectification notice — are reported strictly as a timeline motivating the sample window and two-arm structure. We draw no inference about regulatory intent from their sequence, and attribute no trait trend to a specific event unless a structural-break test (§5.5) supports it.</w:t>
      </w:r>
    </w:p>
    <w:p>
      <w:pPr>
        <w:keepNext/>
        <w:spacing w:line="480" w:lineRule="auto" w:after="120"/>
        <w:jc w:val="left"/>
      </w:pPr>
      <w:r>
        <w:rPr>
          <w:rFonts w:ascii="Times New Roman" w:hAnsi="Times New Roman" w:eastAsia="Times New Roman"/>
          <w:b/>
          <w:sz w:val="26"/>
        </w:rPr>
        <w:t>3. Data and the intelligence-extraction pipeline</w:t>
      </w:r>
    </w:p>
    <w:p>
      <w:pPr>
        <w:spacing w:line="480" w:lineRule="auto" w:after="160"/>
        <w:jc w:val="left"/>
      </w:pPr>
      <w:r>
        <w:rPr>
          <w:rFonts w:ascii="Times New Roman" w:hAnsi="Times New Roman" w:eastAsia="Times New Roman"/>
          <w:sz w:val="24"/>
        </w:rPr>
        <w:t xml:space="preserve">Because the corpus is an unstructured administrative text collection, this section doubles as a methods section for the extraction itself, set out as a six-step S&amp;T intelligence pipeline: (i) </w:t>
      </w:r>
      <w:r>
        <w:rPr>
          <w:rFonts w:ascii="Times New Roman" w:hAnsi="Times New Roman" w:eastAsia="Times New Roman"/>
          <w:b/>
          <w:sz w:val="24"/>
        </w:rPr>
        <w:t>intelligence-source identification</w:t>
      </w:r>
      <w:r>
        <w:rPr>
          <w:rFonts w:ascii="Times New Roman" w:hAnsi="Times New Roman" w:eastAsia="Times New Roman"/>
          <w:sz w:val="24"/>
        </w:rPr>
        <w:t xml:space="preserve"> — recognising approval announcements as a high-density innovation corpus and the trial-channel statement as extractable (§3.1); (ii) </w:t>
      </w:r>
      <w:r>
        <w:rPr>
          <w:rFonts w:ascii="Times New Roman" w:hAnsi="Times New Roman" w:eastAsia="Times New Roman"/>
          <w:b/>
          <w:sz w:val="24"/>
        </w:rPr>
        <w:t>corpus acquisition</w:t>
      </w:r>
      <w:r>
        <w:rPr>
          <w:rFonts w:ascii="Times New Roman" w:hAnsi="Times New Roman" w:eastAsia="Times New Roman"/>
          <w:sz w:val="24"/>
        </w:rPr>
        <w:t xml:space="preserve">, documenting its two-step provenance (§3.1); (iii) </w:t>
      </w:r>
      <w:r>
        <w:rPr>
          <w:rFonts w:ascii="Times New Roman" w:hAnsi="Times New Roman" w:eastAsia="Times New Roman"/>
          <w:b/>
          <w:sz w:val="24"/>
        </w:rPr>
        <w:t>field extraction</w:t>
      </w:r>
      <w:r>
        <w:rPr>
          <w:rFonts w:ascii="Times New Roman" w:hAnsi="Times New Roman" w:eastAsia="Times New Roman"/>
          <w:sz w:val="24"/>
        </w:rPr>
        <w:t xml:space="preserve">, a regex rule set converting prose into typed fields (§3.1); (iv) </w:t>
      </w:r>
      <w:r>
        <w:rPr>
          <w:rFonts w:ascii="Times New Roman" w:hAnsi="Times New Roman" w:eastAsia="Times New Roman"/>
          <w:b/>
          <w:sz w:val="24"/>
        </w:rPr>
        <w:t>entity recognition and disambiguation</w:t>
      </w:r>
      <w:r>
        <w:rPr>
          <w:rFonts w:ascii="Times New Roman" w:hAnsi="Times New Roman" w:eastAsia="Times New Roman"/>
          <w:sz w:val="24"/>
        </w:rPr>
        <w:t xml:space="preserve">, resolving the variety-source field into parental-line entities with a resolution rate and per-channel coverage check (§3.1); (v) </w:t>
      </w:r>
      <w:r>
        <w:rPr>
          <w:rFonts w:ascii="Times New Roman" w:hAnsi="Times New Roman" w:eastAsia="Times New Roman"/>
          <w:b/>
          <w:sz w:val="24"/>
        </w:rPr>
        <w:t>field-coverage and data-quality assessment</w:t>
      </w:r>
      <w:r>
        <w:rPr>
          <w:rFonts w:ascii="Times New Roman" w:hAnsi="Times New Roman" w:eastAsia="Times New Roman"/>
          <w:sz w:val="24"/>
        </w:rPr>
        <w:t xml:space="preserve">, per-field parse rates, missingness, structural gaps, and the outstanding cross-check against primary announcements (§3.3–3.4); and (vi) </w:t>
      </w:r>
      <w:r>
        <w:rPr>
          <w:rFonts w:ascii="Times New Roman" w:hAnsi="Times New Roman" w:eastAsia="Times New Roman"/>
          <w:b/>
          <w:sz w:val="24"/>
        </w:rPr>
        <w:t>indicator construction</w:t>
      </w:r>
      <w:r>
        <w:rPr>
          <w:rFonts w:ascii="Times New Roman" w:hAnsi="Times New Roman" w:eastAsia="Times New Roman"/>
          <w:sz w:val="24"/>
        </w:rPr>
        <w:t>, assembling parsed fields into 17 analysis variables labelled by measuring party, over the strata compared (§3.2–3.3). Steps (i)–(iv) are what reproducing the corpus needs; step (v) is what judging any individual field's trustworthiness needs, reported at field level rather than as one corpus-wide statement, for reasons the main result makes concrete.</w:t>
      </w:r>
    </w:p>
    <w:p>
      <w:pPr>
        <w:keepNext/>
        <w:spacing w:line="480" w:lineRule="auto" w:after="120"/>
        <w:jc w:val="left"/>
      </w:pPr>
      <w:r>
        <w:rPr>
          <w:rFonts w:ascii="Times New Roman" w:hAnsi="Times New Roman" w:eastAsia="Times New Roman"/>
          <w:b/>
          <w:sz w:val="24"/>
        </w:rPr>
        <w:t>3.1 Intelligence source, corpus acquisition, field extraction and entity resolution (steps i–iv)</w:t>
      </w:r>
    </w:p>
    <w:p>
      <w:pPr>
        <w:spacing w:line="480" w:lineRule="auto" w:after="160"/>
        <w:jc w:val="left"/>
      </w:pPr>
      <w:r>
        <w:rPr>
          <w:rFonts w:ascii="Times New Roman" w:hAnsi="Times New Roman" w:eastAsia="Times New Roman"/>
          <w:sz w:val="24"/>
        </w:rPr>
        <w:t xml:space="preserve">The record-level unit of analysis is a </w:t>
      </w:r>
      <w:r>
        <w:rPr>
          <w:rFonts w:ascii="Times New Roman" w:hAnsi="Times New Roman" w:eastAsia="Times New Roman"/>
          <w:i/>
          <w:sz w:val="24"/>
        </w:rPr>
        <w:t>variety × ecological trial group</w:t>
      </w:r>
      <w:r>
        <w:rPr>
          <w:rFonts w:ascii="Times New Roman" w:hAnsi="Times New Roman" w:eastAsia="Times New Roman"/>
          <w:sz w:val="24"/>
        </w:rPr>
        <w:t xml:space="preserve"> approval entry. The underlying corpus is a parsed compilation of China's national and provincial rice variety approval announcements (6,734 deduplicated records: 2,386 national, 4,347 provincial, 1999–2025), issued by the Ministry of Agriculture and Rural Affairs (MARA) and, for provincial approvals, by provincial committees. We did not access MARA's own archive directly; the text corpus was obtained through a public third-party aggregation, </w:t>
      </w:r>
      <w:r>
        <w:rPr>
          <w:rFonts w:ascii="Times New Roman" w:hAnsi="Times New Roman" w:eastAsia="Times New Roman"/>
          <w:sz w:val="24"/>
        </w:rPr>
        <w:t>he-zhui/Rice_QA</w:t>
      </w:r>
      <w:r>
        <w:rPr>
          <w:rFonts w:ascii="Times New Roman" w:hAnsi="Times New Roman" w:eastAsia="Times New Roman"/>
          <w:sz w:val="24"/>
        </w:rPr>
        <w:t xml:space="preserve"> (GitHub), re-parsed with our own regular-expression rules. The data are therefore </w:t>
      </w:r>
      <w:r>
        <w:rPr>
          <w:rFonts w:ascii="Times New Roman" w:hAnsi="Times New Roman" w:eastAsia="Times New Roman"/>
          <w:i/>
          <w:sz w:val="24"/>
        </w:rPr>
        <w:t>MARA announcements, obtained through a public third-party compilation and parsed by the authors</w:t>
      </w:r>
      <w:r>
        <w:rPr>
          <w:rFonts w:ascii="Times New Roman" w:hAnsi="Times New Roman" w:eastAsia="Times New Roman"/>
          <w:sz w:val="24"/>
        </w:rPr>
        <w:t>, not a first-hand MARA product and not a full census (coverage declines sharply after 2022: 85/409 announcements for 2023, 61/405 for 2024, 2 for 2025 — §3.4). For this reason approval counts are never used as an outcome variable, only descriptively.</w:t>
      </w:r>
    </w:p>
    <w:p>
      <w:pPr>
        <w:spacing w:line="480" w:lineRule="auto" w:after="160"/>
        <w:jc w:val="left"/>
      </w:pPr>
      <w:r>
        <w:rPr>
          <w:rFonts w:ascii="Times New Roman" w:hAnsi="Times New Roman" w:eastAsia="Times New Roman"/>
          <w:sz w:val="24"/>
        </w:rPr>
        <w:t xml:space="preserve">Every element of our identification strategy depends on one feature no prior study has used: each announcement states, in its "yield performance" or "characteristics" paragraph, which trial the variety was tested in. We construct a record-level </w:t>
      </w:r>
      <w:r>
        <w:rPr>
          <w:rFonts w:ascii="Times New Roman" w:hAnsi="Times New Roman" w:eastAsia="Times New Roman"/>
          <w:sz w:val="24"/>
        </w:rPr>
        <w:t>channel</w:t>
      </w:r>
      <w:r>
        <w:rPr>
          <w:rFonts w:ascii="Times New Roman" w:hAnsi="Times New Roman" w:eastAsia="Times New Roman"/>
          <w:sz w:val="24"/>
        </w:rPr>
        <w:t xml:space="preserve"> variable by regular-expression matching: "绿色通道" or "自主试验" → Green; "联合体" → Consortium; all else → Unified. </w:t>
      </w:r>
      <w:r>
        <w:rPr>
          <w:rFonts w:ascii="Times New Roman" w:hAnsi="Times New Roman" w:eastAsia="Times New Roman"/>
          <w:sz w:val="24"/>
        </w:rPr>
        <w:t>new_channel</w:t>
      </w:r>
      <w:r>
        <w:rPr>
          <w:rFonts w:ascii="Times New Roman" w:hAnsi="Times New Roman" w:eastAsia="Times New Roman"/>
          <w:sz w:val="24"/>
        </w:rPr>
        <w:t xml:space="preserve"> collapses Green and Consortium for descriptive use only (§4 explains why they are estimated as separate arms). Trial group, named check and approval year are parsed from the same paragraph and the approval-number field, succeeding for 100% of national records; the channel label itself is unrecoverable for 233 of 234 national records approved in 2018 (99.6%), treated as a documentation-format gap rather than evidence that self-organised trials did not exist that year (Fig. 1, Table 1; R4 in §6 shows this coding choice is immaterial).</w:t>
      </w:r>
    </w:p>
    <w:p>
      <w:pPr>
        <w:spacing w:line="480" w:lineRule="auto" w:after="160"/>
        <w:jc w:val="left"/>
      </w:pPr>
      <w:r>
        <w:rPr>
          <w:rFonts w:ascii="Times New Roman" w:hAnsi="Times New Roman" w:eastAsia="Times New Roman"/>
          <w:sz w:val="24"/>
        </w:rPr>
        <w:t>Step (iv), entity recognition and disambiguation, resolves the free-text variety-source field into the two parental lines of the originating cross — sterile (female) line, a separator varying across several typographic conventions, then the restorer (male) line, often continuing into the parents' own ancestry. We take only the first cross and normalise separators and quotation marks. The rule resolves 2,304 of 2,386 national records (96.6%); the 3.4% that fail are multi-parent pedigrees with no single immediate cross, mutagenesis- or selection-derived varieties recording no cross at all, and a residue using symbols the rule does not cover — all excluded from the concentration indicator rather than imputed.</w:t>
      </w:r>
    </w:p>
    <w:p>
      <w:pPr>
        <w:spacing w:line="480" w:lineRule="auto" w:after="160"/>
        <w:jc w:val="left"/>
      </w:pPr>
      <w:r>
        <w:rPr>
          <w:rFonts w:ascii="Times New Roman" w:hAnsi="Times New Roman" w:eastAsia="Times New Roman"/>
          <w:sz w:val="24"/>
        </w:rPr>
        <w:t xml:space="preserve">Reporting the failure rate is not a formality. An earlier version of this rule handled only common typographic conventions, and its failures were </w:t>
      </w:r>
      <w:r>
        <w:rPr>
          <w:rFonts w:ascii="Times New Roman" w:hAnsi="Times New Roman" w:eastAsia="Times New Roman"/>
          <w:b/>
          <w:sz w:val="24"/>
        </w:rPr>
        <w:t>channel-correlated</w:t>
      </w:r>
      <w:r>
        <w:rPr>
          <w:rFonts w:ascii="Times New Roman" w:hAnsi="Times New Roman" w:eastAsia="Times New Roman"/>
          <w:sz w:val="24"/>
        </w:rPr>
        <w:t xml:space="preserve"> — green-channel records failed at 8.0% against the unified channel's 2.3% — which would have biased the Arm-2 comparison in §7 without any visible symptom. Under the current rule, coverage is 99.7–100% in all four channel-by-arm groups (Table 5), so differential parsing failure cannot drive the contrasts we report; unbalanced extraction failure is the specific way this kind of indicator goes wrong, and we state the rate for that reason.</w:t>
      </w:r>
    </w:p>
    <w:p>
      <w:pPr>
        <w:spacing w:line="480" w:lineRule="auto" w:after="160"/>
        <w:jc w:val="left"/>
      </w:pPr>
      <w:r>
        <w:rPr>
          <w:rFonts w:ascii="Times New Roman" w:hAnsi="Times New Roman" w:eastAsia="Times New Roman"/>
          <w:sz w:val="24"/>
        </w:rPr>
        <w:t xml:space="preserve">Parental-line names carry their own entity-resolution problem, since a line may appear with or without its breeder prefix. We normalise whitespace and quotation marks but do not merge differently spelled names — the conservative choice, since unmerged variants inflate the distinct-line count and depress the Herfindahl index, so the concentration </w:t>
      </w:r>
      <w:r>
        <w:rPr>
          <w:rFonts w:ascii="Times New Roman" w:hAnsi="Times New Roman" w:eastAsia="Times New Roman"/>
          <w:b/>
          <w:sz w:val="24"/>
        </w:rPr>
        <w:t>levels</w:t>
      </w:r>
      <w:r>
        <w:rPr>
          <w:rFonts w:ascii="Times New Roman" w:hAnsi="Times New Roman" w:eastAsia="Times New Roman"/>
          <w:sz w:val="24"/>
        </w:rPr>
        <w:t xml:space="preserve"> we report are lower bounds. We make no claim about the direction of any resulting bias to the between-channel </w:t>
      </w:r>
      <w:r>
        <w:rPr>
          <w:rFonts w:ascii="Times New Roman" w:hAnsi="Times New Roman" w:eastAsia="Times New Roman"/>
          <w:b/>
          <w:sz w:val="24"/>
        </w:rPr>
        <w:t>contrast</w:t>
      </w:r>
      <w:r>
        <w:rPr>
          <w:rFonts w:ascii="Times New Roman" w:hAnsi="Times New Roman" w:eastAsia="Times New Roman"/>
          <w:sz w:val="24"/>
        </w:rPr>
        <w:t>, which would require knowing variant-splitting rates are equal across channels — not established here.</w:t>
      </w:r>
    </w:p>
    <w:p>
      <w:pPr>
        <w:keepNext/>
        <w:spacing w:line="480" w:lineRule="auto" w:after="120"/>
        <w:jc w:val="left"/>
      </w:pPr>
      <w:r>
        <w:rPr>
          <w:rFonts w:ascii="Times New Roman" w:hAnsi="Times New Roman" w:eastAsia="Times New Roman"/>
          <w:b/>
          <w:sz w:val="24"/>
        </w:rPr>
        <w:t>3.2 Sample, stratification and indicator construction (step vi)</w:t>
      </w:r>
    </w:p>
    <w:p>
      <w:pPr>
        <w:spacing w:line="480" w:lineRule="auto" w:after="160"/>
        <w:jc w:val="left"/>
      </w:pPr>
      <w:r>
        <w:rPr>
          <w:rFonts w:ascii="Times New Roman" w:hAnsi="Times New Roman" w:eastAsia="Times New Roman"/>
          <w:sz w:val="24"/>
        </w:rPr>
        <w:t xml:space="preserve">The main analysis stratum restricts to national-level approvals in the two dominant mid-season indica trial groups — the middle-and-lower Yangtze and the upper-Yangtze mid-season indica groups — in the years in which the channel variable carries identifying variation, 2017 and 2019–2022 (2018 is excluded for the reason above; years before 2017 have no self-organised channel at all and are used only as a pre-reform benchmark, see §4.1 and §6). This yields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is concentrated in 2017 and the consortium channel in 2019–2022, and because the two barely overlap in time, we split this stratum into two estimation arms: </w:t>
      </w:r>
      <w:r>
        <w:rPr>
          <w:rFonts w:ascii="Times New Roman" w:hAnsi="Times New Roman" w:eastAsia="Times New Roman"/>
          <w:b/>
          <w:sz w:val="24"/>
        </w:rPr>
        <w:t>Arm 1</w:t>
      </w:r>
      <w:r>
        <w:rPr>
          <w:rFonts w:ascii="Times New Roman" w:hAnsi="Times New Roman" w:eastAsia="Times New Roman"/>
          <w:sz w:val="24"/>
        </w:rPr>
        <w:t xml:space="preserve"> (Consortium vs. Unified, 2019–2022, n = 759 before outcome-specific missingness) and </w:t>
      </w:r>
      <w:r>
        <w:rPr>
          <w:rFonts w:ascii="Times New Roman" w:hAnsi="Times New Roman" w:eastAsia="Times New Roman"/>
          <w:b/>
          <w:sz w:val="24"/>
        </w:rPr>
        <w:t>Arm 2</w:t>
      </w:r>
      <w:r>
        <w:rPr>
          <w:rFonts w:ascii="Times New Roman" w:hAnsi="Times New Roman" w:eastAsia="Times New Roman"/>
          <w:sz w:val="24"/>
        </w:rPr>
        <w:t xml:space="preserve"> (Green vs. Unified, 2017, n = 119). Arm 2's identifying variation comes from only two effective year × trial-group × check cells (a third raw cell contains only Green records and is dropped for lack of within-cell contrast), so all Arm-2 estimates use heteroskedasticity-robust (HC1) rather than cluster-robust standard errors and are flagged as small-sample throughout. An extended stratum that adds every other trial group (n ≈ 1,020–1,029 for Arm 1, 119–125 for Arm 2) is used as a robustness check on the two-trial-group restriction (§6, R3); a pre-reform benchmark layer (national approvals in the same two trial groups, 2005–2016, n ≈ 213) supports the structural-break analysis and the time placebo; and a provincial-approval layer (2021–2022, new-channel 143 / Unified 352) supports an external replication check that we report as statistically inconclusive rather than confirmatory or disconfirmatory (§6, R11).</w:t>
      </w:r>
    </w:p>
    <w:p>
      <w:pPr>
        <w:keepNext/>
        <w:spacing w:line="480" w:lineRule="auto" w:after="120"/>
        <w:jc w:val="left"/>
      </w:pPr>
      <w:r>
        <w:rPr>
          <w:rFonts w:ascii="Times New Roman" w:hAnsi="Times New Roman" w:eastAsia="Times New Roman"/>
          <w:b/>
          <w:sz w:val="24"/>
        </w:rPr>
        <w:t>3.3 Outcome variables, measuring party, and field-level data quality (steps v–vi)</w:t>
      </w:r>
    </w:p>
    <w:p>
      <w:pPr>
        <w:spacing w:line="480" w:lineRule="auto" w:after="160"/>
        <w:jc w:val="left"/>
      </w:pPr>
      <w:r>
        <w:rPr>
          <w:rFonts w:ascii="Times New Roman" w:hAnsi="Times New Roman" w:eastAsia="Times New Roman"/>
          <w:sz w:val="24"/>
        </w:rPr>
        <w:t xml:space="preserve">The single most consequential pipeline step attaches a </w:t>
      </w:r>
      <w:r>
        <w:rPr>
          <w:rFonts w:ascii="Times New Roman" w:hAnsi="Times New Roman" w:eastAsia="Times New Roman"/>
          <w:b/>
          <w:sz w:val="24"/>
        </w:rPr>
        <w:t>measuring party</w:t>
      </w:r>
      <w:r>
        <w:rPr>
          <w:rFonts w:ascii="Times New Roman" w:hAnsi="Times New Roman" w:eastAsia="Times New Roman"/>
          <w:sz w:val="24"/>
        </w:rPr>
        <w:t xml:space="preserve"> to each extracted field. Beyond a conventional data-quality assessment of completeness and transcription accuracy, we ask field by field </w:t>
      </w:r>
      <w:r>
        <w:rPr>
          <w:rFonts w:ascii="Times New Roman" w:hAnsi="Times New Roman" w:eastAsia="Times New Roman"/>
          <w:i/>
          <w:sz w:val="24"/>
        </w:rPr>
        <w:t>who generated the number the source reports</w:t>
      </w:r>
      <w:r>
        <w:rPr>
          <w:rFonts w:ascii="Times New Roman" w:hAnsi="Times New Roman" w:eastAsia="Times New Roman"/>
          <w:sz w:val="24"/>
        </w:rPr>
        <w:t xml:space="preserve">, and treat that as a dimension of reliability on a par with coverage. The paper's identification argument turns on a distinction the announcements make explicit: head-rice percentage, chalkiness degree, whether a quality grade is stated, and the two disease-resistance grades are all assayed by MARA-designated third-party bodies under the applicable standard (NY/T 593 or GB/T 17891, §2); the yield outcomes and most agronomic outcomes (growth duration, plant height, seed-set, thousand-grain weight, grains per panicle) are recorded from the applicant's own trial. </w:t>
      </w:r>
      <w:r>
        <w:rPr>
          <w:rFonts w:ascii="Times New Roman" w:hAnsi="Times New Roman" w:eastAsia="Times New Roman"/>
          <w:sz w:val="24"/>
        </w:rPr>
        <w:t>quality_stated</w:t>
      </w:r>
      <w:r>
        <w:rPr>
          <w:rFonts w:ascii="Times New Roman" w:hAnsi="Times New Roman" w:eastAsia="Times New Roman"/>
          <w:sz w:val="24"/>
        </w:rPr>
        <w:t xml:space="preserve"> is coded 1 if the announcement carries a numeric grade or a named standard, defined for every record by construction; its two source fields agree on presence/absence 84.5% of the time, so we use their union. Because it is mechanically close to a missingness indicator for the underlying grade field, we report it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and §6 (R16) shows the coefficient strengthens once text length and field-count are controlled for.</w:t>
      </w:r>
    </w:p>
    <w:p>
      <w:pPr>
        <w:spacing w:line="480" w:lineRule="auto" w:after="160"/>
        <w:jc w:val="left"/>
      </w:pPr>
      <w:r>
        <w:rPr>
          <w:rFonts w:ascii="Times New Roman" w:hAnsi="Times New Roman" w:eastAsia="Times New Roman"/>
          <w:sz w:val="24"/>
        </w:rPr>
        <w:t xml:space="preserve">Missingness in the main stratum is low and mostly balanced across arms (within ~2 pp for most outcomes in Arm 1). Three outcomes are not: regional-trial yield gain is 99.8% vs. 88.1% non-missing (Consortium vs. Unified, an 11.6-point gap); the top-two quality-grade indicator is 77.0% vs. 88.7% (11.7 points); and absolute regional-trial yield is 100% vs. 90.4% (9.6 points). We report Manski worst-case bounds alongside the point estimate for these three (§6, R7). Arm 2 is more severe for one outcome: regional-trial yield gain is populated for only 1.9% of Arm-2 Unified records (1 of 52), so that coefficient is not estimable and is reported as such rather than as a null. </w:t>
      </w:r>
      <w:r>
        <w:rPr>
          <w:rFonts w:ascii="Times New Roman" w:hAnsi="Times New Roman" w:eastAsia="Times New Roman"/>
          <w:sz w:val="24"/>
        </w:rPr>
        <w:t>applicant_type</w:t>
      </w:r>
      <w:r>
        <w:rPr>
          <w:rFonts w:ascii="Times New Roman" w:hAnsi="Times New Roman" w:eastAsia="Times New Roman"/>
          <w:sz w:val="24"/>
        </w:rPr>
        <w:t xml:space="preserve"> (enterprise / public / joint / unknown), used only in the descriptive comparison in §7, is entirely missing for national approvals in 2016, 2017, 2018 and 2021 (904 records) — a documented structural gap in the source, not our parsing — which is why any enterprise-vs.-public comparison is confined to years with a non-missing field and presented as descriptive only.</w:t>
      </w:r>
    </w:p>
    <w:p>
      <w:pPr>
        <w:spacing w:line="276" w:lineRule="auto" w:after="160"/>
        <w:jc w:val="left"/>
      </w:pPr>
      <w:r>
        <w:rPr>
          <w:rFonts w:ascii="Times New Roman" w:hAnsi="Times New Roman" w:eastAsia="Times New Roman"/>
          <w:sz w:val="24"/>
        </w:rPr>
        <w:t>Table 1 reports year-by-year record counts by channel, plotted alongside the institutional timeline (§2) in Fig. 1. Table 2 gives a full descriptive and balance summary by arm for every outcome and control in Table 3. The main text retains six figures and five tables; the enterprise-vs.-institution comparison and the missingness-balance plot are in the Supplementary Material as Table S1 and Fig. S1.</w:t>
      </w:r>
    </w:p>
    <w:p>
      <w:pPr>
        <w:keepNext/>
        <w:spacing w:line="480" w:lineRule="auto" w:after="120"/>
        <w:jc w:val="left"/>
      </w:pPr>
      <w:r>
        <w:rPr>
          <w:rFonts w:ascii="Times New Roman" w:hAnsi="Times New Roman" w:eastAsia="Times New Roman"/>
          <w:b/>
          <w:sz w:val="24"/>
        </w:rPr>
        <w:t>3.4 Representativeness and source verification (step v)</w:t>
      </w:r>
    </w:p>
    <w:p>
      <w:pPr>
        <w:spacing w:line="480" w:lineRule="auto" w:after="160"/>
        <w:jc w:val="left"/>
      </w:pPr>
      <w:r>
        <w:rPr>
          <w:rFonts w:ascii="Times New Roman" w:hAnsi="Times New Roman" w:eastAsia="Times New Roman"/>
          <w:sz w:val="24"/>
        </w:rPr>
        <w:t>Two representativeness concerns bear on how results should be read. The compilation is a sample of announcements, not a verified census, with declining coverage after 2022 (§3.1); we restrict the window to 2017–2022 and treat post-2022 only as background evidence that the channel distinction is currently being narrowed by regulatory action (§8.2). And because the compilation is a third-party re-transcription rather than the official record, transcription and parsing error are a live concern — not a peculiarity of our source, since large-scale audits of S&amp;T indicator databases find similar systematic error rates (Franceschini et al., 2016), and the appropriate response is to state a corpus's verification status.</w:t>
      </w:r>
    </w:p>
    <w:p>
      <w:pPr>
        <w:spacing w:line="480" w:lineRule="auto" w:after="160"/>
        <w:jc w:val="left"/>
      </w:pPr>
      <w:r>
        <w:rPr>
          <w:rFonts w:ascii="Times New Roman" w:hAnsi="Times New Roman" w:eastAsia="Times New Roman"/>
          <w:sz w:val="24"/>
        </w:rPr>
        <w:t xml:space="preserve">We state ours plainly: </w:t>
      </w:r>
      <w:r>
        <w:rPr>
          <w:rFonts w:ascii="Times New Roman" w:hAnsi="Times New Roman" w:eastAsia="Times New Roman"/>
          <w:b/>
          <w:sz w:val="24"/>
        </w:rPr>
        <w:t>we have not cross-checked the parsed corpus field by field against the original MARA text, and report no transcription agreement rate.</w:t>
      </w:r>
      <w:r>
        <w:rPr>
          <w:rFonts w:ascii="Times New Roman" w:hAnsi="Times New Roman" w:eastAsia="Times New Roman"/>
          <w:sz w:val="24"/>
        </w:rPr>
        <w:t xml:space="preserve"> Doing so requires the primary announcements directly, which was not possible with our access. Every quantity here is conditional on faithful transcription — an assumption relied on but not independently confirmed, testable by a replicator with primary access — and is, per §8.5, the single most consequential unverified assumption in the study.</w:t>
      </w:r>
    </w:p>
    <w:p>
      <w:pPr>
        <w:keepNext/>
        <w:spacing w:line="480" w:lineRule="auto" w:after="120"/>
        <w:jc w:val="left"/>
      </w:pPr>
      <w:r>
        <w:rPr>
          <w:rFonts w:ascii="Times New Roman" w:hAnsi="Times New Roman" w:eastAsia="Times New Roman"/>
          <w:b/>
          <w:sz w:val="26"/>
        </w:rPr>
        <w:t>4. Empirical strategy</w:t>
      </w:r>
    </w:p>
    <w:p>
      <w:pPr>
        <w:keepNext/>
        <w:spacing w:line="480" w:lineRule="auto" w:after="120"/>
        <w:jc w:val="left"/>
      </w:pPr>
      <w:r>
        <w:rPr>
          <w:rFonts w:ascii="Times New Roman" w:hAnsi="Times New Roman" w:eastAsia="Times New Roman"/>
          <w:b/>
          <w:sz w:val="24"/>
        </w:rPr>
        <w:t>4.1 Two difference-in-differences designs we considered and rejected</w:t>
      </w:r>
    </w:p>
    <w:p>
      <w:pPr>
        <w:spacing w:line="480" w:lineRule="auto" w:after="160"/>
        <w:jc w:val="left"/>
      </w:pPr>
      <w:r>
        <w:rPr>
          <w:rFonts w:ascii="Times New Roman" w:hAnsi="Times New Roman" w:eastAsia="Times New Roman"/>
          <w:sz w:val="24"/>
        </w:rPr>
        <w:t>Before settling on the specification below, we considered and rejected two difference-in-differences (DID) designs that would have let us speak of a causal "effect of the reform." Using the provincial-to-national approval switch as a DID shock fails because its parallel-trends assumption fails pre-period for three of six candidate outcomes (chalkiness +0.515 pp/year, p = 0.006; amylose +0.212, p &lt; 0.0001; thousand-grain weight −0.130, p = 0.003 — all trending differently across administrative levels before 2016), so a post-2016 gap would conflate a real channel effect with pre-existing divergence. Using varying channel exposure across trial groups as a differential-intensity DID fails because penetration ranges only 0.33–0.63 across groups, leaving no low-exposure counterfactual. Our design is accordingly not a DID and does not estimate a pre/post treatment effect; it is a within-cell cross-sectional comparison, described next.</w:t>
      </w:r>
    </w:p>
    <w:p>
      <w:pPr>
        <w:keepNext/>
        <w:spacing w:line="480" w:lineRule="auto" w:after="120"/>
        <w:jc w:val="left"/>
      </w:pPr>
      <w:r>
        <w:rPr>
          <w:rFonts w:ascii="Times New Roman" w:hAnsi="Times New Roman" w:eastAsia="Times New Roman"/>
          <w:b/>
          <w:sz w:val="24"/>
        </w:rPr>
        <w:t>4.2 A record-level trial-channel treatment and the collinearity problem</w:t>
      </w:r>
    </w:p>
    <w:p>
      <w:pPr>
        <w:spacing w:line="480" w:lineRule="auto" w:after="160"/>
        <w:jc w:val="left"/>
      </w:pPr>
      <w:r>
        <w:rPr>
          <w:rFonts w:ascii="Times New Roman" w:hAnsi="Times New Roman" w:eastAsia="Times New Roman"/>
          <w:sz w:val="24"/>
        </w:rPr>
        <w:t>Reconstructing the trial channel at the record level — rather than treating the 2016 reform as a single period indicator, as the one existing evaluation does (Xiang et al., 2025) — makes it possible to ask not "did the market change after the reform" but "does what enters differ by door, within the same year." A naive specification Y ~ channel + year + trial_group + check + breeding_system is not estimable: the named check is nearly perfectly nested within trial group, so entering both additively produces a rank-deficient design matrix. Rather than dropping either variable — losing the institutional structure the comparison needs held fixed — we absorb the hierarchy into one interaction fixed effect,</w:t>
      </w:r>
    </w:p>
    <w:p>
      <w:pPr>
        <w:spacing w:line="480" w:lineRule="auto" w:after="160"/>
        <w:jc w:val="left"/>
      </w:pPr>
      <w:r>
        <w:rPr>
          <w:rFonts w:ascii="Times New Roman" w:hAnsi="Times New Roman" w:eastAsia="Times New Roman"/>
          <w:sz w:val="24"/>
        </w:rPr>
        <w:t>c(i) = Yearᵢ × TrialGroupᵢ × Checkᵢ,</w:t>
      </w:r>
    </w:p>
    <w:p>
      <w:pPr>
        <w:spacing w:line="480" w:lineRule="auto" w:after="160"/>
        <w:jc w:val="left"/>
      </w:pPr>
      <w:r>
        <w:rPr>
          <w:rFonts w:ascii="Times New Roman" w:hAnsi="Times New Roman" w:eastAsia="Times New Roman"/>
          <w:sz w:val="24"/>
        </w:rPr>
        <w:t>which eliminates the collinearity and sharpens interpretation: every gap is identified from records tested in the same year, ecological trial group and against the same named check. Cells with only one channel contribute no identifying variation and are dropped; the resulting effective sample sizes appear in Table 3.</w:t>
      </w:r>
    </w:p>
    <w:p>
      <w:pPr>
        <w:keepNext/>
        <w:spacing w:line="480" w:lineRule="auto" w:after="120"/>
        <w:jc w:val="left"/>
      </w:pPr>
      <w:r>
        <w:rPr>
          <w:rFonts w:ascii="Times New Roman" w:hAnsi="Times New Roman" w:eastAsia="Times New Roman"/>
          <w:b/>
          <w:sz w:val="24"/>
        </w:rPr>
        <w:t>4.3 Main specification and estimator</w:t>
      </w:r>
    </w:p>
    <w:p>
      <w:pPr>
        <w:spacing w:line="480" w:lineRule="auto" w:after="160"/>
        <w:jc w:val="left"/>
      </w:pPr>
      <w:r>
        <w:rPr>
          <w:rFonts w:ascii="Times New Roman" w:hAnsi="Times New Roman" w:eastAsia="Times New Roman"/>
          <w:sz w:val="24"/>
        </w:rPr>
        <w:t>The main specification is</w:t>
      </w:r>
    </w:p>
    <w:p>
      <w:pPr>
        <w:spacing w:line="480" w:lineRule="auto" w:after="160"/>
        <w:jc w:val="left"/>
      </w:pPr>
      <w:r>
        <w:rPr>
          <w:rFonts w:ascii="Times New Roman" w:hAnsi="Times New Roman" w:eastAsia="Times New Roman"/>
          <w:sz w:val="24"/>
        </w:rPr>
        <w:t>Yᵢ = βNewChannelᵢ + γ_(c(i)) + δ_(b(i)) + εᵢ,</w:t>
      </w:r>
    </w:p>
    <w:p>
      <w:pPr>
        <w:spacing w:line="480" w:lineRule="auto" w:after="160"/>
        <w:jc w:val="left"/>
      </w:pPr>
      <w:r>
        <w:rPr>
          <w:rFonts w:ascii="Times New Roman" w:hAnsi="Times New Roman" w:eastAsia="Times New Roman"/>
          <w:sz w:val="24"/>
        </w:rPr>
        <w:t xml:space="preserve">where γ_(c(i)) is the interaction fixed effect above and δ_(b(i)) a breeding-system fixed effect (two-line/three-line hybrid/conventional). Standard errors are clustered at c when an arm has at least five effective clusters, or HC1 otherwise (Arm 2's stratum has only three cells), flagged in every table. We estimate the two channels separately rather than pooling, since the green channel (2017) and consortium channel (2019–2022) barely overlap in time and diverge in sign on at least one outcome (production-trial yield gain: +0.919 pp consortium vs. −1.036 pp green). </w:t>
      </w:r>
      <w:r>
        <w:rPr>
          <w:rFonts w:ascii="Times New Roman" w:hAnsi="Times New Roman" w:eastAsia="Times New Roman"/>
          <w:b/>
          <w:sz w:val="24"/>
        </w:rPr>
        <w:t>Arm 1</w:t>
      </w:r>
      <w:r>
        <w:rPr>
          <w:rFonts w:ascii="Times New Roman" w:hAnsi="Times New Roman" w:eastAsia="Times New Roman"/>
          <w:sz w:val="24"/>
        </w:rPr>
        <w:t xml:space="preserve"> sets NewChannelᵢ = 𝟙[Consortiumᵢ] on Unified/Consortium records, 2019–2022; </w:t>
      </w:r>
      <w:r>
        <w:rPr>
          <w:rFonts w:ascii="Times New Roman" w:hAnsi="Times New Roman" w:eastAsia="Times New Roman"/>
          <w:b/>
          <w:sz w:val="24"/>
        </w:rPr>
        <w:t>Arm 2</w:t>
      </w:r>
      <w:r>
        <w:rPr>
          <w:rFonts w:ascii="Times New Roman" w:hAnsi="Times New Roman" w:eastAsia="Times New Roman"/>
          <w:sz w:val="24"/>
        </w:rPr>
        <w:t xml:space="preserve"> sets it to 𝟙[Greenᵢ] on Unified/Green records, 2017. A pooled specification is reported only as a reference row, never the headline estimate.</w:t>
      </w:r>
    </w:p>
    <w:p>
      <w:pPr>
        <w:keepNext/>
        <w:spacing w:line="480" w:lineRule="auto" w:after="120"/>
        <w:jc w:val="left"/>
      </w:pPr>
      <w:r>
        <w:rPr>
          <w:rFonts w:ascii="Times New Roman" w:hAnsi="Times New Roman" w:eastAsia="Times New Roman"/>
          <w:b/>
          <w:sz w:val="24"/>
        </w:rPr>
        <w:t>4.4 What β identifies: a composition effect, not a treatment effect</w:t>
      </w:r>
    </w:p>
    <w:p>
      <w:pPr>
        <w:spacing w:line="480" w:lineRule="auto" w:after="160"/>
        <w:jc w:val="left"/>
      </w:pPr>
      <w:r>
        <w:rPr>
          <w:rFonts w:ascii="Times New Roman" w:hAnsi="Times New Roman" w:eastAsia="Times New Roman"/>
          <w:sz w:val="24"/>
        </w:rPr>
        <w:t xml:space="preserve">β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within the same cell, how much better or worse, on average, are varieties entering through the self-organised door than the unified-trial door. It is not an estimate of what would happen if one variety moved between doors — that would need random assignment or a credible instrument, and we have neither. This is nonetheless what a regulator monitoring the entering population needs, and we avoid the language of </w:t>
      </w:r>
      <w:r>
        <w:rPr>
          <w:rFonts w:ascii="Times New Roman" w:hAnsi="Times New Roman" w:eastAsia="Times New Roman"/>
          <w:i/>
          <w:sz w:val="24"/>
        </w:rPr>
        <w:t>effect of</w:t>
      </w:r>
      <w:r>
        <w:rPr>
          <w:rFonts w:ascii="Times New Roman" w:hAnsi="Times New Roman" w:eastAsia="Times New Roman"/>
          <w:sz w:val="24"/>
        </w:rPr>
        <w:t xml:space="preserve">, </w:t>
      </w:r>
      <w:r>
        <w:rPr>
          <w:rFonts w:ascii="Times New Roman" w:hAnsi="Times New Roman" w:eastAsia="Times New Roman"/>
          <w:i/>
          <w:sz w:val="24"/>
        </w:rPr>
        <w:t>impact of</w:t>
      </w:r>
      <w:r>
        <w:rPr>
          <w:rFonts w:ascii="Times New Roman" w:hAnsi="Times New Roman" w:eastAsia="Times New Roman"/>
          <w:sz w:val="24"/>
        </w:rPr>
        <w:t xml:space="preserve"> or </w:t>
      </w:r>
      <w:r>
        <w:rPr>
          <w:rFonts w:ascii="Times New Roman" w:hAnsi="Times New Roman" w:eastAsia="Times New Roman"/>
          <w:i/>
          <w:sz w:val="24"/>
        </w:rPr>
        <w:t>caused by</w:t>
      </w:r>
      <w:r>
        <w:rPr>
          <w:rFonts w:ascii="Times New Roman" w:hAnsi="Times New Roman" w:eastAsia="Times New Roman"/>
          <w:sz w:val="24"/>
        </w:rPr>
        <w:t xml:space="preserve"> throughout.</w:t>
      </w:r>
    </w:p>
    <w:p>
      <w:pPr>
        <w:keepNext/>
        <w:spacing w:line="480" w:lineRule="auto" w:after="120"/>
        <w:jc w:val="left"/>
      </w:pPr>
      <w:r>
        <w:rPr>
          <w:rFonts w:ascii="Times New Roman" w:hAnsi="Times New Roman" w:eastAsia="Times New Roman"/>
          <w:b/>
          <w:sz w:val="24"/>
        </w:rPr>
        <w:t>4.5 Identification argument: separating ability from measurement</w:t>
      </w:r>
    </w:p>
    <w:p>
      <w:pPr>
        <w:spacing w:line="480" w:lineRule="auto" w:after="160"/>
        <w:jc w:val="left"/>
      </w:pPr>
      <w:r>
        <w:rPr>
          <w:rFonts w:ascii="Times New Roman" w:hAnsi="Times New Roman" w:eastAsia="Times New Roman"/>
          <w:sz w:val="24"/>
        </w:rPr>
        <w:t xml:space="preserve">The paper's central inferential move compares two behaviourally distinct outcome classes within the same specification. This move is also the paper's methodological claim in operation, not merely an application of it: we treat </w:t>
      </w:r>
      <w:r>
        <w:rPr>
          <w:rFonts w:ascii="Times New Roman" w:hAnsi="Times New Roman" w:eastAsia="Times New Roman"/>
          <w:i/>
          <w:sz w:val="24"/>
        </w:rPr>
        <w:t>who measured a field</w:t>
      </w:r>
      <w:r>
        <w:rPr>
          <w:rFonts w:ascii="Times New Roman" w:hAnsi="Times New Roman" w:eastAsia="Times New Roman"/>
          <w:sz w:val="24"/>
        </w:rPr>
        <w:t xml:space="preserve"> as a property of the field rather than of the source, partitioning the outcome set on it before estimating anything. Every field comes from the same announcement, issued by the same authority on the same date, so a source-level data-quality judgement cannot distinguish them; the general lesson drawn in §8.4 is nothing more than this section's premise stated in the abstract. Let Y^(3rd) denote an outcome assayed by a third party (head-rice, chalkiness, stated quality grade) and Y^(self) an outcome from the applicant's own trial (yield gain over check). Two hypotheses predict different relations between β^(3rd) and β^(self):</w:t>
      </w:r>
    </w:p>
    <w:p>
      <w:pPr>
        <w:pStyle w:val="ListBullet"/>
        <w:spacing w:line="360" w:lineRule="auto" w:after="40"/>
      </w:pPr>
      <w:r>
        <w:rPr>
          <w:rFonts w:ascii="Times New Roman" w:hAnsi="Times New Roman" w:eastAsia="Times New Roman"/>
          <w:b/>
          <w:sz w:val="24"/>
        </w:rPr>
        <w:t>H_(ability)</w:t>
      </w:r>
      <w:r>
        <w:rPr>
          <w:rFonts w:ascii="Times New Roman" w:hAnsi="Times New Roman" w:eastAsia="Times New Roman"/>
          <w:sz w:val="24"/>
        </w:rPr>
        <w:t xml:space="preserve"> (pure breeding-ability difference): self-organised applicants breed</w:t>
      </w:r>
    </w:p>
    <w:p>
      <w:pPr>
        <w:spacing w:line="480" w:lineRule="auto" w:after="160"/>
        <w:jc w:val="left"/>
      </w:pPr>
      <w:r>
        <w:rPr>
          <w:rFonts w:ascii="Times New Roman" w:hAnsi="Times New Roman" w:eastAsia="Times New Roman"/>
          <w:sz w:val="24"/>
        </w:rPr>
        <w:t xml:space="preserve">systematically weaker varieties, so β^(3rd) &lt; 0 </w:t>
      </w:r>
      <w:r>
        <w:rPr>
          <w:rFonts w:ascii="Times New Roman" w:hAnsi="Times New Roman" w:eastAsia="Times New Roman"/>
          <w:b/>
          <w:sz w:val="24"/>
        </w:rPr>
        <w:t>and</w:t>
      </w:r>
      <w:r>
        <w:rPr>
          <w:rFonts w:ascii="Times New Roman" w:hAnsi="Times New Roman" w:eastAsia="Times New Roman"/>
          <w:sz w:val="24"/>
        </w:rPr>
        <w:t xml:space="preserve"> β^(self) &lt; 0 together.</w:t>
      </w:r>
    </w:p>
    <w:p>
      <w:pPr>
        <w:pStyle w:val="ListBullet"/>
        <w:spacing w:line="360" w:lineRule="auto" w:after="40"/>
      </w:pPr>
      <w:r>
        <w:rPr>
          <w:rFonts w:ascii="Times New Roman" w:hAnsi="Times New Roman" w:eastAsia="Times New Roman"/>
          <w:b/>
          <w:sz w:val="24"/>
        </w:rPr>
        <w:t>H_(measure)</w:t>
      </w:r>
      <w:r>
        <w:rPr>
          <w:rFonts w:ascii="Times New Roman" w:hAnsi="Times New Roman" w:eastAsia="Times New Roman"/>
          <w:sz w:val="24"/>
        </w:rPr>
        <w:t xml:space="preserve"> (measurement-authority allocation): the two classes are measured by</w:t>
      </w:r>
    </w:p>
    <w:p>
      <w:pPr>
        <w:spacing w:line="480" w:lineRule="auto" w:after="160"/>
        <w:jc w:val="left"/>
      </w:pPr>
      <w:r>
        <w:rPr>
          <w:rFonts w:ascii="Times New Roman" w:hAnsi="Times New Roman" w:eastAsia="Times New Roman"/>
          <w:sz w:val="24"/>
        </w:rPr>
        <w:t xml:space="preserve">different parties with different incentives, predicting β^(3rd) &lt; 0 </w:t>
      </w:r>
      <w:r>
        <w:rPr>
          <w:rFonts w:ascii="Times New Roman" w:hAnsi="Times New Roman" w:eastAsia="Times New Roman"/>
          <w:b/>
          <w:sz w:val="24"/>
        </w:rPr>
        <w:t>while</w:t>
      </w:r>
      <w:r>
        <w:rPr>
          <w:rFonts w:ascii="Times New Roman" w:hAnsi="Times New Roman" w:eastAsia="Times New Roman"/>
          <w:sz w:val="24"/>
        </w:rPr>
        <w:t xml:space="preserve"> β^(self) ≥ 0 — a sign separation.</w:t>
      </w:r>
    </w:p>
    <w:p>
      <w:pPr>
        <w:spacing w:line="480" w:lineRule="auto" w:after="160"/>
        <w:jc w:val="left"/>
      </w:pPr>
      <w:r>
        <w:rPr>
          <w:rFonts w:ascii="Times New Roman" w:hAnsi="Times New Roman" w:eastAsia="Times New Roman"/>
          <w:sz w:val="24"/>
        </w:rPr>
        <w:t>Arm 1 shows exactly the pattern H_(measure) predicts and H_(ability) rules out: β^(3rd) is −1.844 for head-rice (p &lt; 0.0001), +1.108 for chalkiness (p = 0.012), and −0.122 for stated grade (p = 0.008), while β^(self) is +0.553 for regional-trial yield gain (p = 0.019) and +0.919 for production-trial yield gain (p &lt; 0.0001). A pure ability-difference story would need self-organised applicants to be simultaneously worse breeders on quality and not worse on yield, within the same variety; only different measuring parties, or different admission thresholds, can produce this pattern.</w:t>
      </w:r>
    </w:p>
    <w:p>
      <w:pPr>
        <w:spacing w:line="480" w:lineRule="auto" w:after="160"/>
        <w:jc w:val="left"/>
      </w:pPr>
      <w:r>
        <w:rPr>
          <w:rFonts w:ascii="Times New Roman" w:hAnsi="Times New Roman" w:eastAsia="Times New Roman"/>
          <w:sz w:val="24"/>
        </w:rPr>
        <w:t>We are equally explicit about the limits. This rules out H_(ability), but not a third hypothesis, H_(threshold) — that the two channels simply impose different admission thresholds independent of measurement. H_(measure) and H_(threshold) predict the same sign pattern here, and distinguishing them needs exactly the individual-level, cross-channel variation the within-applicant check (§6, R9) shows this sample cannot supply with power.</w:t>
      </w:r>
    </w:p>
    <w:p>
      <w:pPr>
        <w:keepNext/>
        <w:spacing w:line="480" w:lineRule="auto" w:after="120"/>
        <w:jc w:val="left"/>
      </w:pPr>
      <w:r>
        <w:rPr>
          <w:rFonts w:ascii="Times New Roman" w:hAnsi="Times New Roman" w:eastAsia="Times New Roman"/>
          <w:b/>
          <w:sz w:val="24"/>
        </w:rPr>
        <w:t>4.6 Auxiliary specifications</w:t>
      </w:r>
    </w:p>
    <w:p>
      <w:pPr>
        <w:spacing w:line="480" w:lineRule="auto" w:after="160"/>
        <w:jc w:val="left"/>
      </w:pPr>
      <w:r>
        <w:rPr>
          <w:rFonts w:ascii="Times New Roman" w:hAnsi="Times New Roman" w:eastAsia="Times New Roman"/>
          <w:sz w:val="24"/>
        </w:rPr>
        <w:t>Three auxiliary specifications support the main argument without altering it. A descriptive specification, Yᵢ = θPublicᵢ + γ_(y × g) + δᵦ + εᵢ, restricted to years with a non-missing applicant-type field, characterizes the enterprise vs. public-institution trait division of labour; it is reported only as a directional, descriptive background fact (§4.7, Non-claim 9), not as a structural or causal comparison. A germplasm-concentration comparison — the Herfindahl–Hirschman index across resolved parental lines, with a stratified bootstrap and a label-permutation test for the between-channel difference, and rarefaction for the distinct-line counts — supports the counter-case in §7 and is not used to estimate the main channel gap. An unknown-breakpoint sup-Wald scan (candidate breakpoints 2009–2019, with level-shift and trend-shift specifications) is used only to test whether the quality trajectory has a structural break coincident with the 2016 reform (§4.7, Non-claim 3), not to estimate the channel gap itself.</w:t>
      </w:r>
    </w:p>
    <w:p>
      <w:pPr>
        <w:keepNext/>
        <w:spacing w:line="480" w:lineRule="auto" w:after="120"/>
        <w:jc w:val="left"/>
      </w:pPr>
      <w:r>
        <w:rPr>
          <w:rFonts w:ascii="Times New Roman" w:hAnsi="Times New Roman" w:eastAsia="Times New Roman"/>
          <w:b/>
          <w:sz w:val="24"/>
        </w:rPr>
        <w:t>4.7 What this paper does not claim</w:t>
      </w:r>
    </w:p>
    <w:p>
      <w:pPr>
        <w:spacing w:line="480" w:lineRule="auto" w:after="160"/>
        <w:jc w:val="left"/>
      </w:pPr>
      <w:r>
        <w:rPr>
          <w:rFonts w:ascii="Times New Roman" w:hAnsi="Times New Roman" w:eastAsia="Times New Roman"/>
          <w:sz w:val="24"/>
        </w:rPr>
        <w:t xml:space="preserve">This paper's estimates support a narrower set of claims than the pattern of results might suggest, and we state the boundaries explicitly so no reader mistakes a composition gap for something it is not. One terminology note: where we call an outcome or check </w:t>
      </w:r>
      <w:r>
        <w:rPr>
          <w:rFonts w:ascii="Times New Roman" w:hAnsi="Times New Roman" w:eastAsia="Times New Roman"/>
          <w:i/>
          <w:sz w:val="24"/>
        </w:rPr>
        <w:t>pre-specified</w:t>
      </w:r>
      <w:r>
        <w:rPr>
          <w:rFonts w:ascii="Times New Roman" w:hAnsi="Times New Roman" w:eastAsia="Times New Roman"/>
          <w:sz w:val="24"/>
        </w:rPr>
        <w:t>, we mean it was fixed in a written analysis plan before estimation, not deposited in a public registry — weaker than a registered claim, and readers should weigh it accordingly.</w:t>
      </w:r>
    </w:p>
    <w:p>
      <w:pPr>
        <w:pStyle w:val="ListNumber"/>
        <w:spacing w:line="360" w:lineRule="auto" w:after="40"/>
      </w:pPr>
      <w:r>
        <w:rPr>
          <w:rFonts w:ascii="Times New Roman" w:hAnsi="Times New Roman" w:eastAsia="Times New Roman"/>
          <w:b/>
          <w:sz w:val="24"/>
        </w:rPr>
        <w:t>β is not a causal effect</w:t>
      </w:r>
      <w:r>
        <w:rPr>
          <w:rFonts w:ascii="Times New Roman" w:hAnsi="Times New Roman" w:eastAsia="Times New Roman"/>
          <w:sz w:val="24"/>
        </w:rPr>
        <w:t xml:space="preserve"> — a within-cell composition gap, not the effect of</w:t>
      </w:r>
    </w:p>
    <w:p>
      <w:pPr>
        <w:spacing w:line="480" w:lineRule="auto" w:after="160"/>
        <w:jc w:val="left"/>
      </w:pPr>
      <w:r>
        <w:rPr>
          <w:rFonts w:ascii="Times New Roman" w:hAnsi="Times New Roman" w:eastAsia="Times New Roman"/>
          <w:sz w:val="24"/>
        </w:rPr>
        <w:t>moving a variety between channels; the design for the latter (§6.3) is underpowered by 2–3× on every headline coefficient.</w:t>
      </w:r>
    </w:p>
    <w:p>
      <w:pPr>
        <w:pStyle w:val="ListNumber"/>
        <w:spacing w:line="360" w:lineRule="auto" w:after="40"/>
      </w:pPr>
      <w:r>
        <w:rPr>
          <w:rFonts w:ascii="Times New Roman" w:hAnsi="Times New Roman" w:eastAsia="Times New Roman"/>
          <w:b/>
          <w:sz w:val="24"/>
        </w:rPr>
        <w:t>No language of fabrication or manipulation</w:t>
      </w:r>
      <w:r>
        <w:rPr>
          <w:rFonts w:ascii="Times New Roman" w:hAnsi="Times New Roman" w:eastAsia="Times New Roman"/>
          <w:sz w:val="24"/>
        </w:rPr>
        <w:t xml:space="preserve"> — claims are phrased as </w:t>
      </w:r>
      <w:r>
        <w:rPr>
          <w:rFonts w:ascii="Times New Roman" w:hAnsi="Times New Roman" w:eastAsia="Times New Roman"/>
          <w:i/>
          <w:sz w:val="24"/>
        </w:rPr>
        <w:t>consistent with</w:t>
      </w:r>
    </w:p>
    <w:p>
      <w:pPr>
        <w:spacing w:line="480" w:lineRule="auto" w:after="160"/>
        <w:jc w:val="left"/>
      </w:pPr>
      <w:r>
        <w:rPr>
          <w:rFonts w:ascii="Times New Roman" w:hAnsi="Times New Roman" w:eastAsia="Times New Roman"/>
          <w:sz w:val="24"/>
        </w:rPr>
        <w:t>discretion, not proof of it.</w:t>
      </w:r>
    </w:p>
    <w:p>
      <w:pPr>
        <w:pStyle w:val="ListNumber"/>
        <w:spacing w:line="360" w:lineRule="auto" w:after="40"/>
      </w:pPr>
      <w:r>
        <w:rPr>
          <w:rFonts w:ascii="Times New Roman" w:hAnsi="Times New Roman" w:eastAsia="Times New Roman"/>
          <w:b/>
          <w:sz w:val="24"/>
        </w:rPr>
        <w:t>We do not claim the reform caused the quality gap.</w:t>
      </w:r>
      <w:r>
        <w:rPr>
          <w:rFonts w:ascii="Times New Roman" w:hAnsi="Times New Roman" w:eastAsia="Times New Roman"/>
          <w:sz w:val="24"/>
        </w:rPr>
        <w:t xml:space="preserve"> The breakpoint scan (§5.5) dates</w:t>
      </w:r>
    </w:p>
    <w:p>
      <w:pPr>
        <w:spacing w:line="480" w:lineRule="auto" w:after="160"/>
        <w:jc w:val="left"/>
      </w:pPr>
      <w:r>
        <w:rPr>
          <w:rFonts w:ascii="Times New Roman" w:hAnsi="Times New Roman" w:eastAsia="Times New Roman"/>
          <w:sz w:val="24"/>
        </w:rPr>
        <w:t>the main quality breaks to 2009–2015, before the reform; we estimate a same-year gap.</w:t>
      </w:r>
    </w:p>
    <w:p>
      <w:pPr>
        <w:pStyle w:val="ListNumber"/>
        <w:spacing w:line="360" w:lineRule="auto" w:after="40"/>
      </w:pPr>
      <w:r>
        <w:rPr>
          <w:rFonts w:ascii="Times New Roman" w:hAnsi="Times New Roman" w:eastAsia="Times New Roman"/>
          <w:b/>
          <w:sz w:val="24"/>
        </w:rPr>
        <w:t>Not all third-party traits move the same way</w:t>
      </w:r>
      <w:r>
        <w:rPr>
          <w:rFonts w:ascii="Times New Roman" w:hAnsi="Times New Roman" w:eastAsia="Times New Roman"/>
          <w:sz w:val="24"/>
        </w:rPr>
        <w:t xml:space="preserve"> — bacterial-blight grade moves opposite</w:t>
      </w:r>
    </w:p>
    <w:p>
      <w:pPr>
        <w:spacing w:line="480" w:lineRule="auto" w:after="160"/>
        <w:jc w:val="left"/>
      </w:pPr>
      <w:r>
        <w:rPr>
          <w:rFonts w:ascii="Times New Roman" w:hAnsi="Times New Roman" w:eastAsia="Times New Roman"/>
          <w:sz w:val="24"/>
        </w:rPr>
        <w:t>(§5.2); the headline claim is confined to grain-processing and appearance quality.</w:t>
      </w:r>
    </w:p>
    <w:p>
      <w:pPr>
        <w:pStyle w:val="ListNumber"/>
        <w:spacing w:line="360" w:lineRule="auto" w:after="40"/>
      </w:pPr>
      <w:r>
        <w:rPr>
          <w:rFonts w:ascii="Times New Roman" w:hAnsi="Times New Roman" w:eastAsia="Times New Roman"/>
          <w:b/>
          <w:sz w:val="24"/>
        </w:rPr>
        <w:t>The self-reported yield advantage is not established</w:t>
      </w:r>
      <w:r>
        <w:rPr>
          <w:rFonts w:ascii="Times New Roman" w:hAnsi="Times New Roman" w:eastAsia="Times New Roman"/>
          <w:sz w:val="24"/>
        </w:rPr>
        <w:t xml:space="preserve"> — it reverses sign between arms</w:t>
      </w:r>
    </w:p>
    <w:p>
      <w:pPr>
        <w:spacing w:line="480" w:lineRule="auto" w:after="160"/>
        <w:jc w:val="left"/>
      </w:pPr>
      <w:r>
        <w:rPr>
          <w:rFonts w:ascii="Times New Roman" w:hAnsi="Times New Roman" w:eastAsia="Times New Roman"/>
          <w:sz w:val="24"/>
        </w:rPr>
        <w:t>and its Manski lower bound sits near zero (§6.2), hence "suggestive only."</w:t>
      </w:r>
    </w:p>
    <w:p>
      <w:pPr>
        <w:pStyle w:val="ListNumber"/>
        <w:spacing w:line="360" w:lineRule="auto" w:after="40"/>
      </w:pPr>
      <w:r>
        <w:rPr>
          <w:rFonts w:ascii="Times New Roman" w:hAnsi="Times New Roman" w:eastAsia="Times New Roman"/>
          <w:b/>
          <w:sz w:val="24"/>
        </w:rPr>
        <w:t>No welfare claim</w:t>
      </w:r>
      <w:r>
        <w:rPr>
          <w:rFonts w:ascii="Times New Roman" w:hAnsi="Times New Roman" w:eastAsia="Times New Roman"/>
          <w:sz w:val="24"/>
        </w:rPr>
        <w:t xml:space="preserve"> — no adoption, price or consumption data exists here.</w:t>
      </w:r>
    </w:p>
    <w:p>
      <w:pPr>
        <w:pStyle w:val="ListNumber"/>
        <w:spacing w:line="360" w:lineRule="auto" w:after="40"/>
      </w:pPr>
      <w:r>
        <w:rPr>
          <w:rFonts w:ascii="Times New Roman" w:hAnsi="Times New Roman" w:eastAsia="Times New Roman"/>
          <w:b/>
          <w:sz w:val="24"/>
        </w:rPr>
        <w:t>Approval counts are never an outcome variable</w:t>
      </w:r>
      <w:r>
        <w:rPr>
          <w:rFonts w:ascii="Times New Roman" w:hAnsi="Times New Roman" w:eastAsia="Times New Roman"/>
          <w:sz w:val="24"/>
        </w:rPr>
        <w:t>, only descriptive background, since</w:t>
      </w:r>
    </w:p>
    <w:p>
      <w:pPr>
        <w:spacing w:line="480" w:lineRule="auto" w:after="160"/>
        <w:jc w:val="left"/>
      </w:pPr>
      <w:r>
        <w:rPr>
          <w:rFonts w:ascii="Times New Roman" w:hAnsi="Times New Roman" w:eastAsia="Times New Roman"/>
          <w:sz w:val="24"/>
        </w:rPr>
        <w:t>coverage declines sharply after 2022.</w:t>
      </w:r>
    </w:p>
    <w:p>
      <w:pPr>
        <w:pStyle w:val="ListNumber"/>
        <w:spacing w:line="360" w:lineRule="auto" w:after="40"/>
      </w:pPr>
      <w:r>
        <w:rPr>
          <w:rFonts w:ascii="Times New Roman" w:hAnsi="Times New Roman" w:eastAsia="Times New Roman"/>
          <w:b/>
          <w:sz w:val="24"/>
        </w:rPr>
        <w:t>Findings do not replicate at the provincial level for three of four outcomes</w:t>
      </w:r>
      <w:r>
        <w:rPr>
          <w:rFonts w:ascii="Times New Roman" w:hAnsi="Times New Roman" w:eastAsia="Times New Roman"/>
          <w:sz w:val="24"/>
        </w:rPr>
        <w:t xml:space="preserve"> — see</w:t>
      </w:r>
    </w:p>
    <w:p>
      <w:pPr>
        <w:spacing w:line="480" w:lineRule="auto" w:after="160"/>
        <w:jc w:val="left"/>
      </w:pPr>
      <w:r>
        <w:rPr>
          <w:rFonts w:ascii="Times New Roman" w:hAnsi="Times New Roman" w:eastAsia="Times New Roman"/>
          <w:sz w:val="24"/>
        </w:rPr>
        <w:t>§6.4 for the full, two-part reading.</w:t>
      </w:r>
    </w:p>
    <w:p>
      <w:pPr>
        <w:pStyle w:val="ListNumber"/>
        <w:spacing w:line="360" w:lineRule="auto" w:after="40"/>
      </w:pPr>
      <w:r>
        <w:rPr>
          <w:rFonts w:ascii="Times New Roman" w:hAnsi="Times New Roman" w:eastAsia="Times New Roman"/>
          <w:b/>
          <w:sz w:val="24"/>
        </w:rPr>
        <w:t>No claim that enterprises are better or worse breeders than institutions</w:t>
      </w:r>
      <w:r>
        <w:rPr>
          <w:rFonts w:ascii="Times New Roman" w:hAnsi="Times New Roman" w:eastAsia="Times New Roman"/>
          <w:sz w:val="24"/>
        </w:rPr>
        <w:t xml:space="preserve"> — the</w:t>
      </w:r>
    </w:p>
    <w:p>
      <w:pPr>
        <w:spacing w:line="480" w:lineRule="auto" w:after="160"/>
        <w:jc w:val="left"/>
      </w:pPr>
      <w:r>
        <w:rPr>
          <w:rFonts w:ascii="Times New Roman" w:hAnsi="Times New Roman" w:eastAsia="Times New Roman"/>
          <w:sz w:val="24"/>
        </w:rPr>
        <w:t>comparison (Supplementary Table S1) is descriptive background only.</w:t>
      </w:r>
    </w:p>
    <w:p>
      <w:pPr>
        <w:pStyle w:val="ListNumber"/>
        <w:spacing w:line="360" w:lineRule="auto" w:after="40"/>
      </w:pPr>
      <w:r>
        <w:rPr>
          <w:rFonts w:ascii="Times New Roman" w:hAnsi="Times New Roman" w:eastAsia="Times New Roman"/>
          <w:b/>
          <w:sz w:val="24"/>
        </w:rPr>
        <w:t>No individual applicant organisation is evaluated.</w:t>
      </w:r>
      <w:r>
        <w:rPr>
          <w:rFonts w:ascii="Times New Roman" w:hAnsi="Times New Roman" w:eastAsia="Times New Roman"/>
          <w:sz w:val="24"/>
        </w:rPr>
        <w:t xml:space="preserve"> Nothing in §7 assesses the</w:t>
      </w:r>
    </w:p>
    <w:p>
      <w:pPr>
        <w:spacing w:line="480" w:lineRule="auto" w:after="160"/>
        <w:jc w:val="left"/>
      </w:pPr>
      <w:r>
        <w:rPr>
          <w:rFonts w:ascii="Times New Roman" w:hAnsi="Times New Roman" w:eastAsia="Times New Roman"/>
          <w:sz w:val="24"/>
        </w:rPr>
        <w:t>breeding capability, performance or conduct of any applicant; the concentration indicator describes entry routes, not organisations.</w:t>
      </w:r>
    </w:p>
    <w:p>
      <w:pPr>
        <w:pStyle w:val="ListNumber"/>
        <w:spacing w:line="360" w:lineRule="auto" w:after="40"/>
      </w:pPr>
      <w:r>
        <w:rPr>
          <w:rFonts w:ascii="Times New Roman" w:hAnsi="Times New Roman" w:eastAsia="Times New Roman"/>
          <w:b/>
          <w:sz w:val="24"/>
        </w:rPr>
        <w:t>No claim that homogenization is rising or falling over time</w:t>
      </w:r>
      <w:r>
        <w:rPr>
          <w:rFonts w:ascii="Times New Roman" w:hAnsi="Times New Roman" w:eastAsia="Times New Roman"/>
          <w:sz w:val="24"/>
        </w:rPr>
        <w:t xml:space="preserve"> — §7 compares</w:t>
      </w:r>
    </w:p>
    <w:p>
      <w:pPr>
        <w:spacing w:line="480" w:lineRule="auto" w:after="160"/>
        <w:jc w:val="left"/>
      </w:pPr>
      <w:r>
        <w:rPr>
          <w:rFonts w:ascii="Times New Roman" w:hAnsi="Times New Roman" w:eastAsia="Times New Roman"/>
          <w:sz w:val="24"/>
        </w:rPr>
        <w:t xml:space="preserve">concentration </w:t>
      </w:r>
      <w:r>
        <w:rPr>
          <w:rFonts w:ascii="Times New Roman" w:hAnsi="Times New Roman" w:eastAsia="Times New Roman"/>
          <w:i/>
          <w:sz w:val="24"/>
        </w:rPr>
        <w:t>between channels within a period</w:t>
      </w:r>
      <w:r>
        <w:rPr>
          <w:rFonts w:ascii="Times New Roman" w:hAnsi="Times New Roman" w:eastAsia="Times New Roman"/>
          <w:sz w:val="24"/>
        </w:rPr>
        <w:t>, not a time trend.</w:t>
      </w:r>
    </w:p>
    <w:p>
      <w:pPr>
        <w:pStyle w:val="ListNumber"/>
        <w:spacing w:line="360" w:lineRule="auto" w:after="40"/>
      </w:pPr>
      <w:r>
        <w:rPr>
          <w:rFonts w:ascii="Times New Roman" w:hAnsi="Times New Roman" w:eastAsia="Times New Roman"/>
          <w:b/>
          <w:sz w:val="24"/>
        </w:rPr>
        <w:t>We do not treat the compilation as an official, complete registry</w:t>
      </w:r>
      <w:r>
        <w:rPr>
          <w:rFonts w:ascii="Times New Roman" w:hAnsi="Times New Roman" w:eastAsia="Times New Roman"/>
          <w:sz w:val="24"/>
        </w:rPr>
        <w:t xml:space="preserve"> — its field-level</w:t>
      </w:r>
    </w:p>
    <w:p>
      <w:pPr>
        <w:spacing w:line="480" w:lineRule="auto" w:after="160"/>
        <w:jc w:val="left"/>
      </w:pPr>
      <w:r>
        <w:rPr>
          <w:rFonts w:ascii="Times New Roman" w:hAnsi="Times New Roman" w:eastAsia="Times New Roman"/>
          <w:sz w:val="24"/>
        </w:rPr>
        <w:t>agreement with the original MARA text has not been verified (§3.4), which the paper relies on rather than guarantees.</w:t>
      </w:r>
    </w:p>
    <w:p>
      <w:pPr>
        <w:keepNext/>
        <w:spacing w:line="480" w:lineRule="auto" w:after="120"/>
        <w:jc w:val="left"/>
      </w:pPr>
      <w:r>
        <w:rPr>
          <w:rFonts w:ascii="Times New Roman" w:hAnsi="Times New Roman" w:eastAsia="Times New Roman"/>
          <w:b/>
          <w:sz w:val="26"/>
        </w:rPr>
        <w:t>5. Results</w:t>
      </w:r>
    </w:p>
    <w:p>
      <w:pPr>
        <w:keepNext/>
        <w:spacing w:line="480" w:lineRule="auto" w:after="120"/>
        <w:jc w:val="left"/>
      </w:pPr>
      <w:r>
        <w:rPr>
          <w:rFonts w:ascii="Times New Roman" w:hAnsi="Times New Roman" w:eastAsia="Times New Roman"/>
          <w:b/>
          <w:sz w:val="24"/>
        </w:rPr>
        <w:t>5.1 Sample and strata</w:t>
      </w:r>
    </w:p>
    <w:p>
      <w:pPr>
        <w:spacing w:line="480" w:lineRule="auto" w:after="160"/>
        <w:jc w:val="left"/>
      </w:pPr>
      <w:r>
        <w:rPr>
          <w:rFonts w:ascii="Times New Roman" w:hAnsi="Times New Roman" w:eastAsia="Times New Roman"/>
          <w:sz w:val="24"/>
        </w:rPr>
        <w:t xml:space="preserve">The main analysis layer restricts to national-level (国审) approvals in the two dominant indica trial groups (middle-and-lower-Yangtze; upper-Yangtze mid-season) in years the channel variable actually varies — 2017 and 2019–2022 — yielding </w:t>
      </w:r>
      <w:r>
        <w:rPr>
          <w:rFonts w:ascii="Times New Roman" w:hAnsi="Times New Roman" w:eastAsia="Times New Roman"/>
          <w:b/>
          <w:sz w:val="24"/>
        </w:rPr>
        <w:t>n = 878</w:t>
      </w:r>
      <w:r>
        <w:rPr>
          <w:rFonts w:ascii="Times New Roman" w:hAnsi="Times New Roman" w:eastAsia="Times New Roman"/>
          <w:sz w:val="24"/>
        </w:rPr>
        <w:t xml:space="preserve"> (Unified 406, Consortium 405, Green 67). Since the green channel (2017) and consortium trials (2019–2022) do not overlap, we estimate two separate arms (§4.3): </w:t>
      </w:r>
      <w:r>
        <w:rPr>
          <w:rFonts w:ascii="Times New Roman" w:hAnsi="Times New Roman" w:eastAsia="Times New Roman"/>
          <w:b/>
          <w:sz w:val="24"/>
        </w:rPr>
        <w:t>Arm 1</w:t>
      </w:r>
      <w:r>
        <w:rPr>
          <w:rFonts w:ascii="Times New Roman" w:hAnsi="Times New Roman" w:eastAsia="Times New Roman"/>
          <w:sz w:val="24"/>
        </w:rPr>
        <w:t xml:space="preserve"> compares Consortium (n = 405) with Unified (n = 354) within 2019–2022 (pre-outcome-drop n = 759, later n = 520–759 by missingness); </w:t>
      </w:r>
      <w:r>
        <w:rPr>
          <w:rFonts w:ascii="Times New Roman" w:hAnsi="Times New Roman" w:eastAsia="Times New Roman"/>
          <w:b/>
          <w:sz w:val="24"/>
        </w:rPr>
        <w:t>Arm 2</w:t>
      </w:r>
      <w:r>
        <w:rPr>
          <w:rFonts w:ascii="Times New Roman" w:hAnsi="Times New Roman" w:eastAsia="Times New Roman"/>
          <w:sz w:val="24"/>
        </w:rPr>
        <w:t xml:space="preserve"> compares Green (n = 67) with Unified (n = 52) within 2017 (n = 119, 2–3 identifying cells). Table 3 reports both arms for all 17 outcomes, split into third-party-assayed and applicant-self-reported blocks; Fig. 2 plots the same 34 estimates as a forest plot, colour-coded by measuring party.</w:t>
      </w:r>
    </w:p>
    <w:p>
      <w:pPr>
        <w:keepNext/>
        <w:spacing w:line="480" w:lineRule="auto" w:after="120"/>
        <w:jc w:val="left"/>
      </w:pPr>
      <w:r>
        <w:rPr>
          <w:rFonts w:ascii="Times New Roman" w:hAnsi="Times New Roman" w:eastAsia="Times New Roman"/>
          <w:b/>
          <w:sz w:val="24"/>
        </w:rPr>
        <w:t>5.2 Arm 1: Consortium versus Unified, 2019–2022</w:t>
      </w:r>
    </w:p>
    <w:p>
      <w:pPr>
        <w:spacing w:line="480" w:lineRule="auto" w:after="160"/>
        <w:jc w:val="left"/>
      </w:pPr>
      <w:r>
        <w:rPr>
          <w:rFonts w:ascii="Times New Roman" w:hAnsi="Times New Roman" w:eastAsia="Times New Roman"/>
          <w:sz w:val="24"/>
        </w:rPr>
        <w:t>Consortium entrants show a consistent, statistically robust deficit on every third-party-assayed grain-processing and appearance trait in the main quality block (Table 3; Fig. 2, left panel). Head-rice percentage is 1.844 pp lower (95% CI [−2.636, −1.052], p = 5.1 × 10⁻⁶, n = 742); chalkiness degree is 1.108 pp higher, i.e. worse (95% CI [0.248, 1.969], p = 0.012, n = 739); and the probability a national/industry quality grade is stated at all (</w:t>
      </w:r>
      <w:r>
        <w:rPr>
          <w:rFonts w:ascii="Times New Roman" w:hAnsi="Times New Roman" w:eastAsia="Times New Roman"/>
          <w:sz w:val="24"/>
        </w:rPr>
        <w:t>quality_stated</w:t>
      </w:r>
      <w:r>
        <w:rPr>
          <w:rFonts w:ascii="Times New Roman" w:hAnsi="Times New Roman" w:eastAsia="Times New Roman"/>
          <w:sz w:val="24"/>
        </w:rPr>
        <w:t>) is 12.2 pp lower (95% CI [−0.211, −0.033], p = 0.008, n = 750). Among graded records, the probability of the top two national tiers (</w:t>
      </w:r>
      <w:r>
        <w:rPr>
          <w:rFonts w:ascii="Times New Roman" w:hAnsi="Times New Roman" w:eastAsia="Times New Roman"/>
          <w:sz w:val="24"/>
        </w:rPr>
        <w:t>quality_top2</w:t>
      </w:r>
      <w:r>
        <w:rPr>
          <w:rFonts w:ascii="Times New Roman" w:hAnsi="Times New Roman" w:eastAsia="Times New Roman"/>
          <w:sz w:val="24"/>
        </w:rPr>
        <w:t>) is also lower by 9.1 pp (p = 0.009, n = 618), though this does not survive Manski worst-case bounds (§6.2) and is treated as secondary. Gel consistency moves the same way (β = −1.814 mm, p = 0.015, n = 728). Amylose content and grain length–width ratio show no significant difference; neck-blast resistance is not estimable in Arm 2 (§5.3) and shows no Arm 1 gap (p = 0.28).</w:t>
      </w:r>
    </w:p>
    <w:p>
      <w:pPr>
        <w:spacing w:line="480" w:lineRule="auto" w:after="160"/>
        <w:jc w:val="left"/>
      </w:pPr>
      <w:r>
        <w:rPr>
          <w:rFonts w:ascii="Times New Roman" w:hAnsi="Times New Roman" w:eastAsia="Times New Roman"/>
          <w:sz w:val="24"/>
        </w:rPr>
        <w:t xml:space="preserve">Against this, applicant-self-reported yield traits move oppositely: regional-trial yield gain over check is 0.553 pp </w:t>
      </w:r>
      <w:r>
        <w:rPr>
          <w:rFonts w:ascii="Times New Roman" w:hAnsi="Times New Roman" w:eastAsia="Times New Roman"/>
          <w:i/>
          <w:sz w:val="24"/>
        </w:rPr>
        <w:t>higher</w:t>
      </w:r>
      <w:r>
        <w:rPr>
          <w:rFonts w:ascii="Times New Roman" w:hAnsi="Times New Roman" w:eastAsia="Times New Roman"/>
          <w:sz w:val="24"/>
        </w:rPr>
        <w:t xml:space="preserve"> (95% CI [0.091, 1.016], p = 0.019, n = 708), and production-trial yield gain is 0.919 pp higher (95% CI [0.505, 1.333], p &lt; 0.0001, n = 578). Raw two-year yield (kg/mu) shows no difference (β = +1.43, p = 0.61, n = 716), consistent with the gain-over-check measures capturing a comparison-scale effect. Two of three pre-specified placebos — seed-setting (β = −0.202, p = 0.43) and 1000-grain weight (β = +0.138, p = 0.59) — are non-significant as required. Plant height is 0.952 cm higher (p = 0.044); pre-specified </w:t>
      </w:r>
      <w:r>
        <w:rPr>
          <w:rFonts w:ascii="Times New Roman" w:hAnsi="Times New Roman" w:eastAsia="Times New Roman"/>
          <w:i/>
          <w:sz w:val="24"/>
        </w:rPr>
        <w:t>outside</w:t>
      </w:r>
      <w:r>
        <w:rPr>
          <w:rFonts w:ascii="Times New Roman" w:hAnsi="Times New Roman" w:eastAsia="Times New Roman"/>
          <w:sz w:val="24"/>
        </w:rPr>
        <w:t xml:space="preserve"> the placebo set, this is reported as auxiliary evidence of a taller, larger-panicle selection type (§6.1, R12).</w:t>
      </w:r>
    </w:p>
    <w:p>
      <w:pPr>
        <w:spacing w:line="480" w:lineRule="auto" w:after="160"/>
        <w:jc w:val="left"/>
      </w:pPr>
      <w:r>
        <w:rPr>
          <w:rFonts w:ascii="Times New Roman" w:hAnsi="Times New Roman" w:eastAsia="Times New Roman"/>
          <w:sz w:val="24"/>
        </w:rPr>
        <w:t xml:space="preserve">One trait falls outside the sign-separation pattern in a way that supports rather than undermines the identification argument: bacterial-blight grade, also third-party assayed, is 0.190 grades </w:t>
      </w:r>
      <w:r>
        <w:rPr>
          <w:rFonts w:ascii="Times New Roman" w:hAnsi="Times New Roman" w:eastAsia="Times New Roman"/>
          <w:i/>
          <w:sz w:val="24"/>
        </w:rPr>
        <w:t>lower</w:t>
      </w:r>
      <w:r>
        <w:rPr>
          <w:rFonts w:ascii="Times New Roman" w:hAnsi="Times New Roman" w:eastAsia="Times New Roman"/>
          <w:sz w:val="24"/>
        </w:rPr>
        <w:t xml:space="preserve"> (more resistant) among Consortium entrants (95% CI [−0.278, −0.102], p &lt; 0.0001, n = 520). We report this prominently because the claim is scoped to grain-processing and appearance quality, not to third-party traits deteriorating uniformly — a claim this result would falsify (§4.7, §6.2).</w:t>
      </w:r>
    </w:p>
    <w:p>
      <w:pPr>
        <w:keepNext/>
        <w:spacing w:line="480" w:lineRule="auto" w:after="120"/>
        <w:jc w:val="left"/>
      </w:pPr>
      <w:r>
        <w:rPr>
          <w:rFonts w:ascii="Times New Roman" w:hAnsi="Times New Roman" w:eastAsia="Times New Roman"/>
          <w:b/>
          <w:sz w:val="24"/>
        </w:rPr>
        <w:t>5.3 Arm 2: Green channel versus Unified, 2017</w:t>
      </w:r>
    </w:p>
    <w:p>
      <w:pPr>
        <w:spacing w:line="480" w:lineRule="auto" w:after="160"/>
        <w:jc w:val="left"/>
      </w:pPr>
      <w:r>
        <w:rPr>
          <w:rFonts w:ascii="Times New Roman" w:hAnsi="Times New Roman" w:eastAsia="Times New Roman"/>
          <w:sz w:val="24"/>
        </w:rPr>
        <w:t xml:space="preserve">Green-channel entrants in 2017 (n = 119, HC1 SEs, 2–3 identifying cells) reproduce the same direction on appearance and grading traits at larger magnitude: chalkiness is 2.809 pp higher (95% CI [1.874, 3.744], p &lt; 0.0001, n = 110) and stated-grade probability is 34.4 pp lower (p &lt; 0.0001, n = 112). Head-rice, by contrast, is </w:t>
      </w:r>
      <w:r>
        <w:rPr>
          <w:rFonts w:ascii="Times New Roman" w:hAnsi="Times New Roman" w:eastAsia="Times New Roman"/>
          <w:i/>
          <w:sz w:val="24"/>
        </w:rPr>
        <w:t>not</w:t>
      </w:r>
      <w:r>
        <w:rPr>
          <w:rFonts w:ascii="Times New Roman" w:hAnsi="Times New Roman" w:eastAsia="Times New Roman"/>
          <w:sz w:val="24"/>
        </w:rPr>
        <w:t xml:space="preserve"> significantly different (β = −0.391, p = 0.55, n = 106) — a genuine cross-arm inconsistency and one reason the arms are kept separate.</w:t>
      </w:r>
    </w:p>
    <w:p>
      <w:pPr>
        <w:spacing w:line="480" w:lineRule="auto" w:after="160"/>
        <w:jc w:val="left"/>
      </w:pPr>
      <w:r>
        <w:rPr>
          <w:rFonts w:ascii="Times New Roman" w:hAnsi="Times New Roman" w:eastAsia="Times New Roman"/>
          <w:sz w:val="24"/>
        </w:rPr>
        <w:t xml:space="preserve">Two results diverge from Arm 1 and are reported, not deferred. Production-trial yield gain is 1.036 pp </w:t>
      </w:r>
      <w:r>
        <w:rPr>
          <w:rFonts w:ascii="Times New Roman" w:hAnsi="Times New Roman" w:eastAsia="Times New Roman"/>
          <w:i/>
          <w:sz w:val="24"/>
        </w:rPr>
        <w:t>lower</w:t>
      </w:r>
      <w:r>
        <w:rPr>
          <w:rFonts w:ascii="Times New Roman" w:hAnsi="Times New Roman" w:eastAsia="Times New Roman"/>
          <w:sz w:val="24"/>
        </w:rPr>
        <w:t xml:space="preserve"> for Green entrants (95% CI [−1.860, −0.213], p = 0.014, n = 112) — opposite Arm 1's +0.919 pp. Regional-trial yield gain cannot be meaningfully estimated here: only 21 of 119 records are non-missing, driven by the Unified sub-arm's 1.9% coverage (1 of 52); we flag this as </w:t>
      </w:r>
      <w:r>
        <w:rPr>
          <w:rFonts w:ascii="Times New Roman" w:hAnsi="Times New Roman" w:eastAsia="Times New Roman"/>
          <w:i/>
          <w:sz w:val="24"/>
        </w:rPr>
        <w:t>not estimable</w:t>
      </w:r>
      <w:r>
        <w:rPr>
          <w:rFonts w:ascii="Times New Roman" w:hAnsi="Times New Roman" w:eastAsia="Times New Roman"/>
          <w:sz w:val="24"/>
        </w:rPr>
        <w:t xml:space="preserve">, as we do neck-blast (100% missing for all 119 records). Arm 2 does </w:t>
      </w:r>
      <w:r>
        <w:rPr>
          <w:rFonts w:ascii="Times New Roman" w:hAnsi="Times New Roman" w:eastAsia="Times New Roman"/>
          <w:i/>
          <w:sz w:val="24"/>
        </w:rPr>
        <w:t>not</w:t>
      </w:r>
      <w:r>
        <w:rPr>
          <w:rFonts w:ascii="Times New Roman" w:hAnsi="Times New Roman" w:eastAsia="Times New Roman"/>
          <w:sz w:val="24"/>
        </w:rPr>
        <w:t xml:space="preserve"> replicate Arm 1's suggestive yield-advantage pattern, and we do not claim it does.</w:t>
      </w:r>
    </w:p>
    <w:p>
      <w:pPr>
        <w:keepNext/>
        <w:spacing w:line="480" w:lineRule="auto" w:after="120"/>
        <w:jc w:val="left"/>
      </w:pPr>
      <w:r>
        <w:rPr>
          <w:rFonts w:ascii="Times New Roman" w:hAnsi="Times New Roman" w:eastAsia="Times New Roman"/>
          <w:b/>
          <w:sz w:val="24"/>
        </w:rPr>
        <w:t>5.4 Channel composition and convergence over time</w:t>
      </w:r>
    </w:p>
    <w:p>
      <w:pPr>
        <w:spacing w:line="480" w:lineRule="auto" w:after="160"/>
        <w:jc w:val="left"/>
      </w:pPr>
      <w:r>
        <w:rPr>
          <w:rFonts w:ascii="Times New Roman" w:hAnsi="Times New Roman" w:eastAsia="Times New Roman"/>
          <w:sz w:val="24"/>
        </w:rPr>
        <w:t xml:space="preserve">A year-by-year re-estimation of the Arm-1-style channel gap (HC1 SEs, years both channels co-exist: 2017 and 2019–2022; 2018 excluded, a parsing default rather than a real assignment) shows two patterns that must be reported separately. Chalkiness narrows monotonically from +2.71 pp in 2017 (p = 1.1 × 10⁻⁸) to +1.63 (2019), +0.92 (2020), +0.89 (2021) and +0.77 pp (2022, p = 0.038) — genuine convergence. The stated-grade gap weakens on balance (−0.327 to −0.052) but non-monotonically, non-significant in 2020 and 2022. Head-rice shows </w:t>
      </w:r>
      <w:r>
        <w:rPr>
          <w:rFonts w:ascii="Times New Roman" w:hAnsi="Times New Roman" w:eastAsia="Times New Roman"/>
          <w:b/>
          <w:sz w:val="24"/>
        </w:rPr>
        <w:t>no convergence</w:t>
      </w:r>
      <w:r>
        <w:rPr>
          <w:rFonts w:ascii="Times New Roman" w:hAnsi="Times New Roman" w:eastAsia="Times New Roman"/>
          <w:sz w:val="24"/>
        </w:rPr>
        <w:t>: −0.61 pp in 2017 (n.s.), widening to −2.63 (2020, p = 0.0003), −1.48 (2021, p = 0.021) and −3.03 pp (2022, p = 0.006) — its largest values in the most recent years. Regional-trial yield gain fluctuates +0.3 to +0.9 pp with no clear pattern (Fig. 3; full values in Supplementary Material). We therefore do not claim the quality gap is generally closing: only chalkiness, and more weakly stated grade, converge; head-rice — arguably the more material trait — does not.</w:t>
      </w:r>
    </w:p>
    <w:p>
      <w:pPr>
        <w:keepNext/>
        <w:spacing w:line="480" w:lineRule="auto" w:after="120"/>
        <w:jc w:val="left"/>
      </w:pPr>
      <w:r>
        <w:rPr>
          <w:rFonts w:ascii="Times New Roman" w:hAnsi="Times New Roman" w:eastAsia="Times New Roman"/>
          <w:b/>
          <w:sz w:val="24"/>
        </w:rPr>
        <w:t>5.5 Structural breakpoints predate the 2016 reform</w:t>
      </w:r>
    </w:p>
    <w:p>
      <w:pPr>
        <w:spacing w:line="480" w:lineRule="auto" w:after="160"/>
        <w:jc w:val="left"/>
      </w:pPr>
      <w:r>
        <w:rPr>
          <w:rFonts w:ascii="Times New Roman" w:hAnsi="Times New Roman" w:eastAsia="Times New Roman"/>
          <w:sz w:val="24"/>
        </w:rPr>
        <w:t xml:space="preserve">An unknown-breakpoint (sup-Wald/Quandt) scan over 2009–2019, on the full 2005–2022 national two-trial-group layer, asks whether the quality traits behind Arm 1's headline result break structurally at the 2016 reform. They do not. Regional-trial yield per mu breaks at </w:t>
      </w:r>
      <w:r>
        <w:rPr>
          <w:rFonts w:ascii="Times New Roman" w:hAnsi="Times New Roman" w:eastAsia="Times New Roman"/>
          <w:b/>
          <w:sz w:val="24"/>
        </w:rPr>
        <w:t>2017</w:t>
      </w:r>
      <w:r>
        <w:rPr>
          <w:rFonts w:ascii="Times New Roman" w:hAnsi="Times New Roman" w:eastAsia="Times New Roman"/>
          <w:sz w:val="24"/>
        </w:rPr>
        <w:t xml:space="preserve"> (Wald = 230.3, p &lt; 10⁻⁵⁰, n = 1,167; Fig. 4), consistent with a level shift when the new channels opened. But the three quality traits central to this paper's argument break </w:t>
      </w:r>
      <w:r>
        <w:rPr>
          <w:rFonts w:ascii="Times New Roman" w:hAnsi="Times New Roman" w:eastAsia="Times New Roman"/>
          <w:i/>
          <w:sz w:val="24"/>
        </w:rPr>
        <w:t>earlier</w:t>
      </w:r>
      <w:r>
        <w:rPr>
          <w:rFonts w:ascii="Times New Roman" w:hAnsi="Times New Roman" w:eastAsia="Times New Roman"/>
          <w:sz w:val="24"/>
        </w:rPr>
        <w:t xml:space="preserve">: head-rice at </w:t>
      </w:r>
      <w:r>
        <w:rPr>
          <w:rFonts w:ascii="Times New Roman" w:hAnsi="Times New Roman" w:eastAsia="Times New Roman"/>
          <w:b/>
          <w:sz w:val="24"/>
        </w:rPr>
        <w:t>2015</w:t>
      </w:r>
      <w:r>
        <w:rPr>
          <w:rFonts w:ascii="Times New Roman" w:hAnsi="Times New Roman" w:eastAsia="Times New Roman"/>
          <w:sz w:val="24"/>
        </w:rPr>
        <w:t xml:space="preserve"> (Wald = 73.9, p &lt; 10⁻¹⁶), chalkiness at </w:t>
      </w:r>
      <w:r>
        <w:rPr>
          <w:rFonts w:ascii="Times New Roman" w:hAnsi="Times New Roman" w:eastAsia="Times New Roman"/>
          <w:b/>
          <w:sz w:val="24"/>
        </w:rPr>
        <w:t>2009</w:t>
      </w:r>
      <w:r>
        <w:rPr>
          <w:rFonts w:ascii="Times New Roman" w:hAnsi="Times New Roman" w:eastAsia="Times New Roman"/>
          <w:sz w:val="24"/>
        </w:rPr>
        <w:t xml:space="preserve"> (Wald = 22.9, p = 1.1 × 10⁻⁵), and the top-two quality-grade indicator at </w:t>
      </w:r>
      <w:r>
        <w:rPr>
          <w:rFonts w:ascii="Times New Roman" w:hAnsi="Times New Roman" w:eastAsia="Times New Roman"/>
          <w:b/>
          <w:sz w:val="24"/>
        </w:rPr>
        <w:t>2015</w:t>
      </w:r>
      <w:r>
        <w:rPr>
          <w:rFonts w:ascii="Times New Roman" w:hAnsi="Times New Roman" w:eastAsia="Times New Roman"/>
          <w:sz w:val="24"/>
        </w:rPr>
        <w:t xml:space="preserve"> (Wald = 45.5, p = 1.3 × 10⁻¹⁰) — all one to seven years before the reform. Yield gain over check shows no robust break: the 2018 candidate is marginally significant under HC1 (Wald = 6.55, p = 0.038) but not under classical SEs (Wald = 5.40, p = 0.067), and its non-missing rate jumps from 21–22% in 2016–2017 to 100% in 2018, confounding the apparent break with reporting completeness rather than a real discontinuity. Fig. 4 also plots growth duration for context only (peak at 2018, Wald = 226.8), since it is not one of the third-party-assayed traits this section addresses; full scan values are in the Supplementary Material.</w:t>
      </w:r>
    </w:p>
    <w:p>
      <w:pPr>
        <w:spacing w:line="480" w:lineRule="auto" w:after="160"/>
        <w:jc w:val="left"/>
      </w:pPr>
      <w:r>
        <w:rPr>
          <w:rFonts w:ascii="Times New Roman" w:hAnsi="Times New Roman" w:eastAsia="Times New Roman"/>
          <w:sz w:val="24"/>
        </w:rPr>
        <w:t xml:space="preserve">These results support a falsification claim, not a positive dating claim: whatever quality trend is visible pre-2016 was already underway, so attributing it to the reform — rather than to the </w:t>
      </w:r>
      <w:r>
        <w:rPr>
          <w:rFonts w:ascii="Times New Roman" w:hAnsi="Times New Roman" w:eastAsia="Times New Roman"/>
          <w:i/>
          <w:sz w:val="24"/>
        </w:rPr>
        <w:t>channel gap conditional on year</w:t>
      </w:r>
      <w:r>
        <w:rPr>
          <w:rFonts w:ascii="Times New Roman" w:hAnsi="Times New Roman" w:eastAsia="Times New Roman"/>
          <w:sz w:val="24"/>
        </w:rPr>
        <w:t xml:space="preserve"> this paper estimates (§5.2–5.3) — would be mistaken. The result also bears on the year-indexed readings of the same corpus by Lu et al. (2024) and Hang et al. (2024): our break years (2015, 2009) sit inside their trend windows, consistent with, though not a direct test of, gradual rather than reform-triggered change. The two approaches are complementary: a year-indexed design cannot distinguish, as our Arm 1/Arm 2 comparison does, whether varieties entering through one channel look different from contemporaries in another.</w:t>
      </w:r>
    </w:p>
    <w:p>
      <w:pPr>
        <w:keepNext/>
        <w:spacing w:line="480" w:lineRule="auto" w:after="120"/>
        <w:jc w:val="left"/>
      </w:pPr>
      <w:r>
        <w:rPr>
          <w:rFonts w:ascii="Times New Roman" w:hAnsi="Times New Roman" w:eastAsia="Times New Roman"/>
          <w:b/>
          <w:sz w:val="24"/>
        </w:rPr>
        <w:t>5.6 Summary</w:t>
      </w:r>
    </w:p>
    <w:p>
      <w:pPr>
        <w:spacing w:line="276" w:lineRule="auto" w:after="160"/>
        <w:jc w:val="left"/>
      </w:pPr>
      <w:r>
        <w:rPr>
          <w:rFonts w:ascii="Times New Roman" w:hAnsi="Times New Roman" w:eastAsia="Times New Roman"/>
          <w:sz w:val="24"/>
        </w:rPr>
        <w:t>Table 3 and Fig. 2 present the full set of 17 outcome variables for both arms, including the outcomes that run against the paper's central narrative (bacterial-blight resistance, Arm 2's reversed production-trial yield gain, Arm 2's non-estimable regional-trial yield gain). The pattern that survives across both arms is a consistent, third-party-assayed grain-processing and appearance-quality deficit among self-organised-trial entrants, paired with an applicant-measured yield performance that is, if anything, higher — a sign separation inconsistent with a pure breeding-ability account, but not by itself sufficient to rule out differing entry thresholds across channels. Section 6 subjects this pattern to sixteen pre-specified and one additional robustness checks, several of which qualify or fail to replicate parts of the headline result, and reports all of them.</w:t>
      </w:r>
    </w:p>
    <w:p>
      <w:pPr>
        <w:keepNext/>
        <w:spacing w:line="480" w:lineRule="auto" w:after="120"/>
        <w:jc w:val="left"/>
      </w:pPr>
      <w:r>
        <w:rPr>
          <w:rFonts w:ascii="Times New Roman" w:hAnsi="Times New Roman" w:eastAsia="Times New Roman"/>
          <w:b/>
          <w:sz w:val="26"/>
        </w:rPr>
        <w:t>6. Robustness, placebos and bounds</w:t>
      </w:r>
    </w:p>
    <w:p>
      <w:pPr>
        <w:spacing w:line="480" w:lineRule="auto" w:after="160"/>
        <w:jc w:val="left"/>
      </w:pPr>
      <w:r>
        <w:rPr>
          <w:rFonts w:ascii="Times New Roman" w:hAnsi="Times New Roman" w:eastAsia="Times New Roman"/>
          <w:sz w:val="24"/>
        </w:rPr>
        <w:t>This section reports seventeen robustness checks (R1–R17) against the Arm-1 headline results of Section 5 (head-rice −1.844 pp, chalkiness +1.108 pp, stated quality grade −0.122, regional-trial yield gain +0.553 pp, production-trial yield gain +0.919 pp, bacterial-blight grade −0.190; see Table 3 and §5.2 for full CIs, p-values and n). No check is omitted, and where a check does not support the main result, we say so and report the number. Checks that leave the headline pattern essentially unchanged (R1–R6, R8, R10, R12–R14, R17) are reported briefly, with full statistics left in Table 3/Table 4; checks that qualify or complicate the headline pattern (R7, R9, R11) are given full treatment, since these are the ones a reader needs explained rather than tabulated. R15 is the one exception to that arrangement: its verdict and headline diagnostics are reported in §6.5, with its construction and full diagnostics in the Supplementary Material.</w:t>
      </w:r>
    </w:p>
    <w:p>
      <w:pPr>
        <w:keepNext/>
        <w:spacing w:line="480" w:lineRule="auto" w:after="120"/>
        <w:jc w:val="left"/>
      </w:pPr>
      <w:r>
        <w:rPr>
          <w:rFonts w:ascii="Times New Roman" w:hAnsi="Times New Roman" w:eastAsia="Times New Roman"/>
          <w:b/>
          <w:sz w:val="24"/>
        </w:rPr>
        <w:t>6.1 Checks that leave the headline pattern unchanged (R1–R6, R8, R10, R12–R14, R17)</w:t>
      </w:r>
    </w:p>
    <w:p>
      <w:pPr>
        <w:spacing w:line="480" w:lineRule="auto" w:after="160"/>
        <w:jc w:val="left"/>
      </w:pPr>
      <w:r>
        <w:rPr>
          <w:rFonts w:ascii="Times New Roman" w:hAnsi="Times New Roman" w:eastAsia="Times New Roman"/>
          <w:sz w:val="24"/>
        </w:rPr>
        <w:t>Full statistics for every check below are in Table 4; this section states only the check and its conclusion.</w:t>
      </w:r>
    </w:p>
    <w:p>
      <w:pPr>
        <w:pStyle w:val="ListBullet"/>
        <w:spacing w:line="360" w:lineRule="auto" w:after="40"/>
      </w:pPr>
      <w:r>
        <w:rPr>
          <w:rFonts w:ascii="Times New Roman" w:hAnsi="Times New Roman" w:eastAsia="Times New Roman"/>
          <w:b/>
          <w:sz w:val="24"/>
        </w:rPr>
        <w:t>R1 (two channels never pooled).</w:t>
      </w:r>
      <w:r>
        <w:rPr>
          <w:rFonts w:ascii="Times New Roman" w:hAnsi="Times New Roman" w:eastAsia="Times New Roman"/>
          <w:sz w:val="24"/>
        </w:rPr>
        <w:t xml:space="preserve"> Pooling Arm 1 and Arm 2 would average a +0.919 pp yield-gain coefficient with a −1.036 pp one, manufacturing a sign that never occurred; reported only as a reference row, never the headline estimate.</w:t>
      </w:r>
    </w:p>
    <w:p>
      <w:pPr>
        <w:pStyle w:val="ListBullet"/>
        <w:spacing w:line="360" w:lineRule="auto" w:after="40"/>
      </w:pPr>
      <w:r>
        <w:rPr>
          <w:rFonts w:ascii="Times New Roman" w:hAnsi="Times New Roman" w:eastAsia="Times New Roman"/>
          <w:b/>
          <w:sz w:val="24"/>
        </w:rPr>
        <w:t>R2 (fixed-effects specification).</w:t>
      </w:r>
      <w:r>
        <w:rPr>
          <w:rFonts w:ascii="Times New Roman" w:hAnsi="Times New Roman" w:eastAsia="Times New Roman"/>
          <w:sz w:val="24"/>
        </w:rPr>
        <w:t xml:space="preserve"> The additive, collinearity-prone year + trial-group + check specification reproduces the same signs and comparable magnitudes for all four cross-checked coefficients — the fixed-effects structure does not drive the result.</w:t>
      </w:r>
    </w:p>
    <w:p>
      <w:pPr>
        <w:pStyle w:val="ListBullet"/>
        <w:spacing w:line="360" w:lineRule="auto" w:after="40"/>
      </w:pPr>
      <w:r>
        <w:rPr>
          <w:rFonts w:ascii="Times New Roman" w:hAnsi="Times New Roman" w:eastAsia="Times New Roman"/>
          <w:b/>
          <w:sz w:val="24"/>
        </w:rPr>
        <w:t>R3 (extend to all national trial groups).</w:t>
      </w:r>
      <w:r>
        <w:rPr>
          <w:rFonts w:ascii="Times New Roman" w:hAnsi="Times New Roman" w:eastAsia="Times New Roman"/>
          <w:sz w:val="24"/>
        </w:rPr>
        <w:t xml:space="preserve"> Direction and significance are essentially unchanged in both arms — not an artefact of the two-trial-group restriction.</w:t>
      </w:r>
    </w:p>
    <w:p>
      <w:pPr>
        <w:pStyle w:val="ListBullet"/>
        <w:spacing w:line="360" w:lineRule="auto" w:after="40"/>
      </w:pPr>
      <w:r>
        <w:rPr>
          <w:rFonts w:ascii="Times New Roman" w:hAnsi="Times New Roman" w:eastAsia="Times New Roman"/>
          <w:b/>
          <w:sz w:val="24"/>
        </w:rPr>
        <w:t>R4 (2018 treatment).</w:t>
      </w:r>
      <w:r>
        <w:rPr>
          <w:rFonts w:ascii="Times New Roman" w:hAnsi="Times New Roman" w:eastAsia="Times New Roman"/>
          <w:sz w:val="24"/>
        </w:rPr>
        <w:t xml:space="preserve"> Coding the 233 unlabelled 2018 records as Unified rather than excluding them produces numerically identical estimates, because every 2018 cell in this stratum is a singleton carrying no identifying variation either way.</w:t>
      </w:r>
    </w:p>
    <w:p>
      <w:pPr>
        <w:pStyle w:val="ListBullet"/>
        <w:spacing w:line="360" w:lineRule="auto" w:after="40"/>
      </w:pPr>
      <w:r>
        <w:rPr>
          <w:rFonts w:ascii="Times New Roman" w:hAnsi="Times New Roman" w:eastAsia="Times New Roman"/>
          <w:b/>
          <w:sz w:val="24"/>
        </w:rPr>
        <w:t>R5 (Benjamini–Hochberg FDR).</w:t>
      </w:r>
      <w:r>
        <w:rPr>
          <w:rFonts w:ascii="Times New Roman" w:hAnsi="Times New Roman" w:eastAsia="Times New Roman"/>
          <w:sz w:val="24"/>
        </w:rPr>
        <w:t xml:space="preserve"> 9 of 17 Arm-1 outcomes retain q &lt; 0.05 across all 17 tests, including all six headline coefficients (q = 0.00009–0.040); the sign-separation pattern does not depend on uncorrected multiple testing.</w:t>
      </w:r>
    </w:p>
    <w:p>
      <w:pPr>
        <w:pStyle w:val="ListBullet"/>
        <w:spacing w:line="360" w:lineRule="auto" w:after="40"/>
      </w:pPr>
      <w:r>
        <w:rPr>
          <w:rFonts w:ascii="Times New Roman" w:hAnsi="Times New Roman" w:eastAsia="Times New Roman"/>
          <w:b/>
          <w:sz w:val="24"/>
        </w:rPr>
        <w:t>R6 (randomisation inference).</w:t>
      </w:r>
      <w:r>
        <w:rPr>
          <w:rFonts w:ascii="Times New Roman" w:hAnsi="Times New Roman" w:eastAsia="Times New Roman"/>
          <w:sz w:val="24"/>
        </w:rPr>
        <w:t xml:space="preserve"> Exact permutation p-values (500 draws per cell; Fig. 5) place head-rice, chalkiness and regional-trial yield gain in the extreme tail of their null distributions (p = 0.002 each), independently of cluster-asymptotic assumptions.</w:t>
      </w:r>
    </w:p>
    <w:p>
      <w:pPr>
        <w:pStyle w:val="ListBullet"/>
        <w:spacing w:line="360" w:lineRule="auto" w:after="40"/>
      </w:pPr>
      <w:r>
        <w:rPr>
          <w:rFonts w:ascii="Times New Roman" w:hAnsi="Times New Roman" w:eastAsia="Times New Roman"/>
          <w:b/>
          <w:sz w:val="24"/>
        </w:rPr>
        <w:t>R8 (missingness balance).</w:t>
      </w:r>
      <w:r>
        <w:rPr>
          <w:rFonts w:ascii="Times New Roman" w:hAnsi="Times New Roman" w:eastAsia="Times New Roman"/>
          <w:sz w:val="24"/>
        </w:rPr>
        <w:t xml:space="preserve"> Fig. S1 shows most of the 17 outcomes balanced within ~2 pp of non-missing rate across arms; the three exceptions motivate the Manski-bounds exercise (R7, below).</w:t>
      </w:r>
    </w:p>
    <w:p>
      <w:pPr>
        <w:pStyle w:val="ListBullet"/>
        <w:spacing w:line="360" w:lineRule="auto" w:after="40"/>
      </w:pPr>
      <w:r>
        <w:rPr>
          <w:rFonts w:ascii="Times New Roman" w:hAnsi="Times New Roman" w:eastAsia="Times New Roman"/>
          <w:b/>
          <w:sz w:val="24"/>
        </w:rPr>
        <w:t>R10 (drop the dominant germplasm lineage).</w:t>
      </w:r>
      <w:r>
        <w:rPr>
          <w:rFonts w:ascii="Times New Roman" w:hAnsi="Times New Roman" w:eastAsia="Times New Roman"/>
          <w:sz w:val="24"/>
        </w:rPr>
        <w:t xml:space="preserve"> Dropping every record whose sterile line is the most prevalent one (65 of 878 records) leaves the result significant with the same sign (head-rice −1.367 pp, p = 0.001; chalkiness +1.077 pp, p = 0.020; stated grade −0.119, p = 0.017) — no dependence on any one breeding lineage; see also §7.</w:t>
      </w:r>
    </w:p>
    <w:p>
      <w:pPr>
        <w:pStyle w:val="ListBullet"/>
        <w:spacing w:line="360" w:lineRule="auto" w:after="40"/>
      </w:pPr>
      <w:r>
        <w:rPr>
          <w:rFonts w:ascii="Times New Roman" w:hAnsi="Times New Roman" w:eastAsia="Times New Roman"/>
          <w:b/>
          <w:sz w:val="24"/>
        </w:rPr>
        <w:t>R12 (pre-declared placebos).</w:t>
      </w:r>
      <w:r>
        <w:rPr>
          <w:rFonts w:ascii="Times New Roman" w:hAnsi="Times New Roman" w:eastAsia="Times New Roman"/>
          <w:sz w:val="24"/>
        </w:rPr>
        <w:t xml:space="preserve"> Seed-setting percentage and thousand-grain weight are both non-significant, as pre-declared. Plant height, pre-declared </w:t>
      </w:r>
      <w:r>
        <w:rPr>
          <w:rFonts w:ascii="Times New Roman" w:hAnsi="Times New Roman" w:eastAsia="Times New Roman"/>
          <w:i/>
          <w:sz w:val="24"/>
        </w:rPr>
        <w:t>outside</w:t>
      </w:r>
      <w:r>
        <w:rPr>
          <w:rFonts w:ascii="Times New Roman" w:hAnsi="Times New Roman" w:eastAsia="Times New Roman"/>
          <w:sz w:val="24"/>
        </w:rPr>
        <w:t xml:space="preserve"> the placebo set, is significantly higher among Consortium entrants (β = +0.952 cm, p = 0.044) and is reported as auxiliary evidence, not a failed placebo.</w:t>
      </w:r>
    </w:p>
    <w:p>
      <w:pPr>
        <w:pStyle w:val="ListBullet"/>
        <w:spacing w:line="360" w:lineRule="auto" w:after="40"/>
      </w:pPr>
      <w:r>
        <w:rPr>
          <w:rFonts w:ascii="Times New Roman" w:hAnsi="Times New Roman" w:eastAsia="Times New Roman"/>
          <w:b/>
          <w:sz w:val="24"/>
        </w:rPr>
        <w:t>R13 (pre-reform time placebo).</w:t>
      </w:r>
      <w:r>
        <w:rPr>
          <w:rFonts w:ascii="Times New Roman" w:hAnsi="Times New Roman" w:eastAsia="Times New Roman"/>
          <w:sz w:val="24"/>
        </w:rPr>
        <w:t xml:space="preserve"> A pseudo-treatment built the same way in 2005–2016, before any channel existed, returns no significant coefficient on any outcome, with the opposite sign for both headline quality traits — weakening one confound without ruling out H_(threshold) (§4.5).</w:t>
      </w:r>
    </w:p>
    <w:p>
      <w:pPr>
        <w:pStyle w:val="ListBullet"/>
        <w:spacing w:line="360" w:lineRule="auto" w:after="40"/>
      </w:pPr>
      <w:r>
        <w:rPr>
          <w:rFonts w:ascii="Times New Roman" w:hAnsi="Times New Roman" w:eastAsia="Times New Roman"/>
          <w:b/>
          <w:sz w:val="24"/>
        </w:rPr>
        <w:t>R14 (cluster by variety).</w:t>
      </w:r>
      <w:r>
        <w:rPr>
          <w:rFonts w:ascii="Times New Roman" w:hAnsi="Times New Roman" w:eastAsia="Times New Roman"/>
          <w:sz w:val="24"/>
        </w:rPr>
        <w:t xml:space="preserve"> Re-clustering at the variety level (36 varieties, 72 multi-zone records) leaves all headline coefficients significant at p ≤ 0.0014.</w:t>
      </w:r>
    </w:p>
    <w:p>
      <w:pPr>
        <w:pStyle w:val="ListBullet"/>
        <w:spacing w:line="360" w:lineRule="auto" w:after="40"/>
      </w:pPr>
      <w:r>
        <w:rPr>
          <w:rFonts w:ascii="Times New Roman" w:hAnsi="Times New Roman" w:eastAsia="Times New Roman"/>
          <w:b/>
          <w:sz w:val="24"/>
        </w:rPr>
        <w:t>R17 (quality-grading standard composition).</w:t>
      </w:r>
      <w:r>
        <w:rPr>
          <w:rFonts w:ascii="Times New Roman" w:hAnsi="Times New Roman" w:eastAsia="Times New Roman"/>
          <w:sz w:val="24"/>
        </w:rPr>
        <w:t xml:space="preserve"> Records are graded under NY/T 593 or GB/T 17891, and which is in force shifts across the window (2017 predominantly GB/T, 2019–2022 predominantly NY/T 593). Within each arm's own window the standard does not vary by channel (Arm 1: 99.2% vs 99.2% NY/T 593; Arm 2: entirely GB/T both sides), so the year × trial-group × check cell absorbs the switch; the check independently recovers the disclosure result from raw shares (+13.0 pp and +32.6 pp). The quality contrasts are not an artefact of which standard applied.</w:t>
      </w:r>
    </w:p>
    <w:p>
      <w:pPr>
        <w:keepNext/>
        <w:spacing w:line="480" w:lineRule="auto" w:after="120"/>
        <w:jc w:val="left"/>
      </w:pPr>
      <w:r>
        <w:rPr>
          <w:rFonts w:ascii="Times New Roman" w:hAnsi="Times New Roman" w:eastAsia="Times New Roman"/>
          <w:b/>
          <w:sz w:val="24"/>
        </w:rPr>
        <w:t>6.2 Manski worst-case bounds (R7)</w:t>
      </w:r>
    </w:p>
    <w:p>
      <w:pPr>
        <w:spacing w:line="480" w:lineRule="auto" w:after="160"/>
        <w:jc w:val="left"/>
      </w:pPr>
      <w:r>
        <w:rPr>
          <w:rFonts w:ascii="Times New Roman" w:hAnsi="Times New Roman" w:eastAsia="Times New Roman"/>
          <w:sz w:val="24"/>
        </w:rPr>
        <w:t xml:space="preserve">Three outcomes show meaningfully unbalanced missingness between arms — the top-two quality grade (23.0% missing in Consortium vs. 11.3% in Unified), regional-trial yield gain (0.2% vs. 11.9%, and separately 1.9% in the 2017 Unified sub-arm), and absolute regional-trial yield in kg/mu (Fig. S1; imbalances ≥8 pp flagged) — so we compute Manski worst-case bounds, filling missing values at the 5th/95th percentile extremes. Head-rice and chalkiness, whose missingness is balanced (~1–2 pp), have narrow, sign-stable bounds ([−2.001, −1.623] and [+0.976, +1.203]) and are the paper's most secure results. The top-two quality-grade indicator does </w:t>
      </w:r>
      <w:r>
        <w:rPr>
          <w:rFonts w:ascii="Times New Roman" w:hAnsi="Times New Roman" w:eastAsia="Times New Roman"/>
          <w:b/>
          <w:sz w:val="24"/>
        </w:rPr>
        <w:t>not</w:t>
      </w:r>
      <w:r>
        <w:rPr>
          <w:rFonts w:ascii="Times New Roman" w:hAnsi="Times New Roman" w:eastAsia="Times New Roman"/>
          <w:sz w:val="24"/>
        </w:rPr>
        <w:t xml:space="preserve"> survive: its bound is [−0.253, +0.088], crossing zero, so we downgrade it to secondary and rely on the fully-defined stated-quality-grade indicator as the primary grading result (Table 3, §5.2). Regional-trial yield gain's bound is [+0.049, +0.912] — the lower end near zero (p = 0.91 there) — so this is downgraded from "suggestive support" to "directionally positive but not robustly bounded away from zero." No other headline result changes sign.</w:t>
      </w:r>
    </w:p>
    <w:p>
      <w:pPr>
        <w:keepNext/>
        <w:spacing w:line="480" w:lineRule="auto" w:after="120"/>
        <w:jc w:val="left"/>
      </w:pPr>
      <w:r>
        <w:rPr>
          <w:rFonts w:ascii="Times New Roman" w:hAnsi="Times New Roman" w:eastAsia="Times New Roman"/>
          <w:b/>
          <w:sz w:val="24"/>
        </w:rPr>
        <w:t>6.3 Within-applicant subsample and its minimum detectable effect (R9)</w:t>
      </w:r>
    </w:p>
    <w:p>
      <w:pPr>
        <w:spacing w:line="480" w:lineRule="auto" w:after="160"/>
        <w:jc w:val="left"/>
      </w:pPr>
      <w:r>
        <w:rPr>
          <w:rFonts w:ascii="Times New Roman" w:hAnsi="Times New Roman" w:eastAsia="Times New Roman"/>
          <w:sz w:val="24"/>
        </w:rPr>
        <w:t>The most direct test of self-selection versus a genuine channel effect compares the same applicant's own varieties across channels: 10 applicants, 51 records (26 Consortium, 25 Unified), estimated with applicant fixed effects and HC1 SEs. None of the six headline coefficients is significant, and three (head-rice, chalkiness, stated grade) flip sign (head-rice +0.780, p = 0.61; chalkiness +0.846, p = 0.21; stated grade +0.118, p = 0.40; regional-trial yield gain +0.100, p = 0.86; production-trial yield gain −0.126, p = 0.82; bacterial-blight −0.421, p = 0.38).</w:t>
      </w:r>
    </w:p>
    <w:p>
      <w:pPr>
        <w:spacing w:line="480" w:lineRule="auto" w:after="160"/>
        <w:jc w:val="left"/>
      </w:pPr>
      <w:r>
        <w:rPr>
          <w:rFonts w:ascii="Times New Roman" w:hAnsi="Times New Roman" w:eastAsia="Times New Roman"/>
          <w:sz w:val="24"/>
        </w:rPr>
        <w:t xml:space="preserve">The minimum detectable effect (MDE) at 80% power exceeds the main-design coefficient for every outcome — head-rice 4.37 pp (≈2.4×), chalkiness 1.96, stated grade 0.41, regional-trial yield gain 1.66 (≈3×), production-trial yield gain 1.56, bacterial-blight 1.41 — converting "underpowered" into a quantitative claim: </w:t>
      </w:r>
      <w:r>
        <w:rPr>
          <w:rFonts w:ascii="Times New Roman" w:hAnsi="Times New Roman" w:eastAsia="Times New Roman"/>
          <w:b/>
          <w:sz w:val="24"/>
        </w:rPr>
        <w:t>this design cannot distinguish "no channel effect once self-selection is removed" from "the effect exists but this subsample is too small to detect it."</w:t>
      </w:r>
      <w:r>
        <w:rPr>
          <w:rFonts w:ascii="Times New Roman" w:hAnsi="Times New Roman" w:eastAsia="Times New Roman"/>
          <w:sz w:val="24"/>
        </w:rPr>
        <w:t xml:space="preserve"> The sign flips are consistent with severe noise rather than a credible contradiction, but the test does not confirm the main effect either — it lacks the power to adjudicate (§4.7, Non-claim 1).</w:t>
      </w:r>
    </w:p>
    <w:p>
      <w:pPr>
        <w:keepNext/>
        <w:spacing w:line="480" w:lineRule="auto" w:after="120"/>
        <w:jc w:val="left"/>
      </w:pPr>
      <w:r>
        <w:rPr>
          <w:rFonts w:ascii="Times New Roman" w:hAnsi="Times New Roman" w:eastAsia="Times New Roman"/>
          <w:b/>
          <w:sz w:val="24"/>
        </w:rPr>
        <w:t>6.4 Provincial replication and its minimum detectable effect (R11)</w:t>
      </w:r>
    </w:p>
    <w:p>
      <w:pPr>
        <w:spacing w:line="480" w:lineRule="auto" w:after="160"/>
        <w:jc w:val="left"/>
      </w:pPr>
      <w:r>
        <w:rPr>
          <w:rFonts w:ascii="Times New Roman" w:hAnsi="Times New Roman" w:eastAsia="Times New Roman"/>
          <w:sz w:val="24"/>
        </w:rPr>
        <w:t>Provincial-level approvals (省审) in 2021–2022, pooling Consortium and Green under a single new-channel indicator against Unified (cell: year × trial group, no check dimension since provincial labels are far more heterogeneous), give n = 495 (new-channel 143, Unified 352). None of three headline outcomes replicates at comparable magnitude, and all are severely underpowered: head-rice β = −3.354, p = 0.53, n = 280, MDE = 14.99 pp against −1.844 nationally; chalkiness β = −0.549, p = 0.24, n = 256, MDE = 1.31 pp against +1.108 (sign reversed, but the MDE shows this uninformative); regional-trial yield gain β = −0.994, p = 0.62, n = 205, MDE = 5.62 pp against +0.553 nationally.</w:t>
      </w:r>
    </w:p>
    <w:p>
      <w:pPr>
        <w:spacing w:line="480" w:lineRule="auto" w:after="160"/>
        <w:jc w:val="left"/>
      </w:pPr>
      <w:r>
        <w:rPr>
          <w:rFonts w:ascii="Times New Roman" w:hAnsi="Times New Roman" w:eastAsia="Times New Roman"/>
          <w:b/>
          <w:sz w:val="24"/>
        </w:rPr>
        <w:t>Stated quality grade is the exception:</w:t>
      </w:r>
      <w:r>
        <w:rPr>
          <w:rFonts w:ascii="Times New Roman" w:hAnsi="Times New Roman" w:eastAsia="Times New Roman"/>
          <w:sz w:val="24"/>
        </w:rPr>
        <w:t xml:space="preserve"> the provincial sample is adequately powered (MDE = 0.41, smaller than the national coefficient) and returns a significant, larger-magnitude, same-direction coefficient (β = −0.468, p = 0.001) — read as strengthening rather than qualifying that half of the headline result. R11's correct reading is therefore two-part: for head-rice, chalkiness and yield gain the national effect is </w:t>
      </w:r>
      <w:r>
        <w:rPr>
          <w:rFonts w:ascii="Times New Roman" w:hAnsi="Times New Roman" w:eastAsia="Times New Roman"/>
          <w:b/>
          <w:sz w:val="24"/>
        </w:rPr>
        <w:t>statistically undecidable</w:t>
      </w:r>
      <w:r>
        <w:rPr>
          <w:rFonts w:ascii="Times New Roman" w:hAnsi="Times New Roman" w:eastAsia="Times New Roman"/>
          <w:sz w:val="24"/>
        </w:rPr>
        <w:t xml:space="preserve"> at the provincial level, not disproved; for stated grade, the provincial result is adequately powered and corroborates.</w:t>
      </w:r>
    </w:p>
    <w:p>
      <w:pPr>
        <w:spacing w:line="480" w:lineRule="auto" w:after="160"/>
        <w:jc w:val="left"/>
      </w:pPr>
      <w:r>
        <w:rPr>
          <w:rFonts w:ascii="Times New Roman" w:hAnsi="Times New Roman" w:eastAsia="Times New Roman"/>
          <w:sz w:val="24"/>
        </w:rPr>
        <w:t>Because provincial trial-group labels are heterogeneous, the cell definition is a judgement call and the sample size is sensitive to it; we read this check for direction only where the MDE shows point estimates uninformative.</w:t>
      </w:r>
    </w:p>
    <w:p>
      <w:pPr>
        <w:keepNext/>
        <w:spacing w:line="480" w:lineRule="auto" w:after="120"/>
        <w:jc w:val="left"/>
      </w:pPr>
      <w:r>
        <w:rPr>
          <w:rFonts w:ascii="Times New Roman" w:hAnsi="Times New Roman" w:eastAsia="Times New Roman"/>
          <w:b/>
          <w:sz w:val="24"/>
        </w:rPr>
        <w:t>6.5 A chained-check genetic-gain scale as an alternative yield metric (R15)</w:t>
      </w:r>
    </w:p>
    <w:p>
      <w:pPr>
        <w:spacing w:line="480" w:lineRule="auto" w:after="160"/>
        <w:jc w:val="left"/>
      </w:pPr>
      <w:r>
        <w:rPr>
          <w:rFonts w:ascii="Times New Roman" w:hAnsi="Times New Roman" w:eastAsia="Times New Roman"/>
          <w:sz w:val="24"/>
        </w:rPr>
        <w:t>The gain over the named check (§5.2–5.3) is comparable only within a trial-year-check cell, so we also re-expressed yield on a chained cross-year check scale (Piepho et al., 2014; Laidig et al., 2014; Mackay et al., 2011; Raymond et al., 2023; Piepho and Laidig, 2025). Four known weaknesses appear: an unstable back-solved check yield (median CV 1.56%); a chain step moving +3.14% where the decomposition implies +7.04%; an implied gain rate swinging 0.25–0.50%/year; and only six distinct checks (~3 effective degrees of freedom). The self-reported yield advantage does not reverse direction, but the interval is too wide to pin its magnitude — inconclusive rather than confirmatory or disconfirmatory. Construction and full diagnostics are in the Supplementary Material.</w:t>
      </w:r>
    </w:p>
    <w:p>
      <w:pPr>
        <w:keepNext/>
        <w:spacing w:line="480" w:lineRule="auto" w:after="120"/>
        <w:jc w:val="left"/>
      </w:pPr>
      <w:r>
        <w:rPr>
          <w:rFonts w:ascii="Times New Roman" w:hAnsi="Times New Roman" w:eastAsia="Times New Roman"/>
          <w:b/>
          <w:sz w:val="24"/>
        </w:rPr>
        <w:t xml:space="preserve">6.6 </w:t>
      </w:r>
      <w:r>
        <w:rPr>
          <w:rFonts w:ascii="Times New Roman" w:hAnsi="Times New Roman" w:eastAsia="Times New Roman"/>
          <w:b/>
          <w:sz w:val="24"/>
        </w:rPr>
        <w:t>quality_stated</w:t>
      </w:r>
      <w:r>
        <w:rPr>
          <w:rFonts w:ascii="Times New Roman" w:hAnsi="Times New Roman" w:eastAsia="Times New Roman"/>
          <w:b/>
          <w:sz w:val="24"/>
        </w:rPr>
        <w:t xml:space="preserve"> under disclosure-behaviour controls (R16)</w:t>
      </w:r>
    </w:p>
    <w:p>
      <w:pPr>
        <w:spacing w:line="480" w:lineRule="auto" w:after="160"/>
        <w:jc w:val="left"/>
      </w:pPr>
      <w:r>
        <w:rPr>
          <w:rFonts w:ascii="Times New Roman" w:hAnsi="Times New Roman" w:eastAsia="Times New Roman"/>
          <w:sz w:val="24"/>
        </w:rPr>
        <w:t xml:space="preserve">§3.3 flags </w:t>
      </w:r>
      <w:r>
        <w:rPr>
          <w:rFonts w:ascii="Times New Roman" w:hAnsi="Times New Roman" w:eastAsia="Times New Roman"/>
          <w:sz w:val="24"/>
        </w:rPr>
        <w:t>quality_stated</w:t>
      </w:r>
      <w:r>
        <w:rPr>
          <w:rFonts w:ascii="Times New Roman" w:hAnsi="Times New Roman" w:eastAsia="Times New Roman"/>
          <w:sz w:val="24"/>
        </w:rPr>
        <w:t xml:space="preserve"> as mechanically close to a missingness indicator for the grade field, reported as measuring </w:t>
      </w:r>
      <w:r>
        <w:rPr>
          <w:rFonts w:ascii="Times New Roman" w:hAnsi="Times New Roman" w:eastAsia="Times New Roman"/>
          <w:i/>
          <w:sz w:val="24"/>
        </w:rPr>
        <w:t>disclosure behaviour</w:t>
      </w:r>
      <w:r>
        <w:rPr>
          <w:rFonts w:ascii="Times New Roman" w:hAnsi="Times New Roman" w:eastAsia="Times New Roman"/>
          <w:sz w:val="24"/>
        </w:rPr>
        <w:t xml:space="preserve"> rather than quality itself. This check asks whether the Arm-1 coefficient is an artefact of shorter announcements: re-estimating with two added controls, text length and the count of non-missing fields among the other 16 outcomes (n = 750), the baseline β = −0.122 (p = 0.0075) becomes β = −0.146 (p = 0.0005) with controls — it survives and strengthens, ruling out the simplest "shorter announcements say less" account.</w:t>
      </w:r>
    </w:p>
    <w:p>
      <w:pPr>
        <w:keepNext/>
        <w:spacing w:line="480" w:lineRule="auto" w:after="120"/>
        <w:jc w:val="left"/>
      </w:pPr>
      <w:r>
        <w:rPr>
          <w:rFonts w:ascii="Times New Roman" w:hAnsi="Times New Roman" w:eastAsia="Times New Roman"/>
          <w:b/>
          <w:sz w:val="24"/>
        </w:rPr>
        <w:t>6.7 Robustness matrix</w:t>
      </w:r>
    </w:p>
    <w:p>
      <w:pPr>
        <w:spacing w:line="276" w:lineRule="auto" w:after="160"/>
        <w:jc w:val="left"/>
      </w:pPr>
      <w:r>
        <w:rPr>
          <w:rFonts w:ascii="Times New Roman" w:hAnsi="Times New Roman" w:eastAsia="Times New Roman"/>
          <w:sz w:val="24"/>
        </w:rPr>
        <w:t>Table 4 collects all seventeen checks (R1–R17), including two that qualify a headline result (R7's Manski bound on top-two quality grade; R11's mostly-underpowered, partly-corroborating provincial replication) and one genuinely underpowered rather than informative either way (R9). Read with the year-by-year evidence (§5.4), the central identification claim — third-party quality deficit paired with unchanged-or-higher applicant-measured performance — survives every adequately powered check (R1–R6, R8, R10, R12–R14, R16, R17), is not reproduced by a pre-reform placebo sharing no real channel variation (R13), and is qualified rather than contradicted by the two low-power checks (R9; three of four outcomes in R11). The one secondary result failing worst-case bounds (top-two grade, R7) is downgraded from headline evidence; the alternative yield metric (chained-check ladder, R15) returns an inconclusive result that neither strengthens nor weakens the main yield finding.</w:t>
      </w:r>
    </w:p>
    <w:p>
      <w:pPr>
        <w:keepNext/>
        <w:spacing w:line="480" w:lineRule="auto" w:after="120"/>
        <w:jc w:val="left"/>
      </w:pPr>
      <w:r>
        <w:rPr>
          <w:rFonts w:ascii="Times New Roman" w:hAnsi="Times New Roman" w:eastAsia="Times New Roman"/>
          <w:b/>
          <w:sz w:val="26"/>
        </w:rPr>
        <w:t>7. Germplasm concentration by channel: does each door admit a different breeding base?</w:t>
      </w:r>
    </w:p>
    <w:p>
      <w:pPr>
        <w:spacing w:line="480" w:lineRule="auto" w:after="160"/>
        <w:jc w:val="left"/>
      </w:pPr>
      <w:r>
        <w:rPr>
          <w:rFonts w:ascii="Times New Roman" w:hAnsi="Times New Roman" w:eastAsia="Times New Roman"/>
          <w:i/>
          <w:sz w:val="24"/>
        </w:rPr>
        <w:t>This section tests an alternative explanation for the sign separation using a second indicator built from the same announcements. It is not a source of the main result.</w:t>
      </w:r>
    </w:p>
    <w:p>
      <w:pPr>
        <w:spacing w:line="480" w:lineRule="auto" w:after="160"/>
        <w:jc w:val="left"/>
      </w:pPr>
      <w:r>
        <w:rPr>
          <w:rFonts w:ascii="Times New Roman" w:hAnsi="Times New Roman" w:eastAsia="Times New Roman"/>
          <w:sz w:val="24"/>
        </w:rPr>
        <w:t xml:space="preserve">The sign separation in Sections 5–6 is consistent with measurement discretion in self-organised trials, but equally consistent with a cruder alternative: the self-organised channels may simply admit varieties bred from a narrower germplasm base, so the quality deficit records </w:t>
      </w:r>
      <w:r>
        <w:rPr>
          <w:rFonts w:ascii="Times New Roman" w:hAnsi="Times New Roman" w:eastAsia="Times New Roman"/>
          <w:i/>
          <w:sz w:val="24"/>
        </w:rPr>
        <w:t>what</w:t>
      </w:r>
      <w:r>
        <w:rPr>
          <w:rFonts w:ascii="Times New Roman" w:hAnsi="Times New Roman" w:eastAsia="Times New Roman"/>
          <w:sz w:val="24"/>
        </w:rPr>
        <w:t xml:space="preserve"> enters rather than </w:t>
      </w:r>
      <w:r>
        <w:rPr>
          <w:rFonts w:ascii="Times New Roman" w:hAnsi="Times New Roman" w:eastAsia="Times New Roman"/>
          <w:i/>
          <w:sz w:val="24"/>
        </w:rPr>
        <w:t>how</w:t>
      </w:r>
      <w:r>
        <w:rPr>
          <w:rFonts w:ascii="Times New Roman" w:hAnsi="Times New Roman" w:eastAsia="Times New Roman"/>
          <w:sz w:val="24"/>
        </w:rPr>
        <w:t xml:space="preserve"> it is measured. The announcements support a direct test, since each names the cross that produced the variety.</w:t>
      </w:r>
    </w:p>
    <w:p>
      <w:pPr>
        <w:spacing w:line="480" w:lineRule="auto" w:after="160"/>
        <w:jc w:val="left"/>
      </w:pPr>
      <w:r>
        <w:rPr>
          <w:rFonts w:ascii="Times New Roman" w:hAnsi="Times New Roman" w:eastAsia="Times New Roman"/>
          <w:sz w:val="24"/>
        </w:rPr>
        <w:t>We resolve the variety-source field into the sterile (female) and restorer (male) line of the originating cross, succeeding for 2,304 of 2,386 national records (96.6%; §3.1 gives the extraction rule and failure profile). The indicator is computed on the same stratum as the main estimates — the two dominant indica trial groups, since pooling unrelated breeding pools would inflate any contrast — using the Herfindahl–Hirschman index across sterile lines, distinct-line counts (rarefied to the smaller group), and top-line share, with a stratified bootstrap and label-permutation test for the between-channel difference. Extraction coverage is 99.7–100% in all four channel-by-arm groups, so differential parsing failure cannot drive the comparison.</w:t>
      </w:r>
    </w:p>
    <w:p>
      <w:pPr>
        <w:spacing w:line="480" w:lineRule="auto" w:after="160"/>
        <w:jc w:val="left"/>
      </w:pPr>
      <w:r>
        <w:rPr>
          <w:rFonts w:ascii="Times New Roman" w:hAnsi="Times New Roman" w:eastAsia="Times New Roman"/>
          <w:sz w:val="24"/>
        </w:rPr>
        <w:t xml:space="preserve">Consortium entrants draw on a </w:t>
      </w:r>
      <w:r>
        <w:rPr>
          <w:rFonts w:ascii="Times New Roman" w:hAnsi="Times New Roman" w:eastAsia="Times New Roman"/>
          <w:b/>
          <w:sz w:val="24"/>
        </w:rPr>
        <w:t>broader</w:t>
      </w:r>
      <w:r>
        <w:rPr>
          <w:rFonts w:ascii="Times New Roman" w:hAnsi="Times New Roman" w:eastAsia="Times New Roman"/>
          <w:sz w:val="24"/>
        </w:rPr>
        <w:t xml:space="preserve"> sterile-line base than contemporaneous unified entrants (Table 5; Fig. 6): HHI 0.0124 against 0.0186 (difference −0.0062, 95% CI [−0.0130, −0.0009], permutation </w:t>
      </w:r>
      <w:r>
        <w:rPr>
          <w:rFonts w:ascii="Times New Roman" w:hAnsi="Times New Roman" w:eastAsia="Times New Roman"/>
          <w:i/>
          <w:sz w:val="24"/>
        </w:rPr>
        <w:t>p</w:t>
      </w:r>
      <w:r>
        <w:rPr>
          <w:rFonts w:ascii="Times New Roman" w:hAnsi="Times New Roman" w:eastAsia="Times New Roman"/>
          <w:sz w:val="24"/>
        </w:rPr>
        <w:t xml:space="preserve"> = 0.022) — 212 distinct lines against 156 (193.0 rarefied), top-line share 5.7% against 9.1%. This is what consortium rules, pooling five or more breeding programmes, predict.</w:t>
      </w:r>
    </w:p>
    <w:p>
      <w:pPr>
        <w:spacing w:line="480" w:lineRule="auto" w:after="160"/>
        <w:jc w:val="left"/>
      </w:pPr>
      <w:r>
        <w:rPr>
          <w:rFonts w:ascii="Times New Roman" w:hAnsi="Times New Roman" w:eastAsia="Times New Roman"/>
          <w:sz w:val="24"/>
        </w:rPr>
        <w:t xml:space="preserve">Green-channel entrants are directionally more concentrated (HHI 0.0778 against 0.0562, top share 22.4% against 11.5%), matching what a single-enterprise-run channel predicts, but at 67 against 52 records the interval spans zero (+0.0215, 95% CI [−0.0240, +0.0671], </w:t>
      </w:r>
      <w:r>
        <w:rPr>
          <w:rFonts w:ascii="Times New Roman" w:hAnsi="Times New Roman" w:eastAsia="Times New Roman"/>
          <w:i/>
          <w:sz w:val="24"/>
        </w:rPr>
        <w:t>p</w:t>
      </w:r>
      <w:r>
        <w:rPr>
          <w:rFonts w:ascii="Times New Roman" w:hAnsi="Times New Roman" w:eastAsia="Times New Roman"/>
          <w:sz w:val="24"/>
        </w:rPr>
        <w:t xml:space="preserve"> = 0.344); we report Arm 2 for completeness and rest nothing on it. An earlier version of this analysis, computed across all national trial groups rather than the estimation stratum, returned a significant Arm-2 contrast; restricted to the correct stratum, it does not survive.</w:t>
      </w:r>
    </w:p>
    <w:p>
      <w:pPr>
        <w:spacing w:line="480" w:lineRule="auto" w:after="160"/>
        <w:jc w:val="left"/>
      </w:pPr>
      <w:r>
        <w:rPr>
          <w:rFonts w:ascii="Times New Roman" w:hAnsi="Times New Roman" w:eastAsia="Times New Roman"/>
          <w:sz w:val="24"/>
        </w:rPr>
        <w:t xml:space="preserve">The Arm-1 result alone rules the alternative out. A narrow-breeding-base account predicts the quality deficit appears where fewer lines are drawn on; consortium entrants show 1.844 points lower head-rice and 1.108 points higher chalkiness than unified entrants, yet draw on a significantly </w:t>
      </w:r>
      <w:r>
        <w:rPr>
          <w:rFonts w:ascii="Times New Roman" w:hAnsi="Times New Roman" w:eastAsia="Times New Roman"/>
          <w:b/>
          <w:sz w:val="24"/>
        </w:rPr>
        <w:t>broader</w:t>
      </w:r>
      <w:r>
        <w:rPr>
          <w:rFonts w:ascii="Times New Roman" w:hAnsi="Times New Roman" w:eastAsia="Times New Roman"/>
          <w:sz w:val="24"/>
        </w:rPr>
        <w:t xml:space="preserve"> base than that same comparison group. What separates the two channels is measurement arrangement, not germplasm: the applicant organises the performance trial, while grain quality is assayed by the same ministry-designated third party either way (§2; §3.3). We claim no more than this — the germplasm-diversity story is inconsistent with the Arm-1 data; other composition stories, including selection on an unobserved threshold, remain open (§4.7, §6).</w:t>
      </w:r>
    </w:p>
    <w:p>
      <w:pPr>
        <w:spacing w:line="480" w:lineRule="auto" w:after="160"/>
        <w:jc w:val="left"/>
      </w:pPr>
      <w:r>
        <w:rPr>
          <w:rFonts w:ascii="Times New Roman" w:hAnsi="Times New Roman" w:eastAsia="Times New Roman"/>
          <w:sz w:val="24"/>
        </w:rPr>
        <w:t>Dropping every record whose sterile line is the most prevalent one in the stratum leaves the headline result intact (§6.1 R10; Table 4): head-rice −1.367 pp (p = 0.001, n = 689), chalkiness +1.077 pp (p = 0.020, n = 686), stated grade −0.119 (p = 0.017, n = 696).</w:t>
      </w:r>
    </w:p>
    <w:p>
      <w:pPr>
        <w:spacing w:line="480" w:lineRule="auto" w:after="160"/>
        <w:jc w:val="left"/>
      </w:pPr>
      <w:r>
        <w:rPr>
          <w:rFonts w:ascii="Times New Roman" w:hAnsi="Times New Roman" w:eastAsia="Times New Roman"/>
          <w:sz w:val="24"/>
        </w:rPr>
        <w:t>As descriptive background only, applicants labelled "public research institute" show higher regional-trial yield (+4.179 kg/mu, p = 0.027, n = 408) and thousand-grain weight (+1.193 g, p = 0.003, n = 411) than enterprise applicants, alongside directionally higher chalkiness (+1.010, p = 0.100) and lower head-rice (−1.220, p = 0.070, n = 411; Supplementary Table S1) — neither quality coefficient significant. This runs opposite to an "enterprises are careless" prediction for chalkiness and head-rice but is silent on causation; no part of the argument rests on it.</w:t>
      </w:r>
    </w:p>
    <w:p>
      <w:pPr>
        <w:spacing w:line="480" w:lineRule="auto" w:after="160"/>
        <w:jc w:val="left"/>
      </w:pPr>
      <w:r>
        <w:rPr>
          <w:rFonts w:ascii="Times New Roman" w:hAnsi="Times New Roman" w:eastAsia="Times New Roman"/>
          <w:sz w:val="24"/>
        </w:rPr>
        <w:t>Three scope limits apply. Concentration across parental lines measures breeding-base breadth, not genetic distance — two varieties sharing a sterile line may still differ substantially. The extraction rule takes only the first cross, so ancestry beyond the immediate parents is unrepresented, and the 3.4% of unparsed records are excluded rather than imputed. And "identification argument" is the operative phrase throughout: the concentration contrast rules out one alternative explanation and is not evidence of a causal mechanism linking channel, germplasm and outcome.</w:t>
      </w:r>
    </w:p>
    <w:p>
      <w:pPr>
        <w:keepNext/>
        <w:spacing w:line="480" w:lineRule="auto" w:after="120"/>
        <w:jc w:val="left"/>
      </w:pPr>
      <w:r>
        <w:rPr>
          <w:rFonts w:ascii="Times New Roman" w:hAnsi="Times New Roman" w:eastAsia="Times New Roman"/>
          <w:b/>
          <w:sz w:val="26"/>
        </w:rPr>
        <w:t>8. Discussion</w:t>
      </w:r>
    </w:p>
    <w:p>
      <w:pPr>
        <w:keepNext/>
        <w:spacing w:line="480" w:lineRule="auto" w:after="120"/>
        <w:jc w:val="left"/>
      </w:pPr>
      <w:r>
        <w:rPr>
          <w:rFonts w:ascii="Times New Roman" w:hAnsi="Times New Roman" w:eastAsia="Times New Roman"/>
          <w:b/>
          <w:sz w:val="24"/>
        </w:rPr>
        <w:t>8.1 Why the sign separation arises: self-certification as theoretical support</w:t>
      </w:r>
    </w:p>
    <w:p>
      <w:pPr>
        <w:spacing w:line="480" w:lineRule="auto" w:after="160"/>
        <w:jc w:val="left"/>
      </w:pPr>
      <w:r>
        <w:rPr>
          <w:rFonts w:ascii="Times New Roman" w:hAnsi="Times New Roman" w:eastAsia="Times New Roman"/>
          <w:sz w:val="24"/>
        </w:rPr>
        <w:t xml:space="preserve">The regulatory-economics literature on self-certification is not this paper's frame, but supplies the mechanism that makes the sign separation intelligible. Duflo et al. (2013) randomly assigned polluting Indian plants to regulator-paid versus plant-paid auditors and observed the </w:t>
      </w:r>
      <w:r>
        <w:rPr>
          <w:rFonts w:ascii="Times New Roman" w:hAnsi="Times New Roman" w:eastAsia="Times New Roman"/>
          <w:i/>
          <w:sz w:val="24"/>
        </w:rPr>
        <w:t>same</w:t>
      </w:r>
      <w:r>
        <w:rPr>
          <w:rFonts w:ascii="Times New Roman" w:hAnsi="Times New Roman" w:eastAsia="Times New Roman"/>
          <w:sz w:val="24"/>
        </w:rPr>
        <w:t xml:space="preserve"> readings diverge systematically; Bar and Zheng (2019) show firms endogenously choose certifiers with a history of lenient grading — the closest analogue to the channel self-selection alternative this paper cannot close off (§4; R9/R11). Grennan and Town (2020) compare device outcomes </w:t>
      </w:r>
      <w:r>
        <w:rPr>
          <w:rFonts w:ascii="Times New Roman" w:hAnsi="Times New Roman" w:eastAsia="Times New Roman"/>
          <w:i/>
          <w:sz w:val="24"/>
        </w:rPr>
        <w:t>across</w:t>
      </w:r>
      <w:r>
        <w:rPr>
          <w:rFonts w:ascii="Times New Roman" w:hAnsi="Times New Roman" w:eastAsia="Times New Roman"/>
          <w:sz w:val="24"/>
        </w:rPr>
        <w:t xml:space="preserve"> two regulatory systems, where ours compares </w:t>
      </w:r>
      <w:r>
        <w:rPr>
          <w:rFonts w:ascii="Times New Roman" w:hAnsi="Times New Roman" w:eastAsia="Times New Roman"/>
          <w:i/>
          <w:sz w:val="24"/>
        </w:rPr>
        <w:t>within</w:t>
      </w:r>
      <w:r>
        <w:rPr>
          <w:rFonts w:ascii="Times New Roman" w:hAnsi="Times New Roman" w:eastAsia="Times New Roman"/>
          <w:sz w:val="24"/>
        </w:rPr>
        <w:t xml:space="preserve"> one system across two pathways a single reform created; Renckens and Auld (2022) show private-audit efficiency varies with auditor incentives. Together these establish that reported values move with who was asked to measure — the interpretation the sign separation invites, reported as consistent with measurement discretion rather than proof of it, since none of these designs is directly available here (we observe two different attributes measured by two parties, not one attribute measured twice). Qiu et al. (2016) describe the same problem one stage downstream, where farmers infer unobservable seed quality from imperfect signals; our result places an analogous asymmetry inside the approval file itself.</w:t>
      </w:r>
    </w:p>
    <w:p>
      <w:pPr>
        <w:keepNext/>
        <w:spacing w:line="480" w:lineRule="auto" w:after="120"/>
        <w:jc w:val="left"/>
      </w:pPr>
      <w:r>
        <w:rPr>
          <w:rFonts w:ascii="Times New Roman" w:hAnsi="Times New Roman" w:eastAsia="Times New Roman"/>
          <w:b/>
          <w:sz w:val="24"/>
        </w:rPr>
        <w:t>8.2 Is the identified variation disappearing? A qualified answer</w:t>
      </w:r>
    </w:p>
    <w:p>
      <w:pPr>
        <w:spacing w:line="480" w:lineRule="auto" w:after="160"/>
        <w:jc w:val="left"/>
      </w:pPr>
      <w:r>
        <w:rPr>
          <w:rFonts w:ascii="Times New Roman" w:hAnsi="Times New Roman" w:eastAsia="Times New Roman"/>
          <w:sz w:val="24"/>
        </w:rPr>
        <w:t>MARA has, since 2022, conducted a special rectification campaign targeting the green channel and consortium trials, raising the question of whether the gap documented here is a closing window rather than a stable feature. The year-by-year re-estimation in §5.4 answers this outcome by outcome, not uniformly: the chalkiness gap declines roughly monotonically, consistent with narrowing as regulatory attention increases; the stated-grade gap weakens more faintly and non-monotonically, non-significant in two of four post-2017 years; the head-rice gap does not narrow at all, its largest and most significant values in the most recent years (Fig. 3). We therefore do not claim the variation is disappearing as a blanket statement — that holds for chalkiness, holds weakly for stated grade, and does not hold for head-rice, the paper's cleanest estimate. Coverage falls sharply after 2022, so this paper cannot verify further convergence beyond its window. Read against the calendar-year trends in Lu et al. (2024) and Hang et al. (2024), our channel-conditional gap shows a mix of convergence and non-convergence within six years, suggesting their long-run trajectory and our channel-specific gap are not the same object.</w:t>
      </w:r>
    </w:p>
    <w:p>
      <w:pPr>
        <w:spacing w:line="480" w:lineRule="auto" w:after="160"/>
        <w:jc w:val="left"/>
      </w:pPr>
      <w:r>
        <w:rPr>
          <w:rFonts w:ascii="Times New Roman" w:hAnsi="Times New Roman" w:eastAsia="Times New Roman"/>
          <w:sz w:val="24"/>
        </w:rPr>
        <w:t>One further result belongs here. The province-level replication (§6.4) is underpowered for three of four headline outcomes — their provincial non-significance is "undetermined," not evidence against the national result — and adequately powered and corroborating for stated quality grade. That split runs against a common but incorrect reading of provincial null results in this literature: the evidence should be described precisely, one outcome significant and adequately powered, three underpowered, not summarised as either "confirms" or "does not replicate."</w:t>
      </w:r>
    </w:p>
    <w:p>
      <w:pPr>
        <w:keepNext/>
        <w:spacing w:line="480" w:lineRule="auto" w:after="120"/>
        <w:jc w:val="left"/>
      </w:pPr>
      <w:r>
        <w:rPr>
          <w:rFonts w:ascii="Times New Roman" w:hAnsi="Times New Roman" w:eastAsia="Times New Roman"/>
          <w:b/>
          <w:sz w:val="24"/>
        </w:rPr>
        <w:t>8.3 Policy implications</w:t>
      </w:r>
    </w:p>
    <w:p>
      <w:pPr>
        <w:spacing w:line="480" w:lineRule="auto" w:after="160"/>
        <w:jc w:val="left"/>
      </w:pPr>
      <w:r>
        <w:rPr>
          <w:rFonts w:ascii="Times New Roman" w:hAnsi="Times New Roman" w:eastAsia="Times New Roman"/>
          <w:sz w:val="24"/>
        </w:rPr>
        <w:t>Three implications follow without extending beyond the data. First, the identification argument rests on an asymmetry — third-party assay covers grain quality but not the applicant-measured performance traits — so extending independent measurement to a subset of yield traits, even periodic spot-checks, would let regulators test directly whether the sign separation also appears under independent measurement. Second, an audit-style re-verification of self-organised trial results would generate the within-attribute comparison Duflo et al. (2013) had and this paper does not; such spot-checks are already the Ministry's own initiative since 2022, and this finding is best read as independent quantitative corroboration of that direction, not a claim regulators were unaware of the pattern. Third, the channel-of-entry information already exists inside every announcement but is not published as a standalone field; doing so would let downstream users condition on it directly rather than reconstruct it by parsing.</w:t>
      </w:r>
    </w:p>
    <w:p>
      <w:pPr>
        <w:keepNext/>
        <w:spacing w:line="480" w:lineRule="auto" w:after="120"/>
        <w:jc w:val="left"/>
      </w:pPr>
      <w:r>
        <w:rPr>
          <w:rFonts w:ascii="Times New Roman" w:hAnsi="Times New Roman" w:eastAsia="Times New Roman"/>
          <w:b/>
          <w:sz w:val="24"/>
        </w:rPr>
        <w:t>8.4 Implications for S&amp;T intelligence practice</w:t>
      </w:r>
    </w:p>
    <w:p>
      <w:pPr>
        <w:spacing w:line="480" w:lineRule="auto" w:after="160"/>
        <w:jc w:val="left"/>
      </w:pPr>
      <w:r>
        <w:rPr>
          <w:rFonts w:ascii="Times New Roman" w:hAnsi="Times New Roman" w:eastAsia="Times New Roman"/>
          <w:sz w:val="24"/>
        </w:rPr>
        <w:t>Read as an intelligence exercise rather than an agricultural one, this paper makes four points that generalise beyond rice.</w:t>
      </w:r>
    </w:p>
    <w:p>
      <w:pPr>
        <w:spacing w:line="480" w:lineRule="auto" w:after="160"/>
        <w:jc w:val="left"/>
      </w:pPr>
      <w:r>
        <w:rPr>
          <w:rFonts w:ascii="Times New Roman" w:hAnsi="Times New Roman" w:eastAsia="Times New Roman"/>
          <w:b/>
          <w:sz w:val="24"/>
        </w:rPr>
        <w:t>Administrative approval corpora are a usable, unusually rich innovation data source — within limits.</w:t>
      </w:r>
      <w:r>
        <w:rPr>
          <w:rFonts w:ascii="Times New Roman" w:hAnsi="Times New Roman" w:eastAsia="Times New Roman"/>
          <w:sz w:val="24"/>
        </w:rPr>
        <w:t xml:space="preserve"> Innovation measurement has broadened from patents and publications to trademarks, web traces and transaction data (Rammer and Es-Sadki, 2023), but records a state generates when authorising a technology for market have stayed outside the indicator toolkit, chiefly because they are published as prose. They repay parsing: one announcement yields the applicant, testing arrangement, comparison baseline and a dozen-plus performance fields tied to an actual market-entry decision. The limits were equally concrete here — an unverified third-party re-transcription (§3.4), coverage collapsing after 2022, an applicant field absent for four years (§3.3) — so an analyst adopting this class of source should expect most effort to fall on entity resolution and data-quality assessment, not extraction.</w:t>
      </w:r>
    </w:p>
    <w:p>
      <w:pPr>
        <w:spacing w:line="480" w:lineRule="auto" w:after="160"/>
        <w:jc w:val="left"/>
      </w:pPr>
      <w:r>
        <w:rPr>
          <w:rFonts w:ascii="Times New Roman" w:hAnsi="Times New Roman" w:eastAsia="Times New Roman"/>
          <w:b/>
          <w:sz w:val="24"/>
        </w:rPr>
        <w:t>Reliability is a property of fields, not of sources.</w:t>
      </w:r>
      <w:r>
        <w:rPr>
          <w:rFonts w:ascii="Times New Roman" w:hAnsi="Times New Roman" w:eastAsia="Times New Roman"/>
          <w:sz w:val="24"/>
        </w:rPr>
        <w:t xml:space="preserve"> Within one document, issued by one authority on one date, fields differed in evidential strength, and what predicted the difference was who measured: laboratory-assayed quality moved one way, applicant-recorded yield gain the other. Standard scientometric data-quality assessment is source-level — coverage, error rates, classification accuracy (Franceschini et al., 2016; Jaffe and de Rassenfosse, 2017) — yet a source that passes such an audit can still contain fields of very different evidential value. Provenance labelling should be a required step: tag each field with its measuring party and stratify reliability assessment by that tag, rather than issuing one verdict for the source.</w:t>
      </w:r>
    </w:p>
    <w:p>
      <w:pPr>
        <w:spacing w:line="480" w:lineRule="auto" w:after="160"/>
        <w:jc w:val="left"/>
      </w:pPr>
      <w:r>
        <w:rPr>
          <w:rFonts w:ascii="Times New Roman" w:hAnsi="Times New Roman" w:eastAsia="Times New Roman"/>
          <w:b/>
          <w:sz w:val="24"/>
        </w:rPr>
        <w:t>The diagnostic is portable.</w:t>
      </w:r>
      <w:r>
        <w:rPr>
          <w:rFonts w:ascii="Times New Roman" w:hAnsi="Times New Roman" w:eastAsia="Times New Roman"/>
          <w:sz w:val="24"/>
        </w:rPr>
        <w:t xml:space="preserve"> Applicant-supplied material bound with independent assay results into one official record recurs in drug approval (Shi et al., 2021), device registration, and patent examination, where applicant claims sit beside examiner-added citations (Jaffe and de Rassenfosse, 2017). The test is cheap in each case: partition fields by measuring party and check whether a contrast holds the same sign in both. A contrast present in both partitions is most credible; one confined to the self-supplied partition is a candidate reporting artefact; one confined to the independently assayed partition — this paper's case — is not that kind of artefact, since the reporting party is not the one producing the number, but it is not self-validating either, remaining consistent with selection on an unobserved threshold. It rules out the reporting-incentive explanation and leaves other alternatives to other evidence (§4.7, §6).</w:t>
      </w:r>
    </w:p>
    <w:p>
      <w:pPr>
        <w:spacing w:line="480" w:lineRule="auto" w:after="160"/>
        <w:jc w:val="left"/>
      </w:pPr>
      <w:r>
        <w:rPr>
          <w:rFonts w:ascii="Times New Roman" w:hAnsi="Times New Roman" w:eastAsia="Times New Roman"/>
          <w:b/>
          <w:sz w:val="24"/>
        </w:rPr>
        <w:t>For technology assessment and competitive intelligence.</w:t>
      </w:r>
      <w:r>
        <w:rPr>
          <w:rFonts w:ascii="Times New Roman" w:hAnsi="Times New Roman" w:eastAsia="Times New Roman"/>
          <w:sz w:val="24"/>
        </w:rPr>
        <w:t xml:space="preserve"> Text mining of S&amp;T corpora was developed for research management and technology watch (Losiewicz et al., 2000; Antons et al., 2020); approval records extend that practice to the point a technology reaches users. The indicators built here answer which actors produce approved varieties, by which route, at what measured quality, while provenance labels tell the analyst which indicators bear weight. The recommendation for the corpus publisher is cheap: the channel exists inside every announcement already, and issuing it as a field would let downstream users condition on it directly (§8.3).</w:t>
      </w:r>
    </w:p>
    <w:p>
      <w:pPr>
        <w:keepNext/>
        <w:spacing w:line="480" w:lineRule="auto" w:after="120"/>
        <w:jc w:val="left"/>
      </w:pPr>
      <w:r>
        <w:rPr>
          <w:rFonts w:ascii="Times New Roman" w:hAnsi="Times New Roman" w:eastAsia="Times New Roman"/>
          <w:b/>
          <w:sz w:val="24"/>
        </w:rPr>
        <w:t>8.5 Limitations</w:t>
      </w:r>
    </w:p>
    <w:p>
      <w:pPr>
        <w:spacing w:line="480" w:lineRule="auto" w:after="160"/>
        <w:jc w:val="left"/>
      </w:pPr>
      <w:r>
        <w:rPr>
          <w:rFonts w:ascii="Times New Roman" w:hAnsi="Times New Roman" w:eastAsia="Times New Roman"/>
          <w:sz w:val="24"/>
        </w:rPr>
        <w:t xml:space="preserve">Six limitations bound this paper's scope. (1) The evidence covers a single country and crop; whether the same channel-measurement asymmetry appears elsewhere is untested. (2) Channel self-selection cannot be fully separated from measurement discretion — the within-applicant comparison (§6) is directionally uninformative because it is underpowered, not because it rules out self-selection. (3) </w:t>
      </w:r>
      <w:r>
        <w:rPr>
          <w:rFonts w:ascii="Times New Roman" w:hAnsi="Times New Roman" w:eastAsia="Times New Roman"/>
          <w:sz w:val="24"/>
        </w:rPr>
        <w:t>applicant_type</w:t>
      </w:r>
      <w:r>
        <w:rPr>
          <w:rFonts w:ascii="Times New Roman" w:hAnsi="Times New Roman" w:eastAsia="Times New Roman"/>
          <w:sz w:val="24"/>
        </w:rPr>
        <w:t>, needed for the enterprise-vs-institute comparison in §7, is entirely missing for the 2016, 2017, 2018 and 2021 cohorts, limiting that comparison to years with non-missing labels. (4) The compilation's field-level fidelity to the original text has not been verified (§3.4) — the single most consequential unverified assumption in the study, since every estimate would inherit any systematic transcription error we cannot presently bound; a replicator with primary access should treat this as the first check to run. (5) The window runs through 2022 because coverage falls sharply afterward, so this paper cannot speak to whether the trends in §8.2 continue, reverse or stabilise. (6) China's approval standards define categories judged against different trait bundles, and applicants targeting a high-yield category would rationally accept weaker quality; we cannot control for this, since no category term or field occurs anywhere in the corpus. The §7 germplasm evidence constrains one version of this story but not all of it — an argument for the provenance-labelling recommendation in §8.4.</w:t>
      </w:r>
    </w:p>
    <w:p>
      <w:pPr>
        <w:keepNext/>
        <w:spacing w:line="480" w:lineRule="auto" w:after="120"/>
        <w:jc w:val="left"/>
      </w:pPr>
      <w:r>
        <w:rPr>
          <w:rFonts w:ascii="Times New Roman" w:hAnsi="Times New Roman" w:eastAsia="Times New Roman"/>
          <w:b/>
          <w:sz w:val="26"/>
        </w:rPr>
        <w:t>9. Conclusion</w:t>
      </w:r>
    </w:p>
    <w:p>
      <w:pPr>
        <w:spacing w:line="480" w:lineRule="auto" w:after="160"/>
        <w:jc w:val="left"/>
      </w:pPr>
      <w:r>
        <w:rPr>
          <w:rFonts w:ascii="Times New Roman" w:hAnsi="Times New Roman" w:eastAsia="Times New Roman"/>
          <w:sz w:val="24"/>
        </w:rPr>
        <w:t>Since 2016, rice varieties have entered the Chinese market through three trial channels instead of one. Parsing which trial each variety passed through shows that what enters differs by channel on precisely the traits a third party, rather than the applicant, measures: self-organised entrants carry worse third-party-assayed quality alongside applicant-measured performance that is unchanged or higher — a difference in what each door admits, not an estimate of what the reform did, and a sign separation a breeding-ability story cannot produce, surviving the removal of the most prevalent breeding lineage.</w:t>
      </w:r>
    </w:p>
    <w:p>
      <w:pPr>
        <w:spacing w:line="480" w:lineRule="auto" w:after="160"/>
        <w:jc w:val="left"/>
      </w:pPr>
      <w:r>
        <w:rPr>
          <w:rFonts w:ascii="Times New Roman" w:hAnsi="Times New Roman" w:eastAsia="Times New Roman"/>
          <w:sz w:val="24"/>
        </w:rPr>
        <w:t>This is a composition effect on the population entering each pathway, not a causal effect on any individual variety. It does not speak to farmer welfare, extension outcomes or seed prices; it does not allege fabrication, a possibility the data cannot distinguish from self-selection or differing thresholds; and it does not extend to every third-party trait or level of government, since disease-resistance grading moves the other way and provincial replication is conclusive for only one of four outcomes. Within these bounds the contribution has two faces. As agricultural technology assessment, it supplies a record-level channel variable, read from announcement text rather than imposed as a before/after indicator, showing that what changed after 2016 was not only volume. As S&amp;T intelligence, it shows a long-public administrative corpus can become a structured indicator system whose fields must be read individually: inside one official source, evidence strength depended on who did the measuring — a diagnostic applicable wherever self-supplied material and independent assay results share an approval record.</w:t>
      </w:r>
    </w:p>
    <w:p>
      <w:pPr>
        <w:keepNext/>
        <w:spacing w:line="480" w:lineRule="auto" w:after="120"/>
        <w:jc w:val="left"/>
      </w:pPr>
      <w:r>
        <w:rPr>
          <w:rFonts w:ascii="Times New Roman" w:hAnsi="Times New Roman" w:eastAsia="Times New Roman"/>
          <w:b/>
          <w:sz w:val="24"/>
        </w:rPr>
        <w:t>Acknowledgements</w:t>
      </w:r>
    </w:p>
    <w:p>
      <w:pPr>
        <w:spacing w:line="480" w:lineRule="auto" w:after="160"/>
        <w:jc w:val="left"/>
      </w:pPr>
      <w:r>
        <w:rPr>
          <w:rFonts w:ascii="Times New Roman" w:hAnsi="Times New Roman" w:eastAsia="Times New Roman"/>
          <w:sz w:val="24"/>
        </w:rPr>
        <w:t>[Author to complete: funding sources, reviewer thanks, etc.]</w:t>
      </w:r>
    </w:p>
    <w:p>
      <w:pPr>
        <w:keepNext/>
        <w:spacing w:line="480" w:lineRule="auto" w:after="120"/>
        <w:jc w:val="left"/>
      </w:pPr>
      <w:r>
        <w:rPr>
          <w:rFonts w:ascii="Times New Roman" w:hAnsi="Times New Roman" w:eastAsia="Times New Roman"/>
          <w:b/>
          <w:sz w:val="24"/>
        </w:rPr>
        <w:t>Conflict of interest</w:t>
      </w:r>
    </w:p>
    <w:p>
      <w:pPr>
        <w:spacing w:line="480" w:lineRule="auto" w:after="160"/>
        <w:jc w:val="left"/>
      </w:pPr>
      <w:r>
        <w:rPr>
          <w:rFonts w:ascii="Times New Roman" w:hAnsi="Times New Roman" w:eastAsia="Times New Roman"/>
          <w:sz w:val="24"/>
        </w:rPr>
        <w:t>The authors declare no conflict of interest.</w:t>
      </w:r>
    </w:p>
    <w:p>
      <w:pPr>
        <w:keepNext/>
        <w:spacing w:line="480" w:lineRule="auto" w:after="120"/>
        <w:jc w:val="left"/>
      </w:pPr>
      <w:r>
        <w:rPr>
          <w:rFonts w:ascii="Times New Roman" w:hAnsi="Times New Roman" w:eastAsia="Times New Roman"/>
          <w:b/>
          <w:sz w:val="24"/>
        </w:rPr>
        <w:t>Data availability statement</w:t>
      </w:r>
    </w:p>
    <w:p>
      <w:pPr>
        <w:spacing w:line="480" w:lineRule="auto" w:after="160"/>
        <w:jc w:val="left"/>
      </w:pPr>
      <w:r>
        <w:rPr>
          <w:rFonts w:ascii="Times New Roman" w:hAnsi="Times New Roman" w:eastAsia="Times New Roman"/>
          <w:sz w:val="24"/>
        </w:rPr>
        <w:t>The variety-approval text corpus underlying this study was compiled from publicly available Ministry of Agriculture and Rural Affairs announcements via a third-party aggregation (see Methods). Parsing scripts, the field dictionary, and the list of approval-record identifiers used in the analysis are available at [repository link]. Due to the unresolved licensing status of the upstream aggregation, the full parsed dataset is not redistributed; researchers can reconstruct it from the cited public announcements using the provided scripts.</w:t>
      </w:r>
    </w:p>
    <w:p>
      <w:pPr>
        <w:keepNext/>
        <w:spacing w:line="480" w:lineRule="auto" w:after="120"/>
        <w:jc w:val="left"/>
      </w:pPr>
      <w:r>
        <w:rPr>
          <w:rFonts w:ascii="Times New Roman" w:hAnsi="Times New Roman" w:eastAsia="Times New Roman"/>
          <w:b/>
          <w:sz w:val="24"/>
        </w:rPr>
        <w:t>CRediT author contributions</w:t>
      </w:r>
    </w:p>
    <w:p>
      <w:pPr>
        <w:spacing w:line="480" w:lineRule="auto" w:after="160"/>
        <w:jc w:val="left"/>
      </w:pPr>
      <w:r>
        <w:rPr>
          <w:rFonts w:ascii="Times New Roman" w:hAnsi="Times New Roman" w:eastAsia="Times New Roman"/>
          <w:i/>
          <w:sz w:val="24"/>
        </w:rPr>
        <w:t>(Placeholder — to be completed by the author team before submission. List each named author against the CRediT roles that apply; a role may be shared by more than one author.)</w:t>
      </w:r>
    </w:p>
    <w:p>
      <w:pPr>
        <w:pStyle w:val="ListBullet"/>
        <w:spacing w:line="360" w:lineRule="auto" w:after="40"/>
      </w:pPr>
      <w:r>
        <w:rPr>
          <w:rFonts w:ascii="Times New Roman" w:hAnsi="Times New Roman" w:eastAsia="Times New Roman"/>
          <w:b/>
          <w:sz w:val="24"/>
        </w:rPr>
        <w:t>Conceptualization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Methodology</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Formal analysis</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Investigation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Data curation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original draft</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review &amp; editing</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Visualization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Supervision</w:t>
      </w:r>
      <w:r>
        <w:rPr>
          <w:rFonts w:ascii="Times New Roman" w:hAnsi="Times New Roman" w:eastAsia="Times New Roman"/>
          <w:sz w:val="24"/>
        </w:rPr>
        <w:t>: [Author(s) to complete]</w:t>
      </w:r>
    </w:p>
    <w:p>
      <w:pPr>
        <w:keepNext/>
        <w:spacing w:line="480" w:lineRule="auto" w:after="120"/>
        <w:jc w:val="left"/>
      </w:pPr>
      <w:r>
        <w:rPr>
          <w:rFonts w:ascii="Times New Roman" w:hAnsi="Times New Roman" w:eastAsia="Times New Roman"/>
          <w:b/>
          <w:sz w:val="24"/>
        </w:rPr>
        <w:t>Ethical approval</w:t>
      </w:r>
    </w:p>
    <w:p>
      <w:pPr>
        <w:spacing w:line="480" w:lineRule="auto" w:after="160"/>
        <w:jc w:val="left"/>
      </w:pPr>
      <w:r>
        <w:rPr>
          <w:rFonts w:ascii="Times New Roman" w:hAnsi="Times New Roman" w:eastAsia="Times New Roman"/>
          <w:sz w:val="24"/>
        </w:rPr>
        <w:t>Not applicable. This study did not involve human participants or animal experiments; it uses only publicly available government variety-approval announcements.</w:t>
      </w:r>
    </w:p>
    <w:p>
      <w:pPr>
        <w:keepNext/>
        <w:spacing w:line="480" w:lineRule="auto" w:after="120"/>
        <w:jc w:val="left"/>
      </w:pPr>
      <w:r>
        <w:rPr>
          <w:rFonts w:ascii="Times New Roman" w:hAnsi="Times New Roman" w:eastAsia="Times New Roman"/>
          <w:b/>
          <w:sz w:val="26"/>
        </w:rPr>
        <w:t>References</w:t>
      </w:r>
    </w:p>
    <w:p>
      <w:pPr>
        <w:spacing w:line="480" w:lineRule="auto" w:after="160"/>
        <w:jc w:val="left"/>
      </w:pPr>
      <w:r>
        <w:rPr>
          <w:rFonts w:ascii="Times New Roman" w:hAnsi="Times New Roman" w:eastAsia="Times New Roman"/>
          <w:sz w:val="24"/>
        </w:rPr>
        <w:t>Antons D, Grünwald E, Cichy P, Salge T O. 2020. The application of text mining methods in innovation research: Current state, evolution patterns, and development priorities. R&amp;D Management, 50, 329–351.</w:t>
      </w:r>
    </w:p>
    <w:p>
      <w:pPr>
        <w:spacing w:line="480" w:lineRule="auto" w:after="160"/>
        <w:jc w:val="left"/>
      </w:pPr>
      <w:r>
        <w:rPr>
          <w:rFonts w:ascii="Times New Roman" w:hAnsi="Times New Roman" w:eastAsia="Times New Roman"/>
          <w:sz w:val="24"/>
        </w:rPr>
        <w:t>Bar T, Zheng Y. 2019. Choosing certifiers: Evidence from the British Retail Consortium food safety standard. American Journal of Agricultural Economics, 101, 74–88.</w:t>
      </w:r>
    </w:p>
    <w:p>
      <w:pPr>
        <w:spacing w:line="480" w:lineRule="auto" w:after="160"/>
        <w:jc w:val="left"/>
      </w:pPr>
      <w:r>
        <w:rPr>
          <w:rFonts w:ascii="Times New Roman" w:hAnsi="Times New Roman" w:eastAsia="Times New Roman"/>
          <w:sz w:val="24"/>
        </w:rPr>
        <w:t>Duflo E, Greenstone M, Pande R, Ryan N. 2013. Truth-telling by third-party auditors and the response of polluting firms: Experimental evidence from India. Quarterly Journal of Economics, 128, 1499–1545.</w:t>
      </w:r>
    </w:p>
    <w:p>
      <w:pPr>
        <w:spacing w:line="480" w:lineRule="auto" w:after="160"/>
        <w:jc w:val="left"/>
      </w:pPr>
      <w:r>
        <w:rPr>
          <w:rFonts w:ascii="Times New Roman" w:hAnsi="Times New Roman" w:eastAsia="Times New Roman"/>
          <w:sz w:val="24"/>
        </w:rPr>
        <w:t>Franceschini F, Maisano D, Mastrogiacomo L. 2016. Empirical analysis and classification of database errors in Scopus and Web of Science. Journal of Informetrics, 10, 933–953.</w:t>
      </w:r>
    </w:p>
    <w:p>
      <w:pPr>
        <w:spacing w:line="480" w:lineRule="auto" w:after="160"/>
        <w:jc w:val="left"/>
      </w:pPr>
      <w:r>
        <w:rPr>
          <w:rFonts w:ascii="Times New Roman" w:hAnsi="Times New Roman" w:eastAsia="Times New Roman"/>
          <w:sz w:val="24"/>
        </w:rPr>
        <w:t>Gong J Y, Zhang X B, Zhang J F, Zeng B, Zhang X Q, Xu X, Cheng B Y, Hou Y X, Xia J H, Wu J L, Yang S H, Cheng S H, Han B, Xie H A, et al. 2026. Three-line hybrid rice in China: fifty years of sustained improvement in yield, quality, and stress resistance. Rice Science, 33. (Cited at title level only; the full text was not accessible to us, and no specific figure is attributed to it.)</w:t>
      </w:r>
    </w:p>
    <w:p>
      <w:pPr>
        <w:spacing w:line="480" w:lineRule="auto" w:after="160"/>
        <w:jc w:val="left"/>
      </w:pPr>
      <w:r>
        <w:rPr>
          <w:rFonts w:ascii="Times New Roman" w:hAnsi="Times New Roman" w:eastAsia="Times New Roman"/>
          <w:sz w:val="24"/>
        </w:rPr>
        <w:t>Grennan M, Town R J. 2020. Regulating innovation with uncertain quality: Information, risk, and access in medical devices. American Economic Review, 110, 120–161.</w:t>
      </w:r>
    </w:p>
    <w:p>
      <w:pPr>
        <w:spacing w:line="480" w:lineRule="auto" w:after="160"/>
        <w:jc w:val="left"/>
      </w:pPr>
      <w:r>
        <w:rPr>
          <w:rFonts w:ascii="Times New Roman" w:hAnsi="Times New Roman" w:eastAsia="Times New Roman"/>
          <w:sz w:val="24"/>
        </w:rPr>
        <w:t>Hang S, Wang Q, Wang Y, Xiang H. 2024. Evolution of rice cultivar performance across China: A multi-dimensional study on yield and agronomic characteristics over three decades. Agronomy, 14, 2780.</w:t>
      </w:r>
    </w:p>
    <w:p>
      <w:pPr>
        <w:spacing w:line="480" w:lineRule="auto" w:after="160"/>
        <w:jc w:val="left"/>
      </w:pPr>
      <w:r>
        <w:rPr>
          <w:rFonts w:ascii="Times New Roman" w:hAnsi="Times New Roman" w:eastAsia="Times New Roman"/>
          <w:sz w:val="24"/>
        </w:rPr>
        <w:t>Jaffe A B, de Rassenfosse G. 2017. Patent citation data in social science research: Overview and best practices. Journal of the Association for Information Science and Technology, 68, 1360–1374.</w:t>
      </w:r>
    </w:p>
    <w:p>
      <w:pPr>
        <w:spacing w:line="480" w:lineRule="auto" w:after="160"/>
        <w:jc w:val="left"/>
      </w:pPr>
      <w:r>
        <w:rPr>
          <w:rFonts w:ascii="Times New Roman" w:hAnsi="Times New Roman" w:eastAsia="Times New Roman"/>
          <w:sz w:val="24"/>
        </w:rPr>
        <w:t>Laidig F, Piepho H-P, Drobek T, Meyer U. 2014. Genetic and non-genetic long-term trends of 12 different crops in German official variety performance trials and on-farm yield trends. Theoretical and Applied Genetics, 127, 2599–2617.</w:t>
      </w:r>
    </w:p>
    <w:p>
      <w:pPr>
        <w:spacing w:line="480" w:lineRule="auto" w:after="160"/>
        <w:jc w:val="left"/>
      </w:pPr>
      <w:r>
        <w:rPr>
          <w:rFonts w:ascii="Times New Roman" w:hAnsi="Times New Roman" w:eastAsia="Times New Roman"/>
          <w:sz w:val="24"/>
        </w:rPr>
        <w:t>Losiewicz P, Oard D W, Kostoff R N. 2000. Textual data mining to support science and technology management. Journal of Intelligent Information Systems, 15, 99–119.</w:t>
      </w:r>
    </w:p>
    <w:p>
      <w:pPr>
        <w:spacing w:line="480" w:lineRule="auto" w:after="160"/>
        <w:jc w:val="left"/>
      </w:pPr>
      <w:r>
        <w:rPr>
          <w:rFonts w:ascii="Times New Roman" w:hAnsi="Times New Roman" w:eastAsia="Times New Roman"/>
          <w:sz w:val="24"/>
        </w:rPr>
        <w:t>Lu Y, Tang Y, Zhang J, Liu S, Liang X, Li M, Li R. 2024. Variations and trends in rice quality across different types of approved varieties in China, 1978–2022. Agronomy, 14, 1234.</w:t>
      </w:r>
    </w:p>
    <w:p>
      <w:pPr>
        <w:spacing w:line="480" w:lineRule="auto" w:after="160"/>
        <w:jc w:val="left"/>
      </w:pPr>
      <w:r>
        <w:rPr>
          <w:rFonts w:ascii="Times New Roman" w:hAnsi="Times New Roman" w:eastAsia="Times New Roman"/>
          <w:sz w:val="24"/>
        </w:rPr>
        <w:t>Mackay I, Horwell A, Garner J, White J, McKee J, Philpott H. 2011. Reanalyses of the historical series of UK variety trials to quantify the contributions of genetic and environmental factors to trends and variability in yield over time. Theoretical and Applied Genetics, 122, 225–238.</w:t>
      </w:r>
    </w:p>
    <w:p>
      <w:pPr>
        <w:spacing w:line="480" w:lineRule="auto" w:after="160"/>
        <w:jc w:val="left"/>
      </w:pPr>
      <w:r>
        <w:rPr>
          <w:rFonts w:ascii="Times New Roman" w:hAnsi="Times New Roman" w:eastAsia="Times New Roman"/>
          <w:sz w:val="24"/>
        </w:rPr>
        <w:t>Piepho H-P, Laidig F. 2025. How many checks are needed per cycle in a plant breeding or variety testing programme? Plant Breeding, 144, 242–248.</w:t>
      </w:r>
    </w:p>
    <w:p>
      <w:pPr>
        <w:spacing w:line="480" w:lineRule="auto" w:after="160"/>
        <w:jc w:val="left"/>
      </w:pPr>
      <w:r>
        <w:rPr>
          <w:rFonts w:ascii="Times New Roman" w:hAnsi="Times New Roman" w:eastAsia="Times New Roman"/>
          <w:sz w:val="24"/>
        </w:rPr>
        <w:t>Piepho H-P, Laidig F, Drobek T, Meyer U. 2014. Dissecting genetic and non-genetic sources of long-term yield trend in German official variety trials. Theoretical and Applied Genetics, 127, 1009–1018.</w:t>
      </w:r>
    </w:p>
    <w:p>
      <w:pPr>
        <w:spacing w:line="480" w:lineRule="auto" w:after="160"/>
        <w:jc w:val="left"/>
      </w:pPr>
      <w:r>
        <w:rPr>
          <w:rFonts w:ascii="Times New Roman" w:hAnsi="Times New Roman" w:eastAsia="Times New Roman"/>
          <w:sz w:val="24"/>
        </w:rPr>
        <w:t>Qiu H G, Wang X B, Zhang C P, Xu Z G. 2016. Farmers' seed choice behaviors under asymmetrical information: Evidence from maize farming in China. Journal of Integrative Agriculture, 15, 1915–1923.</w:t>
      </w:r>
    </w:p>
    <w:p>
      <w:pPr>
        <w:spacing w:line="480" w:lineRule="auto" w:after="160"/>
        <w:jc w:val="left"/>
      </w:pPr>
      <w:r>
        <w:rPr>
          <w:rFonts w:ascii="Times New Roman" w:hAnsi="Times New Roman" w:eastAsia="Times New Roman"/>
          <w:sz w:val="24"/>
        </w:rPr>
        <w:t>Rammer C, Es-Sadki N. 2023. Using big data for generating firm-level innovation indicators — A literature review. Technological Forecasting and Social Change, 197, 122874.</w:t>
      </w:r>
    </w:p>
    <w:p>
      <w:pPr>
        <w:spacing w:line="480" w:lineRule="auto" w:after="160"/>
        <w:jc w:val="left"/>
      </w:pPr>
      <w:r>
        <w:rPr>
          <w:rFonts w:ascii="Times New Roman" w:hAnsi="Times New Roman" w:eastAsia="Times New Roman"/>
          <w:sz w:val="24"/>
        </w:rPr>
        <w:t>Raymond J, Mackay I, Penfield S, Lovett A, Philpott H, Dorling S. 2023. Continuing genetic improvement and biases in genetic gain estimates revealed in historical UK variety trials data. Field Crops Research, 303, 109086.</w:t>
      </w:r>
    </w:p>
    <w:p>
      <w:pPr>
        <w:spacing w:line="480" w:lineRule="auto" w:after="160"/>
        <w:jc w:val="left"/>
      </w:pPr>
      <w:r>
        <w:rPr>
          <w:rFonts w:ascii="Times New Roman" w:hAnsi="Times New Roman" w:eastAsia="Times New Roman"/>
          <w:sz w:val="24"/>
        </w:rPr>
        <w:t>Renckens S, Auld G. 2022. Time to certify: Explaining varying efficiency of private regulatory audits. Regulation &amp; Governance, 16, 500–518.</w:t>
      </w:r>
    </w:p>
    <w:p>
      <w:pPr>
        <w:spacing w:line="480" w:lineRule="auto" w:after="160"/>
        <w:jc w:val="left"/>
      </w:pPr>
      <w:r>
        <w:rPr>
          <w:rFonts w:ascii="Times New Roman" w:hAnsi="Times New Roman" w:eastAsia="Times New Roman"/>
          <w:sz w:val="24"/>
        </w:rPr>
        <w:t>Shi Y, Ren P, Zhang Y, Gong X, Hu M, Liang H. 2021. Information extraction from FDA drug labeling to enhance product-specific guidance assessment using natural language processing. Frontiers in Research Metrics and Analytics, 6, 670006.</w:t>
      </w:r>
    </w:p>
    <w:p>
      <w:pPr>
        <w:spacing w:line="480" w:lineRule="auto" w:after="160"/>
        <w:jc w:val="left"/>
      </w:pPr>
      <w:r>
        <w:rPr>
          <w:rFonts w:ascii="Times New Roman" w:hAnsi="Times New Roman" w:eastAsia="Times New Roman"/>
          <w:sz w:val="24"/>
        </w:rPr>
        <w:t>Xiang C, Yang R, Wang X, Huang J. 2025. Impact of seed regulation reform on licensing fees of varieties in China. Agribusiness.</w:t>
      </w:r>
    </w:p>
    <w:p>
      <w:pPr>
        <w:spacing w:line="480" w:lineRule="auto" w:after="160"/>
        <w:jc w:val="left"/>
      </w:pPr>
      <w:r>
        <w:rPr>
          <w:rFonts w:ascii="Times New Roman" w:hAnsi="Times New Roman" w:eastAsia="Times New Roman"/>
          <w:sz w:val="24"/>
        </w:rPr>
        <w:t>Zhao Y, Deng H, Hu R, Xiong C. 2022. Impact of government policies on seed innovation in China. Agronomy, 12, 917.</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