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Trial channel and third-party-assayed grain quality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Liu Ning¹, Lu Kai²*</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¹ Anhui Winall Hi-Tech Seed Co., Ltd., Hefei, China ² Institute of Agricultural Economics and Information, Anhui Academy of Agricultural Sciences, Hefei, China</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Lu Kai (² above). [Postal address and e-mail — author to complete.] ORCID: to be provided for both authors.</w:t>
      </w:r>
    </w:p>
    <w:p>
      <w:pPr>
        <w:spacing w:line="480" w:lineRule="auto" w:after="160"/>
        <w:jc w:val="left"/>
      </w:pPr>
      <w:r>
        <w:rPr>
          <w:rFonts w:ascii="Times New Roman" w:hAnsi="Times New Roman" w:eastAsia="Times New Roman"/>
          <w:sz w:val="24"/>
        </w:rPr>
        <w:t xml:space="preserve">&gt; </w:t>
      </w:r>
      <w:r>
        <w:rPr>
          <w:rFonts w:ascii="Times New Roman" w:hAnsi="Times New Roman" w:eastAsia="Times New Roman"/>
          <w:b/>
          <w:sz w:val="24"/>
        </w:rPr>
        <w:t>Flag for author confirmation — not yet resolved.</w:t>
      </w:r>
      <w:r>
        <w:rPr>
          <w:rFonts w:ascii="Times New Roman" w:hAnsi="Times New Roman" w:eastAsia="Times New Roman"/>
          <w:sz w:val="24"/>
        </w:rPr>
        <w:t xml:space="preserve"> An earlier planning note (superseded &gt; by this draft; see </w:t>
      </w:r>
      <w:r>
        <w:rPr>
          <w:rFonts w:ascii="Times New Roman" w:hAnsi="Times New Roman" w:eastAsia="Times New Roman"/>
          <w:sz w:val="24"/>
        </w:rPr>
        <w:t>plan/03_target_journal.md</w:t>
      </w:r>
      <w:r>
        <w:rPr>
          <w:rFonts w:ascii="Times New Roman" w:hAnsi="Times New Roman" w:eastAsia="Times New Roman"/>
          <w:sz w:val="24"/>
        </w:rPr>
        <w:t xml:space="preserve"> / </w:t>
      </w:r>
      <w:r>
        <w:rPr>
          <w:rFonts w:ascii="Times New Roman" w:hAnsi="Times New Roman" w:eastAsia="Times New Roman"/>
          <w:sz w:val="24"/>
        </w:rPr>
        <w:t>manuscript/review/v4/00_SYNTHESIS_and_v5_plan.md</w:t>
      </w:r>
      <w:r>
        <w:rPr>
          <w:rFonts w:ascii="Times New Roman" w:hAnsi="Times New Roman" w:eastAsia="Times New Roman"/>
          <w:sz w:val="24"/>
        </w:rPr>
        <w:t xml:space="preserve">) &gt; recorded that the </w:t>
      </w:r>
      <w:r>
        <w:rPr>
          <w:rFonts w:ascii="Times New Roman" w:hAnsi="Times New Roman" w:eastAsia="Times New Roman"/>
          <w:i/>
          <w:sz w:val="24"/>
        </w:rPr>
        <w:t>first</w:t>
      </w:r>
      <w:r>
        <w:rPr>
          <w:rFonts w:ascii="Times New Roman" w:hAnsi="Times New Roman" w:eastAsia="Times New Roman"/>
          <w:sz w:val="24"/>
        </w:rPr>
        <w:t xml:space="preserve"> author's affiliation needed to be the S&amp;T information/intelligence &gt; institute to satisfy a discipline-classification "first-affiliation requirement" relevant to &gt; institutional research-performance evaluation. As given, the order is reversed — Liu Ning &gt; (Winall Hi-Tech Seed, a company) is first author, and Lu Kai (the S&amp;T information institute) &gt; is corresponding, not first. Please confirm this ordering is intended notwithstanding that &gt; earlier note, since only the author team knows which evaluation regime, if any, applies.</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b/>
          <w:sz w:val="24"/>
        </w:rPr>
        <w:t>Background</w:t>
      </w:r>
      <w:r>
        <w:rPr>
          <w:rFonts w:ascii="Times New Roman" w:hAnsi="Times New Roman" w:eastAsia="Times New Roman"/>
          <w:sz w:val="24"/>
        </w:rPr>
        <w:t xml:space="preserve"> Official rice variety-approval announcements record who tested a variety and what a third party measured, but the trial channel has never been extracted as an analysable field. China's 2016 approval reform let seed firms and breeder consortia run their own trials, but no prior study observes the channel, so none can tell whether what enters the market changed. </w:t>
      </w:r>
      <w:r>
        <w:rPr>
          <w:rFonts w:ascii="Times New Roman" w:hAnsi="Times New Roman" w:eastAsia="Times New Roman"/>
          <w:b/>
          <w:sz w:val="24"/>
        </w:rPr>
        <w:t>Objective</w:t>
      </w:r>
      <w:r>
        <w:rPr>
          <w:rFonts w:ascii="Times New Roman" w:hAnsi="Times New Roman" w:eastAsia="Times New Roman"/>
          <w:sz w:val="24"/>
        </w:rPr>
        <w:t xml:space="preserve"> We mine these announcements into a record-level indicator system (2,386 records, 17 fields), extract each variety's trial channel, and test whether self-organised and unified-trial entrants differ in what they bring to market. </w:t>
      </w:r>
      <w:r>
        <w:rPr>
          <w:rFonts w:ascii="Times New Roman" w:hAnsi="Times New Roman" w:eastAsia="Times New Roman"/>
          <w:b/>
          <w:sz w:val="24"/>
        </w:rPr>
        <w:t>Methods</w:t>
      </w:r>
      <w:r>
        <w:rPr>
          <w:rFonts w:ascii="Times New Roman" w:hAnsi="Times New Roman" w:eastAsia="Times New Roman"/>
          <w:sz w:val="24"/>
        </w:rPr>
        <w:t xml:space="preserve"> We compare self-organised with unified-trial entrants within the same year, trial group and named check, estimating the green channel (2017) and consortium trials (2019–2022) separately since they barely overlap. </w:t>
      </w:r>
      <w:r>
        <w:rPr>
          <w:rFonts w:ascii="Times New Roman" w:hAnsi="Times New Roman" w:eastAsia="Times New Roman"/>
          <w:b/>
          <w:sz w:val="24"/>
        </w:rPr>
        <w:t>Results</w:t>
      </w:r>
      <w:r>
        <w:rPr>
          <w:rFonts w:ascii="Times New Roman" w:hAnsi="Times New Roman" w:eastAsia="Times New Roman"/>
          <w:sz w:val="24"/>
        </w:rPr>
        <w:t xml:space="preserve"> Consortium entrants show 1.84 points lower head-rice percentage, 1.11 points higher chalkiness, and a 12.2-point lower probability of a stated national quality grade, all third-party-assayed, while the applicant's own yield advantage is, if anything, higher (+0.55 points, suggestive only); green-channel entrants likewise show higher chalkiness. This sign separation is the identification argument: breeding ability predicts both trait classes deteriorate together, whereas only third-party quality does. Results survive worst-case bounds, randomisation inference, and dropping the most prevalent breeding lineage; bacterial-blight grades are better among self-organised entrants, bounding the composition effect. </w:t>
      </w:r>
      <w:r>
        <w:rPr>
          <w:rFonts w:ascii="Times New Roman" w:hAnsi="Times New Roman" w:eastAsia="Times New Roman"/>
          <w:b/>
          <w:sz w:val="24"/>
        </w:rPr>
        <w:t>Conclusion</w:t>
      </w:r>
      <w:r>
        <w:rPr>
          <w:rFonts w:ascii="Times New Roman" w:hAnsi="Times New Roman" w:eastAsia="Times New Roman"/>
          <w:sz w:val="24"/>
        </w:rPr>
        <w:t xml:space="preserve"> Verification since 2022 appears to reach chalkiness but not head-rice, pointing to where oversight should target next; more broadly, evidence strength differs by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seed regulation;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but always as year-indexed trait series. Innovation measurement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w:t>
      </w:r>
    </w:p>
    <w:p>
      <w:pPr>
        <w:spacing w:line="480" w:lineRule="auto" w:after="160"/>
        <w:jc w:val="left"/>
      </w:pPr>
      <w:r>
        <w:rPr>
          <w:rFonts w:ascii="Times New Roman" w:hAnsi="Times New Roman" w:eastAsia="Times New Roman"/>
          <w:sz w:val="24"/>
        </w:rPr>
        <w:t xml:space="preserve">Two studies evaluate this same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(Xiang et al., 2025, who find no significant effect) and to national approval panels (Zhao et al., 2022); neither observes which trial a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related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channel: Lu et al. (2024) classify quality-trait trajectories for 17,785 approved varieties, and Hang et al. (2024) track agronomic-trait evolution across 11,811 regional-trial entries;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"closing window" discussion (§8.2) ask the channel-conditional version of the same question a year-indexed reading cannot. A recent title-level review of fifty-year hybrid-rice trends (Gong et al., 2026; full text inaccessible, cited for scope only) situates this trajectory over a longer horizon. No existing study has a record-level channel variable to test whether self-organised and state-run entrants differ in what they bring to market — this is the gap we close.</w:t>
      </w:r>
    </w:p>
    <w:p>
      <w:pPr>
        <w:spacing w:line="480" w:lineRule="auto" w:after="160"/>
        <w:jc w:val="left"/>
      </w:pPr>
      <w:r>
        <w:rPr>
          <w:rFonts w:ascii="Times New Roman" w:hAnsi="Times New Roman" w:eastAsia="Times New Roman"/>
          <w:sz w:val="24"/>
        </w:rPr>
        <w:t>We close it using a feature of the announcements: each states, in its own text, the name of the trial the variety was tested in. Parsing this text lets us assign every record to a channel and compare self-organised with unified-trial entrants within the same approval year, ecological trial group, and named check. Because the green channel is concentrated in 2017 and consortium trials begin only in 2019, the two barely overlap in time; we treat them as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between channels, since assignment is not random and applicants self-select into it; it is the difference in what each door lets through. We do not estimate, and do not claim, a causal effect of the reform on trait levels or on grain quality — the identification strategy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This paper makes three contributions. </w:t>
      </w:r>
      <w:r>
        <w:rPr>
          <w:rFonts w:ascii="Times New Roman" w:hAnsi="Times New Roman" w:eastAsia="Times New Roman"/>
          <w:b/>
          <w:sz w:val="24"/>
        </w:rPr>
        <w:t>First</w:t>
      </w:r>
      <w:r>
        <w:rPr>
          <w:rFonts w:ascii="Times New Roman" w:hAnsi="Times New Roman" w:eastAsia="Times New Roman"/>
          <w:sz w:val="24"/>
        </w:rPr>
        <w:t xml:space="preserve">, an S&amp;T-intelligence extraction pipeline over an unstructured administrative corpus yields the first record-level trial-channel variable for China's approval system — read from announcement wording rather than imposed as a before/after indicator — and a 17-field indicator set labelled by measuring party. </w:t>
      </w:r>
      <w:r>
        <w:rPr>
          <w:rFonts w:ascii="Times New Roman" w:hAnsi="Times New Roman" w:eastAsia="Times New Roman"/>
          <w:b/>
          <w:sz w:val="24"/>
        </w:rPr>
        <w:t>Second</w:t>
      </w:r>
      <w:r>
        <w:rPr>
          <w:rFonts w:ascii="Times New Roman" w:hAnsi="Times New Roman" w:eastAsia="Times New Roman"/>
          <w:sz w:val="24"/>
        </w:rPr>
        <w:t xml:space="preserve">, the coexistence of applicant-measured and third-party-measured traits within one approval file becomes an identification argument, unlike randomised self-certification designs that compare two measurements of the same attribute (Duflo et al., 2013; Bar and Zheng, 2019): here two </w:t>
      </w:r>
      <w:r>
        <w:rPr>
          <w:rFonts w:ascii="Times New Roman" w:hAnsi="Times New Roman" w:eastAsia="Times New Roman"/>
          <w:i/>
          <w:sz w:val="24"/>
        </w:rPr>
        <w:t>different</w:t>
      </w:r>
      <w:r>
        <w:rPr>
          <w:rFonts w:ascii="Times New Roman" w:hAnsi="Times New Roman" w:eastAsia="Times New Roman"/>
          <w:sz w:val="24"/>
        </w:rPr>
        <w:t xml:space="preserve"> attributes are measured by two different parties in one document. Grain-processing and appearance quality are measured by third-party laboratories uniformly across channels; agronomic performance is measured by the applicant's own trial when self-organised. A pure breeding-ability difference predicts both move together; we instead find a sign separation — third-party quality lower, applicant-measured performance unchanged or higher (§4.5, §5) — that such an account cannot generate on its own, though it cannot alone rule out a difference in channel-specific admission thresholds. </w:t>
      </w:r>
      <w:r>
        <w:rPr>
          <w:rFonts w:ascii="Times New Roman" w:hAnsi="Times New Roman" w:eastAsia="Times New Roman"/>
          <w:b/>
          <w:sz w:val="24"/>
        </w:rPr>
        <w:t>Third</w:t>
      </w:r>
      <w:r>
        <w:rPr>
          <w:rFonts w:ascii="Times New Roman" w:hAnsi="Times New Roman" w:eastAsia="Times New Roman"/>
          <w:sz w:val="24"/>
        </w:rPr>
        <w:t>, splitting the reform into two non-overlapping treatments shows pooling them would misstate the gap's direction, since the green channel (2017) and consortium trials (2019–2022) differ in sign on at least one trait. A second indicator, germplasm concentration across parental lines, serves as a counter-case: consortium entrants draw on a significantly broader sterile-line base than the unified entrants compared against, so a narrower breeding base cannot explain their deficit. No analysis in the paper is conducted at the level of a named organisation.</w:t>
      </w:r>
    </w:p>
    <w:p>
      <w:pPr>
        <w:spacing w:line="480" w:lineRule="auto" w:after="160"/>
        <w:jc w:val="left"/>
      </w:pPr>
      <w:r>
        <w:rPr>
          <w:rFonts w:ascii="Times New Roman" w:hAnsi="Times New Roman" w:eastAsia="Times New Roman"/>
          <w:sz w:val="24"/>
        </w:rPr>
        <w:t>§2 covers institutional background; §3 the extraction pipeline; §4 empirical strategy and its limits; §5–6 results and robustness; §7 the germplasm counter-case; §8 S&amp;T intelligence and policy implications;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Until 2016 the evaluation trial was uniformly state-run: a candidate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approval committee, grown alongside a named check under a common protocol. This remained the only route until a </w:t>
      </w:r>
      <w:r>
        <w:rPr>
          <w:rFonts w:ascii="Times New Roman" w:hAnsi="Times New Roman" w:eastAsia="Times New Roman"/>
          <w:b/>
          <w:sz w:val="24"/>
        </w:rPr>
        <w:t>green channel</w:t>
      </w:r>
      <w:r>
        <w:rPr>
          <w:rFonts w:ascii="Times New Roman" w:hAnsi="Times New Roman" w:eastAsia="Times New Roman"/>
          <w:sz w:val="24"/>
        </w:rPr>
        <w:t xml:space="preserve"> (绿色通道) opened in 2014, letting certified integrated seed-breeding-production-extension enterprises run their own trials; in our data it appears concentrated in 2017.</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(Order No. 4, effective 15 August 2016) extended self-organised testing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run by a consortium of five or more breeders rather than the state system. Consortium-trial records first appear in 2019 and dominate the self-organised channel from 2019 through 2022; the green channel and consortium trials barely overlap in time. Comparative institutional accounts place this shift within a broader move of Chinese seed governance away from state-run testing toward a more self-governing, enterprise-centred model (Xu, 2021), a trajectory a recent domestic policy review also traces while comparing it explicitly with US, EU and Japanese approval and registration systems (Wang et al., 2024).</w:t>
      </w:r>
    </w:p>
    <w:p>
      <w:pPr>
        <w:spacing w:line="480" w:lineRule="auto" w:after="160"/>
        <w:jc w:val="left"/>
      </w:pPr>
      <w:r>
        <w:rPr>
          <w:rFonts w:ascii="Times New Roman" w:hAnsi="Times New Roman" w:eastAsia="Times New Roman"/>
          <w:sz w:val="24"/>
        </w:rPr>
        <w:t xml:space="preserve">Regardless of channel, grain-processing and appearance quality are assessed under a separate, uniform regime: laboratories designated by the Ministry of Agriculture and Rural Affairs apply a published standard — </w:t>
      </w:r>
      <w:r>
        <w:rPr>
          <w:rFonts w:ascii="Times New Roman" w:hAnsi="Times New Roman" w:eastAsia="Times New Roman"/>
          <w:b/>
          <w:sz w:val="24"/>
        </w:rPr>
        <w:t>NY/T 593</w:t>
      </w:r>
      <w:r>
        <w:rPr>
          <w:rFonts w:ascii="Times New Roman" w:hAnsi="Times New Roman" w:eastAsia="Times New Roman"/>
          <w:sz w:val="24"/>
        </w:rPr>
        <w:t xml:space="preserve"> (《食用稻品种品质》) for most of the window, or </w:t>
      </w:r>
      <w:r>
        <w:rPr>
          <w:rFonts w:ascii="Times New Roman" w:hAnsi="Times New Roman" w:eastAsia="Times New Roman"/>
          <w:b/>
          <w:sz w:val="24"/>
        </w:rPr>
        <w:t>GB/T 17891</w:t>
      </w:r>
      <w:r>
        <w:rPr>
          <w:rFonts w:ascii="Times New Roman" w:hAnsi="Times New Roman" w:eastAsia="Times New Roman"/>
          <w:sz w:val="24"/>
        </w:rPr>
        <w:t xml:space="preserve"> (《优质稻谷》), which predominates in 2017 — grading head-rice percentage, chalkiness and the national or industry quality grade. The channel therefore determines who measures agronomic performance, but not who measures grain-processing and appearance quality. Independent quality certification of this kind addresses a documented information gap in Chinese agricultural markets: Chinese consumers pay real, measurable premiums for verified rice quality (Miao et al., 2025), and government-provided quality information interacts non-trivially, not always positively, with the value of third-party certification (Bian et al., 2022).</w:t>
      </w:r>
    </w:p>
    <w:p>
      <w:pPr>
        <w:spacing w:line="480" w:lineRule="auto" w:after="160"/>
        <w:jc w:val="left"/>
      </w:pPr>
      <w:r>
        <w:rPr>
          <w:rFonts w:ascii="Times New Roman" w:hAnsi="Times New Roman" w:eastAsia="Times New Roman"/>
          <w:sz w:val="24"/>
        </w:rPr>
        <w:t>Two further changes fall at the edge of our window. In 2021, approval standards for rice and maize were revised upward on yield, quality and resistance thresholds, and approval volumes fell markedly afterward (evidence from industry-media reporting, flagged as lower confidence). On 1 March 2022 the revised Seed Law took effect, establishing an essentially-derived-variety (EDV) system requiring the original right-holder's consent for commercial exploitation of a derived variety. On 31 August 2022 the Ministry issued a notice launching a special-rectification campaign targeting green-channel and consortium-trial practices, at the end of our sample window; we treat it only as the point after which identifying variation becomes harder to observe.</w:t>
      </w:r>
    </w:p>
    <w:p>
      <w:pPr>
        <w:spacing w:line="480" w:lineRule="auto" w:after="160"/>
        <w:jc w:val="left"/>
      </w:pPr>
      <w:r>
        <w:rPr>
          <w:rFonts w:ascii="Times New Roman" w:hAnsi="Times New Roman" w:eastAsia="Times New Roman"/>
          <w:sz w:val="24"/>
        </w:rPr>
        <w:t>These five events — the 2014 green channel, the 2016 Measures, the 2021 revision, the 2022 EDV provision and the 2022 rectification notice — are reported strictly as a timeline motivating the sample window and two-arm structure. We draw no inference about regulatory intent from their sequence, and attribute no trait trend to a specific event unless a structural-break test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is an unstructured administrative text collection, this section doubles as a methods section for the extraction itself, set out as a six-step S&amp;T intelligence pipeline schematised in Supplementary Fig. S4: (i) </w:t>
      </w:r>
      <w:r>
        <w:rPr>
          <w:rFonts w:ascii="Times New Roman" w:hAnsi="Times New Roman" w:eastAsia="Times New Roman"/>
          <w:b/>
          <w:sz w:val="24"/>
        </w:rPr>
        <w:t>intelligence-source identification</w:t>
      </w:r>
      <w:r>
        <w:rPr>
          <w:rFonts w:ascii="Times New Roman" w:hAnsi="Times New Roman" w:eastAsia="Times New Roman"/>
          <w:sz w:val="24"/>
        </w:rPr>
        <w:t xml:space="preserve">, (ii) </w:t>
      </w:r>
      <w:r>
        <w:rPr>
          <w:rFonts w:ascii="Times New Roman" w:hAnsi="Times New Roman" w:eastAsia="Times New Roman"/>
          <w:b/>
          <w:sz w:val="24"/>
        </w:rPr>
        <w:t>corpus acquisition</w:t>
      </w:r>
      <w:r>
        <w:rPr>
          <w:rFonts w:ascii="Times New Roman" w:hAnsi="Times New Roman" w:eastAsia="Times New Roman"/>
          <w:sz w:val="24"/>
        </w:rPr>
        <w:t xml:space="preserve">, (iii) </w:t>
      </w:r>
      <w:r>
        <w:rPr>
          <w:rFonts w:ascii="Times New Roman" w:hAnsi="Times New Roman" w:eastAsia="Times New Roman"/>
          <w:b/>
          <w:sz w:val="24"/>
        </w:rPr>
        <w:t>field extraction</w:t>
      </w:r>
      <w:r>
        <w:rPr>
          <w:rFonts w:ascii="Times New Roman" w:hAnsi="Times New Roman" w:eastAsia="Times New Roman"/>
          <w:sz w:val="24"/>
        </w:rPr>
        <w:t xml:space="preserve">,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and (vi) </w:t>
      </w:r>
      <w:r>
        <w:rPr>
          <w:rFonts w:ascii="Times New Roman" w:hAnsi="Times New Roman" w:eastAsia="Times New Roman"/>
          <w:b/>
          <w:sz w:val="24"/>
        </w:rPr>
        <w:t>indicator construction</w:t>
      </w:r>
      <w:r>
        <w:rPr>
          <w:rFonts w:ascii="Times New Roman" w:hAnsi="Times New Roman" w:eastAsia="Times New Roman"/>
          <w:sz w:val="24"/>
        </w:rPr>
        <w:t>. Steps (i)–(iv) are what reproducing the corpus needs; step (v) is what judging any individual field's trustworthiness needs, reported at field level rather than as one corpus-wide statement; step (vi) assembles the fields judged trustworthy into the paper's 17 analysis variables.</w:t>
      </w:r>
    </w:p>
    <w:p>
      <w:pPr>
        <w:jc w:val="center"/>
      </w:pPr>
      <w:r>
        <w:drawing>
          <wp:inline xmlns:a="http://schemas.openxmlformats.org/drawingml/2006/main" xmlns:pic="http://schemas.openxmlformats.org/drawingml/2006/picture">
            <wp:extent cx="5760000" cy="1669565"/>
            <wp:docPr id="1" name="Picture 1"/>
            <wp:cNvGraphicFramePr>
              <a:graphicFrameLocks noChangeAspect="1"/>
            </wp:cNvGraphicFramePr>
            <a:graphic>
              <a:graphicData uri="http://schemas.openxmlformats.org/drawingml/2006/picture">
                <pic:pic>
                  <pic:nvPicPr>
                    <pic:cNvPr id="0" name="figS4_intelligence_pipeline.png"/>
                    <pic:cNvPicPr/>
                  </pic:nvPicPr>
                  <pic:blipFill>
                    <a:blip r:embed="rId9"/>
                    <a:stretch>
                      <a:fillRect/>
                    </a:stretch>
                  </pic:blipFill>
                  <pic:spPr>
                    <a:xfrm>
                      <a:off x="0" y="0"/>
                      <a:ext cx="5760000" cy="1669565"/>
                    </a:xfrm>
                    <a:prstGeom prst="rect"/>
                  </pic:spPr>
                </pic:pic>
              </a:graphicData>
            </a:graphic>
          </wp:inline>
        </w:drawing>
      </w:r>
    </w:p>
    <w:p>
      <w:pPr>
        <w:spacing w:line="276" w:lineRule="auto" w:after="240"/>
        <w:jc w:val="left"/>
      </w:pPr>
      <w:r>
        <w:rPr>
          <w:rFonts w:ascii="Times New Roman" w:hAnsi="Times New Roman" w:eastAsia="Times New Roman"/>
          <w:sz w:val="22"/>
        </w:rPr>
        <w:t>Supplementary Fig. S4</w:t>
      </w:r>
    </w:p>
    <w:p>
      <w:pPr>
        <w:spacing w:line="480" w:lineRule="auto" w:after="160"/>
        <w:jc w:val="left"/>
      </w:pPr>
      <w:r>
        <w:rPr>
          <w:rFonts w:ascii="Times New Roman" w:hAnsi="Times New Roman" w:eastAsia="Times New Roman"/>
          <w:b/>
          <w:sz w:val="24"/>
        </w:rPr>
        <w:t>Supplementary Fig. S4.</w:t>
      </w:r>
      <w:r>
        <w:rPr>
          <w:rFonts w:ascii="Times New Roman" w:hAnsi="Times New Roman" w:eastAsia="Times New Roman"/>
          <w:sz w:val="24"/>
        </w:rPr>
        <w:t xml:space="preserve"> The six-step S&amp;T intelligence-extraction pipeline, schematically summarising the methods narrative of this section: steps (i)–(iv) reproducing the corpus, step (v) judging field trustworthiness, and step (vi) building analysis-ready indicators.</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 4,347 provincial, 1999–2025), issued by the Ministry of Agriculture and Rural Affairs (MARA) and, for provincial approvals, by provincial committees. We did not access MARA's own archive directly; the text corpus was obtained through a public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re-parsed with our own regular-expression rules. The data are therefore </w:t>
      </w:r>
      <w:r>
        <w:rPr>
          <w:rFonts w:ascii="Times New Roman" w:hAnsi="Times New Roman" w:eastAsia="Times New Roman"/>
          <w:i/>
          <w:sz w:val="24"/>
        </w:rPr>
        <w:t>MARA announcements, obtained through a public third-party compilation and parsed by the authors</w:t>
      </w:r>
      <w:r>
        <w:rPr>
          <w:rFonts w:ascii="Times New Roman" w:hAnsi="Times New Roman" w:eastAsia="Times New Roman"/>
          <w:sz w:val="24"/>
        </w:rPr>
        <w:t>, not a first-hand MARA product and not a full census (coverage declines sharply after 2022: 85/409 announcements for 2023, 61/405 for 2024, 2 for 2025 — §3.4). For this reason approval counts are never used as an outcome variable, only descriptively.</w:t>
      </w:r>
    </w:p>
    <w:p>
      <w:pPr>
        <w:spacing w:line="480" w:lineRule="auto" w:after="160"/>
        <w:jc w:val="left"/>
      </w:pPr>
      <w:r>
        <w:rPr>
          <w:rFonts w:ascii="Times New Roman" w:hAnsi="Times New Roman" w:eastAsia="Times New Roman"/>
          <w:sz w:val="24"/>
        </w:rPr>
        <w:t xml:space="preserve">Every element of our identification strategy depends on one feature no prior study has used: each announcement states, in its "yield performance" or "characteristics" paragraph, which trial the variety was tested in. We construct a record-level </w:t>
      </w:r>
      <w:r>
        <w:rPr>
          <w:rFonts w:ascii="Times New Roman" w:hAnsi="Times New Roman" w:eastAsia="Times New Roman"/>
          <w:sz w:val="24"/>
        </w:rPr>
        <w:t>channel</w:t>
      </w:r>
      <w:r>
        <w:rPr>
          <w:rFonts w:ascii="Times New Roman" w:hAnsi="Times New Roman" w:eastAsia="Times New Roman"/>
          <w:sz w:val="24"/>
        </w:rPr>
        <w:t xml:space="preserve"> variable by regular-expression matching: "绿色通道" or "自主试验" → Green; "联合体" → Consortium; all else → Unified. </w:t>
      </w:r>
      <w:r>
        <w:rPr>
          <w:rFonts w:ascii="Times New Roman" w:hAnsi="Times New Roman" w:eastAsia="Times New Roman"/>
          <w:sz w:val="24"/>
        </w:rPr>
        <w:t>new_channel</w:t>
      </w:r>
      <w:r>
        <w:rPr>
          <w:rFonts w:ascii="Times New Roman" w:hAnsi="Times New Roman" w:eastAsia="Times New Roman"/>
          <w:sz w:val="24"/>
        </w:rPr>
        <w:t xml:space="preserve"> collapses Green and Consortium for descriptive use only (§4 explains why they are estimated as separate arms). Trial group, named check and approval year are parsed from the same paragraph and the approval-number field, succeeding for 100% of national records; the channel label itself is unrecoverable for 233 of 234 national records approved in 2018 (99.6%), treated as a documentation-format gap rather than evidence that self-organised trials did not exist that year (Fig. 1, Table 1; R4 in §6 shows this coding choice is immaterial).</w:t>
      </w:r>
    </w:p>
    <w:p>
      <w:pPr>
        <w:jc w:val="center"/>
      </w:pPr>
      <w:r>
        <w:drawing>
          <wp:inline xmlns:a="http://schemas.openxmlformats.org/drawingml/2006/main" xmlns:pic="http://schemas.openxmlformats.org/drawingml/2006/picture">
            <wp:extent cx="5760000" cy="3869296"/>
            <wp:docPr id="2" name="Picture 2"/>
            <wp:cNvGraphicFramePr>
              <a:graphicFrameLocks noChangeAspect="1"/>
            </wp:cNvGraphicFramePr>
            <a:graphic>
              <a:graphicData uri="http://schemas.openxmlformats.org/drawingml/2006/picture">
                <pic:pic>
                  <pic:nvPicPr>
                    <pic:cNvPr id="0" name="fig1_channel_stacked.png"/>
                    <pic:cNvPicPr/>
                  </pic:nvPicPr>
                  <pic:blipFill>
                    <a:blip r:embed="rId10"/>
                    <a:stretch>
                      <a:fillRect/>
                    </a:stretch>
                  </pic:blipFill>
                  <pic:spPr>
                    <a:xfrm>
                      <a:off x="0" y="0"/>
                      <a:ext cx="5760000" cy="3869296"/>
                    </a:xfrm>
                    <a:prstGeom prst="rect"/>
                  </pic:spPr>
                </pic:pic>
              </a:graphicData>
            </a:graphic>
          </wp:inline>
        </w:drawing>
      </w:r>
    </w:p>
    <w:p>
      <w:pPr>
        <w:spacing w:line="276" w:lineRule="auto" w:after="240"/>
        <w:jc w:val="left"/>
      </w:pPr>
      <w:r>
        <w:rPr>
          <w:rFonts w:ascii="Times New Roman" w:hAnsi="Times New Roman" w:eastAsia="Times New Roman"/>
          <w:sz w:val="22"/>
        </w:rPr>
        <w:t>Fig. 1</w:t>
      </w:r>
    </w:p>
    <w:p>
      <w:pPr>
        <w:spacing w:line="276" w:lineRule="auto" w:after="160"/>
        <w:jc w:val="left"/>
      </w:pPr>
      <w:r>
        <w:rPr>
          <w:rFonts w:ascii="Times New Roman" w:hAnsi="Times New Roman" w:eastAsia="Times New Roman"/>
          <w:b/>
          <w:sz w:val="24"/>
        </w:rPr>
        <w:t>Fig. 1.</w:t>
      </w:r>
      <w:r>
        <w:rPr>
          <w:rFonts w:ascii="Times New Roman" w:hAnsi="Times New Roman" w:eastAsia="Times New Roman"/>
          <w:sz w:val="24"/>
        </w:rPr>
        <w:t xml:space="preserve"> 2005–2022 national rice approvals by trial channel, stacked area chart, with vertical markers for the 2014 green channel, 2016 revision of the </w:t>
      </w:r>
      <w:r>
        <w:rPr>
          <w:rFonts w:ascii="Times New Roman" w:hAnsi="Times New Roman" w:eastAsia="Times New Roman"/>
          <w:i/>
          <w:sz w:val="24"/>
        </w:rPr>
        <w:t>Measures</w:t>
      </w:r>
      <w:r>
        <w:rPr>
          <w:rFonts w:ascii="Times New Roman" w:hAnsi="Times New Roman" w:eastAsia="Times New Roman"/>
          <w:sz w:val="24"/>
        </w:rPr>
        <w:t xml:space="preserve"> establishing consortium trials, the 2021 approval-standard revision, the 2022 essentially-derived-variety (EDV) provision, and the 2022 special-rectification notice.</w:t>
      </w:r>
    </w:p>
    <w:p>
      <w:pPr>
        <w:spacing w:line="480" w:lineRule="auto" w:after="160"/>
        <w:jc w:val="left"/>
      </w:pPr>
      <w:r>
        <w:rPr>
          <w:rFonts w:ascii="Times New Roman" w:hAnsi="Times New Roman" w:eastAsia="Times New Roman"/>
          <w:sz w:val="24"/>
        </w:rPr>
        <w:t>Step (iv), entity recognition and disambiguation, resolves the free-text variety-source field into the two parental lines of the originating cross — sterile (female) line, a separator varying across several typographic conventions, then the restorer (male) line, often continuing into the parents' own ancestry. We take only the first cross and normalise separators and quotation marks. The rule resolves 2,304 of 2,386 national records (96.6%); the 3.4% that fail are multi-parent pedigrees with no single immediate cross, mutagenesis- or selection-derived varieties recording no cross at all, and a residue using symbols the rule does not cover — all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coverage is 99.7–100% in all four channel-by-arm groups (Table 5), so differential parsing failure cannot drive the contrasts we report; unbalanced extraction failure is the specific way this kind of indicator goes wrong, and we state the rate for that reason.</w:t>
      </w:r>
    </w:p>
    <w:p>
      <w:pPr>
        <w:spacing w:line="480" w:lineRule="auto" w:after="160"/>
        <w:jc w:val="left"/>
      </w:pPr>
      <w:r>
        <w:rPr>
          <w:rFonts w:ascii="Times New Roman" w:hAnsi="Times New Roman" w:eastAsia="Times New Roman"/>
          <w:sz w:val="24"/>
        </w:rPr>
        <w:t xml:space="preserve">Parental-line names carry their own entity-resolution problem, since a line may appear with or without its breeder prefix. We normalise whitespace and quotation marks but do not merge differently spelled names — the conservative choice, since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of any resulting bias to the between-channel </w:t>
      </w:r>
      <w:r>
        <w:rPr>
          <w:rFonts w:ascii="Times New Roman" w:hAnsi="Times New Roman" w:eastAsia="Times New Roman"/>
          <w:b/>
          <w:sz w:val="24"/>
        </w:rPr>
        <w:t>contrast</w:t>
      </w:r>
      <w:r>
        <w:rPr>
          <w:rFonts w:ascii="Times New Roman" w:hAnsi="Times New Roman" w:eastAsia="Times New Roman"/>
          <w:sz w:val="24"/>
        </w:rPr>
        <w:t>, which would require knowing variant-splitting rates are equal across channels — not established here.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pipeline step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Beyond a conventional data-quality assessment of completeness and transcription accuracy, we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reliability on a par with coverage. The paper's identification argument turns on a distinction the announcements make explicit: head-rice percentage, chalkiness degree, whether a quality grade is stated, and the two disease-resistance grades are all assayed by MARA-designated third-party bodies under the applicable standard (NY/T 593 or GB/T 17891, §2); the yield outcomes and most agronomic outcomes (growth duration, plant height, seed-set,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a numeric grade or a named standard, defined for every record by construction; its two source fields agree on presence/absence 84.5% of the time, so we use their union. Because it is mechanically close to a missingness indicator for the underlying grade field,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§6 (R16) shows the coefficient strengthens once text length and field-count are controlled for.</w:t>
      </w:r>
    </w:p>
    <w:p>
      <w:pPr>
        <w:spacing w:line="480" w:lineRule="auto" w:after="160"/>
        <w:jc w:val="left"/>
      </w:pPr>
      <w:r>
        <w:rPr>
          <w:rFonts w:ascii="Times New Roman" w:hAnsi="Times New Roman" w:eastAsia="Times New Roman"/>
          <w:sz w:val="24"/>
        </w:rPr>
        <w:t xml:space="preserve">Missingness in the main stratum is low and mostly balanced across arms (within ~2 pp for most outcomes in Arm 1). Three outcomes are not: regional-trial yield gain is 99.8% vs. 88.1% non-missing (Consortium vs. Unified, an 11.6-point gap); the top-two quality-grade indicator is 77.0% vs. 88.7% (11.7 points); and absolute regional-trial yield is 100% vs. 90.4% (9.6 points). We report Manski worst-case bounds alongside the point estimate for these three (§6, R7). Arm 2 is more severe for one outcome: regional-trial yield gain is populated for only 1.9% of Arm-2 Unified records (1 of 52), so that coefficient is not estimable and is reported as such rather than as a null. </w:t>
      </w:r>
      <w:r>
        <w:rPr>
          <w:rFonts w:ascii="Times New Roman" w:hAnsi="Times New Roman" w:eastAsia="Times New Roman"/>
          <w:sz w:val="24"/>
        </w:rPr>
        <w:t>applicant_type</w:t>
      </w:r>
      <w:r>
        <w:rPr>
          <w:rFonts w:ascii="Times New Roman" w:hAnsi="Times New Roman" w:eastAsia="Times New Roman"/>
          <w:sz w:val="24"/>
        </w:rPr>
        <w:t xml:space="preserve"> (enterprise / public / joint / unknown), used only in the descriptive comparison in §7, is entirely missing for national approvals in 2016, 2017, 2018 and 2021 (904 records) — a documented structural gap in the source, not our parsing — which is why any enterprise-vs.-public comparison is confined to years with a non-missing field and presented as descriptive only.</w:t>
      </w:r>
    </w:p>
    <w:p>
      <w:pPr>
        <w:spacing w:line="276" w:lineRule="auto" w:after="160"/>
        <w:jc w:val="left"/>
      </w:pPr>
      <w:r>
        <w:rPr>
          <w:rFonts w:ascii="Times New Roman" w:hAnsi="Times New Roman" w:eastAsia="Times New Roman"/>
          <w:sz w:val="24"/>
        </w:rPr>
        <w:t>Table 1 reports year-by-year record counts by channel, plotted alongside the institutional timeline (§2) in Fig. 1. Table 2 gives a full descriptive and balance summary by arm for every outcome and control in Table 3. The main text retains six figures and five tables; the enterprise-vs.-institution comparison and the missingness-balance plot are in the Supplementary Material as Table S1 and Fig. S1.</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Two representativeness concerns bear on how results should be read. The compilation is a sample of announcements, not a verified census, with declining coverage after 2022 (§3.1); we restrict the window to 2017–2022 and treat post-2022 only as background evidence that the channel distinction is currently being narrowed by regulatory action (§8.2). And because the compilation is a third-party re-transcription rather than the official record, transcription and parsing error are a live concern — not a peculiarity of our source, since large-scale audits of S&amp;T indicator databases find similar systematic error rates (Franceschini et al., 2016), and the appropriate response is to state a corpus's verification status.</w:t>
      </w:r>
    </w:p>
    <w:p>
      <w:pPr>
        <w:spacing w:line="480" w:lineRule="auto" w:after="160"/>
        <w:jc w:val="left"/>
      </w:pPr>
      <w:r>
        <w:rPr>
          <w:rFonts w:ascii="Times New Roman" w:hAnsi="Times New Roman" w:eastAsia="Times New Roman"/>
          <w:sz w:val="24"/>
        </w:rPr>
        <w:t xml:space="preserve">We state ours plainly: </w:t>
      </w:r>
      <w:r>
        <w:rPr>
          <w:rFonts w:ascii="Times New Roman" w:hAnsi="Times New Roman" w:eastAsia="Times New Roman"/>
          <w:b/>
          <w:sz w:val="24"/>
        </w:rPr>
        <w:t>we have not cross-checked the parsed corpus field by field against the original MARA text, and report no transcription agreement rate.</w:t>
      </w:r>
      <w:r>
        <w:rPr>
          <w:rFonts w:ascii="Times New Roman" w:hAnsi="Times New Roman" w:eastAsia="Times New Roman"/>
          <w:sz w:val="24"/>
        </w:rPr>
        <w:t xml:space="preserve"> Doing so requires the primary announcements directly, which was not possible with our access. Every quantity here is conditional on faithful transcription — an assumption relied on but not independently confirmed, testable by a replicator with primary access — and is, per §8.5,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of a causal "effect of the reform." Using the provincial-to-national approval switch as a DID shock fails because its parallel-trends assumption fails pre-period for three of six candidate outcomes (chalkiness +0.515 pp/year, p = 0.006; amylose +0.212, p &lt; 0.0001; thousand-grain weight −0.130, p = 0.003 — all trending differently across administrative levels before 2016), so a post-2016 gap would conflate a real channel effect with pre-existing divergence. Using varying channel exposure across trial groups as a differential-intensity DID fails because penetration ranges only 0.33–0.63 across groups, leaving no low-exposure counterfactual. Our design is accordingly not a DID and does not estimate a pre/post treatment effect;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record level — rather than treating the 2016 reform as a single period indicator, as the one existing evaluation does (Xiang et al., 2025) — makes it possible to ask not "did the market change after the reform" but "does what enters differ by door, within the same year." A naive specification Y ~ channel + year + trial_group + check + breeding_system is not estimable: the named check is nearly perfectly nested within trial group, so entering both additively produces a rank-deficient design matrix. Rather than dropping either variable — losing the institutional structure the comparison needs held fixed — we absorb the hierarchy into one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eliminates the collinearity and sharpens interpretation: every gap is identified from records tested in the same year, ecological trial group and against the same named check. Cells with only one channel contribute no identifying variation and are dropped; the resulting effective sample sizes appear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γ_(c(i)) is the interaction fixed effect above and δ_(b(i)) a breeding-system fixed effect (two-line/three-line hybrid/conventional). Standard errors are clustered at c when an arm has at least five effective clusters, or HC1 otherwise (Arm 2's stratum has only three cells), flagged in every table. We estimate the two channels separately rather than pooling, since the green channel (2017) and consortium channel (2019–2022) barely overlap in time and diverge in sign on at least one outcome (production-trial yield gain: +0.919 pp consortium vs. −1.036 pp green).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Unified/Consortium records, 2019–2022; </w:t>
      </w:r>
      <w:r>
        <w:rPr>
          <w:rFonts w:ascii="Times New Roman" w:hAnsi="Times New Roman" w:eastAsia="Times New Roman"/>
          <w:b/>
          <w:sz w:val="24"/>
        </w:rPr>
        <w:t>Arm 2</w:t>
      </w:r>
      <w:r>
        <w:rPr>
          <w:rFonts w:ascii="Times New Roman" w:hAnsi="Times New Roman" w:eastAsia="Times New Roman"/>
          <w:sz w:val="24"/>
        </w:rPr>
        <w:t xml:space="preserve"> sets it to 𝟙[Greenᵢ] on Unified/Green records, 2017. A pooled specification is reported only as a reference row, never the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cell, how much better or worse, on average, are varieties entering through the self-organised door than the unified-trial door. It is not an estimate of what would happen if one variety moved between doors — that would need random assignment or a credible instrument, and we have neither. This is nonetheless what a regulator monitoring the entering population needs, and we avoid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throughout.</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compares two behaviourally distinct outcome classes within the same specification. This move is also the paper's methodological claim in operation, not merely an application of it: we treat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partitioning the outcome set on it before estimating anything. Every field comes from the same announcement, issued by the same authority on the same date, so a source-level data-quality judgement cannot distinguish them; the general lesson drawn in §8.4 is nothing more than this section's premise stated in the abstract. Let Y^(3rd) denote an outcome assayed by a third party (head-rice, chalkiness, stated quality grade) and Y^(self) an outcome from the applicant's own trial (yield gain over check). Two hypotheses predict different relations between β^(3rd) and β^(self):</w:t>
      </w:r>
    </w:p>
    <w:p>
      <w:pPr>
        <w:pStyle w:val="ListBullet"/>
        <w:spacing w:line="360" w:lineRule="auto" w:after="40"/>
      </w:pPr>
      <w:r>
        <w:rPr>
          <w:rFonts w:ascii="Times New Roman" w:hAnsi="Times New Roman" w:eastAsia="Times New Roman"/>
          <w:b/>
          <w:sz w:val="24"/>
        </w:rPr>
        <w:t>H_(ability)</w:t>
      </w:r>
      <w:r>
        <w:rPr>
          <w:rFonts w:ascii="Times New Roman" w:hAnsi="Times New Roman" w:eastAsia="Times New Roman"/>
          <w:sz w:val="24"/>
        </w:rPr>
        <w:t xml:space="preserve"> (pure breeding-ability difference): self-organised applicants breed</w:t>
      </w:r>
    </w:p>
    <w:p>
      <w:pPr>
        <w:spacing w:line="480" w:lineRule="auto" w:after="160"/>
        <w:jc w:val="left"/>
      </w:pPr>
      <w:r>
        <w:rPr>
          <w:rFonts w:ascii="Times New Roman" w:hAnsi="Times New Roman" w:eastAsia="Times New Roman"/>
          <w:sz w:val="24"/>
        </w:rPr>
        <w:t xml:space="preserve">systematically weaker varieties, so β^(3rd) &lt; 0 </w:t>
      </w:r>
      <w:r>
        <w:rPr>
          <w:rFonts w:ascii="Times New Roman" w:hAnsi="Times New Roman" w:eastAsia="Times New Roman"/>
          <w:b/>
          <w:sz w:val="24"/>
        </w:rPr>
        <w:t>and</w:t>
      </w:r>
      <w:r>
        <w:rPr>
          <w:rFonts w:ascii="Times New Roman" w:hAnsi="Times New Roman" w:eastAsia="Times New Roman"/>
          <w:sz w:val="24"/>
        </w:rPr>
        <w:t xml:space="preserve"> β^(self) &lt; 0 together.</w:t>
      </w:r>
    </w:p>
    <w:p>
      <w:pPr>
        <w:pStyle w:val="ListBullet"/>
        <w:spacing w:line="360" w:lineRule="auto" w:after="40"/>
      </w:pPr>
      <w:r>
        <w:rPr>
          <w:rFonts w:ascii="Times New Roman" w:hAnsi="Times New Roman" w:eastAsia="Times New Roman"/>
          <w:b/>
          <w:sz w:val="24"/>
        </w:rPr>
        <w:t>H_(measure)</w:t>
      </w:r>
      <w:r>
        <w:rPr>
          <w:rFonts w:ascii="Times New Roman" w:hAnsi="Times New Roman" w:eastAsia="Times New Roman"/>
          <w:sz w:val="24"/>
        </w:rPr>
        <w:t xml:space="preserve"> (measurement-authority allocation): the two classes are measured by</w:t>
      </w:r>
    </w:p>
    <w:p>
      <w:pPr>
        <w:spacing w:line="480" w:lineRule="auto" w:after="160"/>
        <w:jc w:val="left"/>
      </w:pPr>
      <w:r>
        <w:rPr>
          <w:rFonts w:ascii="Times New Roman" w:hAnsi="Times New Roman" w:eastAsia="Times New Roman"/>
          <w:sz w:val="24"/>
        </w:rPr>
        <w:t xml:space="preserve">different parties with different incentives, predicting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w:t>
      </w:r>
    </w:p>
    <w:p>
      <w:pPr>
        <w:spacing w:line="480" w:lineRule="auto" w:after="160"/>
        <w:jc w:val="left"/>
      </w:pPr>
      <w:r>
        <w:rPr>
          <w:rFonts w:ascii="Times New Roman" w:hAnsi="Times New Roman" w:eastAsia="Times New Roman"/>
          <w:sz w:val="24"/>
        </w:rPr>
        <w:t>Arm 1 shows exactly the pattern H_(measure) predicts and H_(ability) rules out: β^(3rd) is −1.844 for head-rice (p &lt; 0.0001), +1.108 for chalkiness (p = 0.012), and −0.122 for stated grade (p = 0.008), while β^(self) is +0.553 for regional-trial yield gain (p = 0.019) and +0.919 for production-trial yield gain (p &lt; 0.0001). A pure ability-difference story would need self-organised applicants to be simultaneously worse breeders on quality and not worse on yield, within the same variety; only different measuring parties, or different admission thresholds, can produce this pattern.</w:t>
      </w:r>
    </w:p>
    <w:p>
      <w:pPr>
        <w:spacing w:line="480" w:lineRule="auto" w:after="160"/>
        <w:jc w:val="left"/>
      </w:pPr>
      <w:r>
        <w:rPr>
          <w:rFonts w:ascii="Times New Roman" w:hAnsi="Times New Roman" w:eastAsia="Times New Roman"/>
          <w:sz w:val="24"/>
        </w:rPr>
        <w:t>We are equally explicit about the limits. This rules out H_(ability), but not a third hypothesis, H_(threshold) — that the two channels simply impose different admission thresholds independent of measurement. H_(measure) and H_(threshold) predict the same sign pattern here, and distinguishing them needs exactly the individual-level, cross-channel variation the within-applicant check (§6, R9) shows this sample cannot supply with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 xml:space="preserve">This paper's estimates support a narrower set of claims than the pattern of results might suggest, and we state the boundaries explicitly so no reader mistakes a composition gap for something it is not. One terminology note: where we call an outcome or check </w:t>
      </w:r>
      <w:r>
        <w:rPr>
          <w:rFonts w:ascii="Times New Roman" w:hAnsi="Times New Roman" w:eastAsia="Times New Roman"/>
          <w:i/>
          <w:sz w:val="24"/>
        </w:rPr>
        <w:t>pre-specified</w:t>
      </w:r>
      <w:r>
        <w:rPr>
          <w:rFonts w:ascii="Times New Roman" w:hAnsi="Times New Roman" w:eastAsia="Times New Roman"/>
          <w:sz w:val="24"/>
        </w:rPr>
        <w:t>, we mean it was fixed in a written analysis plan before estimation, not deposited in a public registry — weaker than a registered claim, and readers should weigh it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 a within-cell composition gap, not the effect of</w:t>
      </w:r>
    </w:p>
    <w:p>
      <w:pPr>
        <w:spacing w:line="480" w:lineRule="auto" w:after="160"/>
        <w:jc w:val="left"/>
      </w:pPr>
      <w:r>
        <w:rPr>
          <w:rFonts w:ascii="Times New Roman" w:hAnsi="Times New Roman" w:eastAsia="Times New Roman"/>
          <w:sz w:val="24"/>
        </w:rPr>
        <w:t>moving a variety between channels; the design for the latter (§6.3) is underpowered by 2–3× on every headline coefficient.</w:t>
      </w:r>
    </w:p>
    <w:p>
      <w:pPr>
        <w:pStyle w:val="ListNumber"/>
        <w:spacing w:line="360" w:lineRule="auto" w:after="40"/>
      </w:pPr>
      <w:r>
        <w:rPr>
          <w:rFonts w:ascii="Times New Roman" w:hAnsi="Times New Roman" w:eastAsia="Times New Roman"/>
          <w:b/>
          <w:sz w:val="24"/>
        </w:rPr>
        <w:t>No language of fabrication or manipulation</w:t>
      </w:r>
      <w:r>
        <w:rPr>
          <w:rFonts w:ascii="Times New Roman" w:hAnsi="Times New Roman" w:eastAsia="Times New Roman"/>
          <w:sz w:val="24"/>
        </w:rPr>
        <w:t xml:space="preserve"> — claims are phrased as </w:t>
      </w:r>
      <w:r>
        <w:rPr>
          <w:rFonts w:ascii="Times New Roman" w:hAnsi="Times New Roman" w:eastAsia="Times New Roman"/>
          <w:i/>
          <w:sz w:val="24"/>
        </w:rPr>
        <w:t>consistent with</w:t>
      </w:r>
    </w:p>
    <w:p>
      <w:pPr>
        <w:spacing w:line="480" w:lineRule="auto" w:after="160"/>
        <w:jc w:val="left"/>
      </w:pPr>
      <w:r>
        <w:rPr>
          <w:rFonts w:ascii="Times New Roman" w:hAnsi="Times New Roman" w:eastAsia="Times New Roman"/>
          <w:sz w:val="24"/>
        </w:rPr>
        <w:t>discretion, not proof of it.</w:t>
      </w:r>
    </w:p>
    <w:p>
      <w:pPr>
        <w:pStyle w:val="ListNumber"/>
        <w:spacing w:line="360" w:lineRule="auto" w:after="40"/>
      </w:pPr>
      <w:r>
        <w:rPr>
          <w:rFonts w:ascii="Times New Roman" w:hAnsi="Times New Roman" w:eastAsia="Times New Roman"/>
          <w:b/>
          <w:sz w:val="24"/>
        </w:rPr>
        <w:t>We do not claim the reform caused the quality gap.</w:t>
      </w:r>
      <w:r>
        <w:rPr>
          <w:rFonts w:ascii="Times New Roman" w:hAnsi="Times New Roman" w:eastAsia="Times New Roman"/>
          <w:sz w:val="24"/>
        </w:rPr>
        <w:t xml:space="preserve"> The breakpoint scan (§5.5) dates</w:t>
      </w:r>
    </w:p>
    <w:p>
      <w:pPr>
        <w:spacing w:line="480" w:lineRule="auto" w:after="160"/>
        <w:jc w:val="left"/>
      </w:pPr>
      <w:r>
        <w:rPr>
          <w:rFonts w:ascii="Times New Roman" w:hAnsi="Times New Roman" w:eastAsia="Times New Roman"/>
          <w:sz w:val="24"/>
        </w:rPr>
        <w:t>the main quality breaks to 2009–2015, before the reform; we estimate a same-year gap.</w:t>
      </w:r>
    </w:p>
    <w:p>
      <w:pPr>
        <w:pStyle w:val="ListNumber"/>
        <w:spacing w:line="360" w:lineRule="auto" w:after="40"/>
      </w:pPr>
      <w:r>
        <w:rPr>
          <w:rFonts w:ascii="Times New Roman" w:hAnsi="Times New Roman" w:eastAsia="Times New Roman"/>
          <w:b/>
          <w:sz w:val="24"/>
        </w:rPr>
        <w:t>Not all third-party traits move the same way</w:t>
      </w:r>
      <w:r>
        <w:rPr>
          <w:rFonts w:ascii="Times New Roman" w:hAnsi="Times New Roman" w:eastAsia="Times New Roman"/>
          <w:sz w:val="24"/>
        </w:rPr>
        <w:t xml:space="preserve"> — bacterial-blight grade moves opposite</w:t>
      </w:r>
    </w:p>
    <w:p>
      <w:pPr>
        <w:spacing w:line="480" w:lineRule="auto" w:after="160"/>
        <w:jc w:val="left"/>
      </w:pPr>
      <w:r>
        <w:rPr>
          <w:rFonts w:ascii="Times New Roman" w:hAnsi="Times New Roman" w:eastAsia="Times New Roman"/>
          <w:sz w:val="24"/>
        </w:rPr>
        <w:t>(§5.2); the headline claim is confined to grain-processing and appearance quality.</w:t>
      </w:r>
    </w:p>
    <w:p>
      <w:pPr>
        <w:pStyle w:val="ListNumber"/>
        <w:spacing w:line="360" w:lineRule="auto" w:after="40"/>
      </w:pPr>
      <w:r>
        <w:rPr>
          <w:rFonts w:ascii="Times New Roman" w:hAnsi="Times New Roman" w:eastAsia="Times New Roman"/>
          <w:b/>
          <w:sz w:val="24"/>
        </w:rPr>
        <w:t>The self-reported yield advantage is not established</w:t>
      </w:r>
      <w:r>
        <w:rPr>
          <w:rFonts w:ascii="Times New Roman" w:hAnsi="Times New Roman" w:eastAsia="Times New Roman"/>
          <w:sz w:val="24"/>
        </w:rPr>
        <w:t xml:space="preserve"> — it reverses sign between arms</w:t>
      </w:r>
    </w:p>
    <w:p>
      <w:pPr>
        <w:spacing w:line="480" w:lineRule="auto" w:after="160"/>
        <w:jc w:val="left"/>
      </w:pPr>
      <w:r>
        <w:rPr>
          <w:rFonts w:ascii="Times New Roman" w:hAnsi="Times New Roman" w:eastAsia="Times New Roman"/>
          <w:sz w:val="24"/>
        </w:rPr>
        <w:t>and its Manski lower bound sits near zero (§6.2), hence "suggestive only."</w:t>
      </w:r>
    </w:p>
    <w:p>
      <w:pPr>
        <w:pStyle w:val="ListNumber"/>
        <w:spacing w:line="360" w:lineRule="auto" w:after="40"/>
      </w:pPr>
      <w:r>
        <w:rPr>
          <w:rFonts w:ascii="Times New Roman" w:hAnsi="Times New Roman" w:eastAsia="Times New Roman"/>
          <w:b/>
          <w:sz w:val="24"/>
        </w:rPr>
        <w:t>No welfare claim</w:t>
      </w:r>
      <w:r>
        <w:rPr>
          <w:rFonts w:ascii="Times New Roman" w:hAnsi="Times New Roman" w:eastAsia="Times New Roman"/>
          <w:sz w:val="24"/>
        </w:rPr>
        <w:t xml:space="preserve"> — no adoption, price or consumption data exists here.</w:t>
      </w:r>
    </w:p>
    <w:p>
      <w:pPr>
        <w:pStyle w:val="ListNumber"/>
        <w:spacing w:line="360" w:lineRule="auto" w:after="40"/>
      </w:pPr>
      <w:r>
        <w:rPr>
          <w:rFonts w:ascii="Times New Roman" w:hAnsi="Times New Roman" w:eastAsia="Times New Roman"/>
          <w:b/>
          <w:sz w:val="24"/>
        </w:rPr>
        <w:t>Approval counts are never an outcome variable</w:t>
      </w:r>
      <w:r>
        <w:rPr>
          <w:rFonts w:ascii="Times New Roman" w:hAnsi="Times New Roman" w:eastAsia="Times New Roman"/>
          <w:sz w:val="24"/>
        </w:rPr>
        <w:t>, only descriptive background, since</w:t>
      </w:r>
    </w:p>
    <w:p>
      <w:pPr>
        <w:spacing w:line="480" w:lineRule="auto" w:after="160"/>
        <w:jc w:val="left"/>
      </w:pPr>
      <w:r>
        <w:rPr>
          <w:rFonts w:ascii="Times New Roman" w:hAnsi="Times New Roman" w:eastAsia="Times New Roman"/>
          <w:sz w:val="24"/>
        </w:rPr>
        <w:t>coverage declines sharply after 2022.</w:t>
      </w:r>
    </w:p>
    <w:p>
      <w:pPr>
        <w:pStyle w:val="ListNumber"/>
        <w:spacing w:line="360" w:lineRule="auto" w:after="40"/>
      </w:pPr>
      <w:r>
        <w:rPr>
          <w:rFonts w:ascii="Times New Roman" w:hAnsi="Times New Roman" w:eastAsia="Times New Roman"/>
          <w:b/>
          <w:sz w:val="24"/>
        </w:rPr>
        <w:t>Findings do not replicate at the provincial level for three of four outcomes</w:t>
      </w:r>
      <w:r>
        <w:rPr>
          <w:rFonts w:ascii="Times New Roman" w:hAnsi="Times New Roman" w:eastAsia="Times New Roman"/>
          <w:sz w:val="24"/>
        </w:rPr>
        <w:t xml:space="preserve"> — see</w:t>
      </w:r>
    </w:p>
    <w:p>
      <w:pPr>
        <w:spacing w:line="480" w:lineRule="auto" w:after="160"/>
        <w:jc w:val="left"/>
      </w:pPr>
      <w:r>
        <w:rPr>
          <w:rFonts w:ascii="Times New Roman" w:hAnsi="Times New Roman" w:eastAsia="Times New Roman"/>
          <w:sz w:val="24"/>
        </w:rPr>
        <w:t>§6.4 for the full, two-part reading.</w:t>
      </w:r>
    </w:p>
    <w:p>
      <w:pPr>
        <w:pStyle w:val="ListNumber"/>
        <w:spacing w:line="360" w:lineRule="auto" w:after="40"/>
      </w:pPr>
      <w:r>
        <w:rPr>
          <w:rFonts w:ascii="Times New Roman" w:hAnsi="Times New Roman" w:eastAsia="Times New Roman"/>
          <w:b/>
          <w:sz w:val="24"/>
        </w:rPr>
        <w:t>No claim that enterprises are better or worse breeders than institutions</w:t>
      </w:r>
      <w:r>
        <w:rPr>
          <w:rFonts w:ascii="Times New Roman" w:hAnsi="Times New Roman" w:eastAsia="Times New Roman"/>
          <w:sz w:val="24"/>
        </w:rPr>
        <w:t xml:space="preserve"> — the</w:t>
      </w:r>
    </w:p>
    <w:p>
      <w:pPr>
        <w:spacing w:line="480" w:lineRule="auto" w:after="160"/>
        <w:jc w:val="left"/>
      </w:pPr>
      <w:r>
        <w:rPr>
          <w:rFonts w:ascii="Times New Roman" w:hAnsi="Times New Roman" w:eastAsia="Times New Roman"/>
          <w:sz w:val="24"/>
        </w:rPr>
        <w:t>comparison (Supplementary Table S1) is descriptive background only.</w:t>
      </w:r>
    </w:p>
    <w:p>
      <w:pPr>
        <w:pStyle w:val="ListNumber"/>
        <w:spacing w:line="360" w:lineRule="auto" w:after="40"/>
      </w:pPr>
      <w:r>
        <w:rPr>
          <w:rFonts w:ascii="Times New Roman" w:hAnsi="Times New Roman" w:eastAsia="Times New Roman"/>
          <w:b/>
          <w:sz w:val="24"/>
        </w:rPr>
        <w:t>No individual applicant organisation is evaluated.</w:t>
      </w:r>
      <w:r>
        <w:rPr>
          <w:rFonts w:ascii="Times New Roman" w:hAnsi="Times New Roman" w:eastAsia="Times New Roman"/>
          <w:sz w:val="24"/>
        </w:rPr>
        <w:t xml:space="preserve"> Nothing in §7 assesses the</w:t>
      </w:r>
    </w:p>
    <w:p>
      <w:pPr>
        <w:spacing w:line="480" w:lineRule="auto" w:after="160"/>
        <w:jc w:val="left"/>
      </w:pPr>
      <w:r>
        <w:rPr>
          <w:rFonts w:ascii="Times New Roman" w:hAnsi="Times New Roman" w:eastAsia="Times New Roman"/>
          <w:sz w:val="24"/>
        </w:rPr>
        <w:t>breeding capability, performance or conduct of any applicant; the concentration indicator describes entry routes, not organisations.</w:t>
      </w:r>
    </w:p>
    <w:p>
      <w:pPr>
        <w:pStyle w:val="ListNumber"/>
        <w:spacing w:line="360" w:lineRule="auto" w:after="40"/>
      </w:pPr>
      <w:r>
        <w:rPr>
          <w:rFonts w:ascii="Times New Roman" w:hAnsi="Times New Roman" w:eastAsia="Times New Roman"/>
          <w:b/>
          <w:sz w:val="24"/>
        </w:rPr>
        <w:t>No claim that homogenization is rising or falling over time</w:t>
      </w:r>
      <w:r>
        <w:rPr>
          <w:rFonts w:ascii="Times New Roman" w:hAnsi="Times New Roman" w:eastAsia="Times New Roman"/>
          <w:sz w:val="24"/>
        </w:rPr>
        <w:t xml:space="preserve"> — §7 compares</w:t>
      </w:r>
    </w:p>
    <w:p>
      <w:pPr>
        <w:spacing w:line="480" w:lineRule="auto" w:after="160"/>
        <w:jc w:val="left"/>
      </w:pPr>
      <w:r>
        <w:rPr>
          <w:rFonts w:ascii="Times New Roman" w:hAnsi="Times New Roman" w:eastAsia="Times New Roman"/>
          <w:sz w:val="24"/>
        </w:rPr>
        <w:t xml:space="preserve">concentration </w:t>
      </w:r>
      <w:r>
        <w:rPr>
          <w:rFonts w:ascii="Times New Roman" w:hAnsi="Times New Roman" w:eastAsia="Times New Roman"/>
          <w:i/>
          <w:sz w:val="24"/>
        </w:rPr>
        <w:t>between channels within a period</w:t>
      </w:r>
      <w:r>
        <w:rPr>
          <w:rFonts w:ascii="Times New Roman" w:hAnsi="Times New Roman" w:eastAsia="Times New Roman"/>
          <w:sz w:val="24"/>
        </w:rPr>
        <w:t>, not a time trend.</w:t>
      </w:r>
    </w:p>
    <w:p>
      <w:pPr>
        <w:pStyle w:val="ListNumber"/>
        <w:spacing w:line="360" w:lineRule="auto" w:after="40"/>
      </w:pPr>
      <w:r>
        <w:rPr>
          <w:rFonts w:ascii="Times New Roman" w:hAnsi="Times New Roman" w:eastAsia="Times New Roman"/>
          <w:b/>
          <w:sz w:val="24"/>
        </w:rPr>
        <w:t>We do not treat the compilation as an official, complete registry</w:t>
      </w:r>
      <w:r>
        <w:rPr>
          <w:rFonts w:ascii="Times New Roman" w:hAnsi="Times New Roman" w:eastAsia="Times New Roman"/>
          <w:sz w:val="24"/>
        </w:rPr>
        <w:t xml:space="preserve"> — its field-level</w:t>
      </w:r>
    </w:p>
    <w:p>
      <w:pPr>
        <w:spacing w:line="480" w:lineRule="auto" w:after="160"/>
        <w:jc w:val="left"/>
      </w:pPr>
      <w:r>
        <w:rPr>
          <w:rFonts w:ascii="Times New Roman" w:hAnsi="Times New Roman" w:eastAsia="Times New Roman"/>
          <w:sz w:val="24"/>
        </w:rPr>
        <w:t>agreement with the original MARA text has not been verified (§3.4), which the paper relies on rather than guarantees.</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to national-level (国审) approvals in the two dominant indica trial groups (middle-and-lower-Yangtze; upper-Yangtze mid-season) in years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(Unified 406, Consortium 405, Green 67). Since the green channel (2017) and consortium trials (2019–2022) do not overlap, we estimate two separate arms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within 2019–2022 (pre-outcome-drop n = 759, later n = 520–759 by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within 2017 (n = 119, 2–3 identifying cells). Table 3 reports both arms for all 17 outcomes, split into third-party-assayed and applicant-self-reported blocks; Fig. 2 plots the same 34 estimates as a forest plot, colour-coded by measuring party.</w:t>
      </w:r>
    </w:p>
    <w:p>
      <w:pPr>
        <w:jc w:val="center"/>
      </w:pPr>
      <w:r>
        <w:drawing>
          <wp:inline xmlns:a="http://schemas.openxmlformats.org/drawingml/2006/main" xmlns:pic="http://schemas.openxmlformats.org/drawingml/2006/picture">
            <wp:extent cx="5760000" cy="3787470"/>
            <wp:docPr id="3" name="Picture 3"/>
            <wp:cNvGraphicFramePr>
              <a:graphicFrameLocks noChangeAspect="1"/>
            </wp:cNvGraphicFramePr>
            <a:graphic>
              <a:graphicData uri="http://schemas.openxmlformats.org/drawingml/2006/picture">
                <pic:pic>
                  <pic:nvPicPr>
                    <pic:cNvPr id="0" name="fig2_forest_main.png"/>
                    <pic:cNvPicPr/>
                  </pic:nvPicPr>
                  <pic:blipFill>
                    <a:blip r:embed="rId11"/>
                    <a:stretch>
                      <a:fillRect/>
                    </a:stretch>
                  </pic:blipFill>
                  <pic:spPr>
                    <a:xfrm>
                      <a:off x="0" y="0"/>
                      <a:ext cx="5760000" cy="3787470"/>
                    </a:xfrm>
                    <a:prstGeom prst="rect"/>
                  </pic:spPr>
                </pic:pic>
              </a:graphicData>
            </a:graphic>
          </wp:inline>
        </w:drawing>
      </w:r>
    </w:p>
    <w:p>
      <w:pPr>
        <w:spacing w:line="276" w:lineRule="auto" w:after="240"/>
        <w:jc w:val="left"/>
      </w:pPr>
      <w:r>
        <w:rPr>
          <w:rFonts w:ascii="Times New Roman" w:hAnsi="Times New Roman" w:eastAsia="Times New Roman"/>
          <w:sz w:val="22"/>
        </w:rPr>
        <w:t>Fig. 2</w:t>
      </w:r>
    </w:p>
    <w:p>
      <w:pPr>
        <w:spacing w:line="276" w:lineRule="auto" w:after="160"/>
        <w:jc w:val="left"/>
      </w:pPr>
      <w:r>
        <w:rPr>
          <w:rFonts w:ascii="Times New Roman" w:hAnsi="Times New Roman" w:eastAsia="Times New Roman"/>
          <w:b/>
          <w:sz w:val="24"/>
        </w:rPr>
        <w:t>Fig. 2.</w:t>
      </w:r>
      <w:r>
        <w:rPr>
          <w:rFonts w:ascii="Times New Roman" w:hAnsi="Times New Roman" w:eastAsia="Times New Roman"/>
          <w:sz w:val="24"/>
        </w:rPr>
        <w:t xml:space="preserve"> Main forest plot: β and 95% confidence intervals for all 17 outcome variables, Arm 1 (Consortium vs. Unified, 2019–2022) and Arm 2 (Green vs. Unified, 2017), colour-coded by measuring party (applicant-self-reported vs. third-party-assayed).</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in the main quality block (Table 3; Fig. 2, left panel). Head-rice percentage is 1.844 pp lower (95% CI [−2.636, −1.052], p = 5.1 × 10⁻⁶, n = 742); chalkiness degree is 1.108 pp higher, i.e. worse (95% CI [0.248, 1.969], p = 0.012, n = 739); and the probability a national/industry quality grade is stated at all (</w:t>
      </w:r>
      <w:r>
        <w:rPr>
          <w:rFonts w:ascii="Times New Roman" w:hAnsi="Times New Roman" w:eastAsia="Times New Roman"/>
          <w:sz w:val="24"/>
        </w:rPr>
        <w:t>quality_stated</w:t>
      </w:r>
      <w:r>
        <w:rPr>
          <w:rFonts w:ascii="Times New Roman" w:hAnsi="Times New Roman" w:eastAsia="Times New Roman"/>
          <w:sz w:val="24"/>
        </w:rPr>
        <w:t>) is 12.2 pp lower (95% CI [−0.211, −0.033], p = 0.008, n = 750). Among graded records, the probability of the top two national tiers (</w:t>
      </w:r>
      <w:r>
        <w:rPr>
          <w:rFonts w:ascii="Times New Roman" w:hAnsi="Times New Roman" w:eastAsia="Times New Roman"/>
          <w:sz w:val="24"/>
        </w:rPr>
        <w:t>quality_top2</w:t>
      </w:r>
      <w:r>
        <w:rPr>
          <w:rFonts w:ascii="Times New Roman" w:hAnsi="Times New Roman" w:eastAsia="Times New Roman"/>
          <w:sz w:val="24"/>
        </w:rPr>
        <w:t>) is also lower by 9.1 pp (p = 0.009, n = 618), though this does not survive Manski worst-case bounds (§6.2) and is treated as secondary. Gel consistency moves the same way (β = −1.814 mm, p = 0.015, n = 728). Amylose content and grain length–width ratio show no significant difference; neck-blast resistance is not estimable in Arm 2 (§5.3) and shows no Arm 1 gap (p = 0.28).</w:t>
      </w:r>
    </w:p>
    <w:p>
      <w:pPr>
        <w:spacing w:line="480" w:lineRule="auto" w:after="160"/>
        <w:jc w:val="left"/>
      </w:pPr>
      <w:r>
        <w:rPr>
          <w:rFonts w:ascii="Times New Roman" w:hAnsi="Times New Roman" w:eastAsia="Times New Roman"/>
          <w:sz w:val="24"/>
        </w:rPr>
        <w:t xml:space="preserve">Against this, applicant-self-reported yield traits move oppositely: regional-trial yield gain over check is 0.553 pp </w:t>
      </w:r>
      <w:r>
        <w:rPr>
          <w:rFonts w:ascii="Times New Roman" w:hAnsi="Times New Roman" w:eastAsia="Times New Roman"/>
          <w:i/>
          <w:sz w:val="24"/>
        </w:rPr>
        <w:t>higher</w:t>
      </w:r>
      <w:r>
        <w:rPr>
          <w:rFonts w:ascii="Times New Roman" w:hAnsi="Times New Roman" w:eastAsia="Times New Roman"/>
          <w:sz w:val="24"/>
        </w:rPr>
        <w:t xml:space="preserve"> (95% CI [0.091, 1.016], p = 0.019, n = 708), and production-trial yield gain is 0.919 pp higher (95% CI [0.505, 1.333], p &lt; 0.0001, n = 578). Raw two-year yield (kg/mu) shows no difference (β = +1.43, p = 0.61, n = 716), consistent with the gain-over-check measures capturing a comparison-scale effect. Two of three pre-specified placebos — seed-setting (β = −0.202, p = 0.43) and 1000-grain weight (β = +0.138, p = 0.59) — are non-significant as required. Plant height is 0.952 cm higher (p = 0.044); pre-specified </w:t>
      </w:r>
      <w:r>
        <w:rPr>
          <w:rFonts w:ascii="Times New Roman" w:hAnsi="Times New Roman" w:eastAsia="Times New Roman"/>
          <w:i/>
          <w:sz w:val="24"/>
        </w:rPr>
        <w:t>outside</w:t>
      </w:r>
      <w:r>
        <w:rPr>
          <w:rFonts w:ascii="Times New Roman" w:hAnsi="Times New Roman" w:eastAsia="Times New Roman"/>
          <w:sz w:val="24"/>
        </w:rPr>
        <w:t xml:space="preserve"> the placebo set, this is reported as auxiliary evidence of a taller, larger-panicle selection type (§6.1, R12).</w:t>
      </w:r>
    </w:p>
    <w:p>
      <w:pPr>
        <w:spacing w:line="480" w:lineRule="auto" w:after="160"/>
        <w:jc w:val="left"/>
      </w:pPr>
      <w:r>
        <w:rPr>
          <w:rFonts w:ascii="Times New Roman" w:hAnsi="Times New Roman" w:eastAsia="Times New Roman"/>
          <w:sz w:val="24"/>
        </w:rPr>
        <w:t xml:space="preserve">One trait falls outside the sign-separation pattern in a way that supports rather than undermines the identification argument: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(more resistant) among Consortium entrants (95% CI [−0.278, −0.102], p &lt; 0.0001, n = 520). We report this prominently because the claim is scoped to grain-processing and appearance quality, not to third-party traits deteriorating uniformly — a claim this result would falsify (§4.7,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SEs, 2–3 identifying cells) reproduce the same direction on appearance and grading traits at larger magnitude: chalkiness is 2.809 pp higher (95% CI [1.874, 3.744], p &lt; 0.0001, n = 110) and stated-grade probability is 34.4 pp lower (p &lt; 0.0001, n = 112). Head-rice,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(β = −0.391, p = 0.55, n = 106) — a genuine cross-arm inconsistency and one reason the arms are kept separate.</w:t>
      </w:r>
    </w:p>
    <w:p>
      <w:pPr>
        <w:spacing w:line="480" w:lineRule="auto" w:after="160"/>
        <w:jc w:val="left"/>
      </w:pPr>
      <w:r>
        <w:rPr>
          <w:rFonts w:ascii="Times New Roman" w:hAnsi="Times New Roman" w:eastAsia="Times New Roman"/>
          <w:sz w:val="24"/>
        </w:rPr>
        <w:t xml:space="preserve">Two results diverge from Arm 1 and are reported, not deferred. Production-trial yield gain is 1.036 pp </w:t>
      </w:r>
      <w:r>
        <w:rPr>
          <w:rFonts w:ascii="Times New Roman" w:hAnsi="Times New Roman" w:eastAsia="Times New Roman"/>
          <w:i/>
          <w:sz w:val="24"/>
        </w:rPr>
        <w:t>lower</w:t>
      </w:r>
      <w:r>
        <w:rPr>
          <w:rFonts w:ascii="Times New Roman" w:hAnsi="Times New Roman" w:eastAsia="Times New Roman"/>
          <w:sz w:val="24"/>
        </w:rPr>
        <w:t xml:space="preserve"> for Green entrants (95% CI [−1.860, −0.213], p = 0.014, n = 112) — opposite Arm 1's +0.919 pp. Regional-trial yield gain cannot be meaningfully estimated here: only 21 of 119 records are non-missing, driven by the Unified sub-arm's 1.9% coverage (1 of 52); we flag this as </w:t>
      </w:r>
      <w:r>
        <w:rPr>
          <w:rFonts w:ascii="Times New Roman" w:hAnsi="Times New Roman" w:eastAsia="Times New Roman"/>
          <w:i/>
          <w:sz w:val="24"/>
        </w:rPr>
        <w:t>not estimable</w:t>
      </w:r>
      <w:r>
        <w:rPr>
          <w:rFonts w:ascii="Times New Roman" w:hAnsi="Times New Roman" w:eastAsia="Times New Roman"/>
          <w:sz w:val="24"/>
        </w:rPr>
        <w:t xml:space="preserve">, as we do neck-blast (100% missing for all 119 records).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we do not claim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(HC1 SEs, years both channels co-exist: 2017 and 2019–2022; 2018 excluded, a parsing default rather than a real assignment) shows two patterns that must be reported separately. Chalkiness narrows monotonically from +2.71 pp in 2017 (p = 1.1 × 10⁻⁸) to +1.63 (2019), +0.92 (2020), +0.89 (2021) and +0.77 pp (2022, p = 0.038) — genuine convergence. The stated-grade gap weakens on balance (−0.327 to −0.052) but non-monotonically, non-significant in 2020 and 2022. Head-rice shows </w:t>
      </w:r>
      <w:r>
        <w:rPr>
          <w:rFonts w:ascii="Times New Roman" w:hAnsi="Times New Roman" w:eastAsia="Times New Roman"/>
          <w:b/>
          <w:sz w:val="24"/>
        </w:rPr>
        <w:t>no convergence</w:t>
      </w:r>
      <w:r>
        <w:rPr>
          <w:rFonts w:ascii="Times New Roman" w:hAnsi="Times New Roman" w:eastAsia="Times New Roman"/>
          <w:sz w:val="24"/>
        </w:rPr>
        <w:t>: −0.61 pp in 2017 (n.s.), widening to −2.63 (2020, p = 0.0003), −1.48 (2021, p = 0.021) and −3.03 pp (2022, p = 0.006) — its largest values in the most recent years. Regional-trial yield gain fluctuates between −0.63 pp (2017, n.s.) and +0.93 pp (2022), mostly positive from 2019 onward, with no clear convergence or divergence pattern (Fig. 3; full values in Supplementary Material). We therefore do not claim the quality gap is generally closing: only chalkiness, and more weakly stated grade, converge; head-rice — arguably the more material trait — does not.</w:t>
      </w:r>
    </w:p>
    <w:p>
      <w:pPr>
        <w:jc w:val="center"/>
      </w:pPr>
      <w:r>
        <w:drawing>
          <wp:inline xmlns:a="http://schemas.openxmlformats.org/drawingml/2006/main" xmlns:pic="http://schemas.openxmlformats.org/drawingml/2006/picture">
            <wp:extent cx="5760000" cy="4755041"/>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4755041"/>
                    </a:xfrm>
                    <a:prstGeom prst="rect"/>
                  </pic:spPr>
                </pic:pic>
              </a:graphicData>
            </a:graphic>
          </wp:inline>
        </w:drawing>
      </w:r>
    </w:p>
    <w:p>
      <w:pPr>
        <w:spacing w:line="276" w:lineRule="auto" w:after="240"/>
        <w:jc w:val="left"/>
      </w:pPr>
      <w:r>
        <w:rPr>
          <w:rFonts w:ascii="Times New Roman" w:hAnsi="Times New Roman" w:eastAsia="Times New Roman"/>
          <w:sz w:val="22"/>
        </w:rPr>
        <w:t>Fig. 3</w:t>
      </w:r>
    </w:p>
    <w:p>
      <w:pPr>
        <w:spacing w:line="276" w:lineRule="auto" w:after="160"/>
        <w:jc w:val="left"/>
      </w:pPr>
      <w:r>
        <w:rPr>
          <w:rFonts w:ascii="Times New Roman" w:hAnsi="Times New Roman" w:eastAsia="Times New Roman"/>
          <w:b/>
          <w:sz w:val="24"/>
        </w:rPr>
        <w:t>Fig. 3.</w:t>
      </w:r>
      <w:r>
        <w:rPr>
          <w:rFonts w:ascii="Times New Roman" w:hAnsi="Times New Roman" w:eastAsia="Times New Roman"/>
          <w:sz w:val="24"/>
        </w:rPr>
        <w:t xml:space="preserve"> Event-study-style line plot: year-by-year channel gap (self-organised minus Unified) for head-rice percentage, chalkiness degree, stated quality grade, and regional-trial yield gain over check, 2017 and 2019–2022.</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(sup-Wald/Quandt) scan over 2009–2019, on the full 2005–2022 national two-trial-group layer, asks whether the quality traits behind Arm 1's headline result break structurally at the 2016 reform. They do not. Regional-trial yield per mu breaks at </w:t>
      </w:r>
      <w:r>
        <w:rPr>
          <w:rFonts w:ascii="Times New Roman" w:hAnsi="Times New Roman" w:eastAsia="Times New Roman"/>
          <w:b/>
          <w:sz w:val="24"/>
        </w:rPr>
        <w:t>2017</w:t>
      </w:r>
      <w:r>
        <w:rPr>
          <w:rFonts w:ascii="Times New Roman" w:hAnsi="Times New Roman" w:eastAsia="Times New Roman"/>
          <w:sz w:val="24"/>
        </w:rPr>
        <w:t xml:space="preserve"> (Wald = 230.3, p &lt; 10⁻⁵⁰, n = 1,167; Fig. 4), consistent with a level shift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at </w:t>
      </w:r>
      <w:r>
        <w:rPr>
          <w:rFonts w:ascii="Times New Roman" w:hAnsi="Times New Roman" w:eastAsia="Times New Roman"/>
          <w:b/>
          <w:sz w:val="24"/>
        </w:rPr>
        <w:t>2015</w:t>
      </w:r>
      <w:r>
        <w:rPr>
          <w:rFonts w:ascii="Times New Roman" w:hAnsi="Times New Roman" w:eastAsia="Times New Roman"/>
          <w:sz w:val="24"/>
        </w:rPr>
        <w:t xml:space="preserve"> (Wald = 73.9, p &lt; 10⁻¹⁶), chalkiness at </w:t>
      </w:r>
      <w:r>
        <w:rPr>
          <w:rFonts w:ascii="Times New Roman" w:hAnsi="Times New Roman" w:eastAsia="Times New Roman"/>
          <w:b/>
          <w:sz w:val="24"/>
        </w:rPr>
        <w:t>2009</w:t>
      </w:r>
      <w:r>
        <w:rPr>
          <w:rFonts w:ascii="Times New Roman" w:hAnsi="Times New Roman" w:eastAsia="Times New Roman"/>
          <w:sz w:val="24"/>
        </w:rPr>
        <w:t xml:space="preserve"> (Wald = 22.9, p = 1.1 × 10⁻⁵),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 all one to seven years before the reform. Yield gain over check shows no robust break: the 2018 candidate is marginally significant under HC1 (Wald = 6.55, p = 0.038) but not under classical SEs (Wald = 5.40, p = 0.067), and its non-missing rate jumps from 21–22% in 2016–2017 to 100% in 2018, confounding the apparent break with reporting completeness rather than a real discontinuity. Fig. 4 also plots growth duration for context only (peak at 2018, Wald = 226.8), since it is not one of the third-party-assayed traits this section addresses; full scan values are in the Supplementary Material.</w:t>
      </w:r>
    </w:p>
    <w:p>
      <w:pPr>
        <w:jc w:val="center"/>
      </w:pPr>
      <w:r>
        <w:drawing>
          <wp:inline xmlns:a="http://schemas.openxmlformats.org/drawingml/2006/main" xmlns:pic="http://schemas.openxmlformats.org/drawingml/2006/picture">
            <wp:extent cx="5760000" cy="3745410"/>
            <wp:docPr id="5" name="Picture 5"/>
            <wp:cNvGraphicFramePr>
              <a:graphicFrameLocks noChangeAspect="1"/>
            </wp:cNvGraphicFramePr>
            <a:graphic>
              <a:graphicData uri="http://schemas.openxmlformats.org/drawingml/2006/picture">
                <pic:pic>
                  <pic:nvPicPr>
                    <pic:cNvPr id="0" name="fig4_breakpoint_scan.png"/>
                    <pic:cNvPicPr/>
                  </pic:nvPicPr>
                  <pic:blipFill>
                    <a:blip r:embed="rId13"/>
                    <a:stretch>
                      <a:fillRect/>
                    </a:stretch>
                  </pic:blipFill>
                  <pic:spPr>
                    <a:xfrm>
                      <a:off x="0" y="0"/>
                      <a:ext cx="5760000" cy="3745410"/>
                    </a:xfrm>
                    <a:prstGeom prst="rect"/>
                  </pic:spPr>
                </pic:pic>
              </a:graphicData>
            </a:graphic>
          </wp:inline>
        </w:drawing>
      </w:r>
    </w:p>
    <w:p>
      <w:pPr>
        <w:spacing w:line="276" w:lineRule="auto" w:after="240"/>
        <w:jc w:val="left"/>
      </w:pPr>
      <w:r>
        <w:rPr>
          <w:rFonts w:ascii="Times New Roman" w:hAnsi="Times New Roman" w:eastAsia="Times New Roman"/>
          <w:sz w:val="22"/>
        </w:rPr>
        <w:t>Fig. 4</w:t>
      </w:r>
    </w:p>
    <w:p>
      <w:pPr>
        <w:spacing w:line="276" w:lineRule="auto" w:after="160"/>
        <w:jc w:val="left"/>
      </w:pPr>
      <w:r>
        <w:rPr>
          <w:rFonts w:ascii="Times New Roman" w:hAnsi="Times New Roman" w:eastAsia="Times New Roman"/>
          <w:b/>
          <w:sz w:val="24"/>
        </w:rPr>
        <w:t>Fig. 4.</w:t>
      </w:r>
      <w:r>
        <w:rPr>
          <w:rFonts w:ascii="Times New Roman" w:hAnsi="Times New Roman" w:eastAsia="Times New Roman"/>
          <w:sz w:val="24"/>
        </w:rPr>
        <w:t xml:space="preserve"> Unknown-breakpoint (sup-Wald) scan: Wald statistic by candidate break year (2009–2019), one line per trait (regional-trial yield, head-rice percentage, chalkiness degree, top-two quality grade, yield gain over check, growth duration), peak years annotated.</w:t>
      </w:r>
    </w:p>
    <w:p>
      <w:pPr>
        <w:spacing w:line="480" w:lineRule="auto" w:after="160"/>
        <w:jc w:val="left"/>
      </w:pPr>
      <w:r>
        <w:rPr>
          <w:rFonts w:ascii="Times New Roman" w:hAnsi="Times New Roman" w:eastAsia="Times New Roman"/>
          <w:sz w:val="24"/>
        </w:rPr>
        <w:t xml:space="preserve">These results support a falsification claim, not a positive dating claim: whatever quality trend is visible pre-2016 was already underway, so attributing it to the reform — rather than to the </w:t>
      </w:r>
      <w:r>
        <w:rPr>
          <w:rFonts w:ascii="Times New Roman" w:hAnsi="Times New Roman" w:eastAsia="Times New Roman"/>
          <w:i/>
          <w:sz w:val="24"/>
        </w:rPr>
        <w:t>channel gap conditional on year</w:t>
      </w:r>
      <w:r>
        <w:rPr>
          <w:rFonts w:ascii="Times New Roman" w:hAnsi="Times New Roman" w:eastAsia="Times New Roman"/>
          <w:sz w:val="24"/>
        </w:rPr>
        <w:t xml:space="preserve"> this paper estimates (§5.2–5.3) — would be mistaken. The result also bears on the year-indexed readings of the same corpus by Lu et al. (2024) and Hang et al. (2024): our break years (2015, 2009) sit inside their trend windows, consistent with, though not a direct test of, gradual rather than reform-triggered change. The two approaches are complementary: a year-indexed design cannot distinguish, as our Arm 1/Arm 2 comparison does, whether varieties entering through one channel look different from contemporaries in another.</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seventeen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leaving the headline pattern unchanged (R1–R6, R8, R10, R12–R14, R17) are reported briefly, full statistics in Table 4; checks that qualify it (R7, R9, R11) are given full treatment. R15 is the one exception: its verdict and headline diagnostics are reported in §6.5, with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spacing w:line="480" w:lineRule="auto" w:after="160"/>
        <w:jc w:val="left"/>
      </w:pPr>
      <w:r>
        <w:rPr>
          <w:rFonts w:ascii="Times New Roman" w:hAnsi="Times New Roman" w:eastAsia="Times New Roman"/>
          <w:sz w:val="24"/>
        </w:rPr>
        <w:t>Full statistics for every check below are in Table 4; this section states only the check and its conclusion.</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Pooling Arm 1 and Arm 2 would average a +0.919 pp yield-gain coefficient with a −1.036 pp one, manufacturing a sign that never occurred; reported only as a reference row, never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The additive, collinearity-prone year + trial-group + check specification reproduces the same signs and comparable magnitudes for all four cross-checked coefficients — the fixed-effects structure does not drive the result.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Direction and significance are essentially unchanged in both arms —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rather than excluding them produces numerically identical estimates, because every 2018 cell in this stratum is a singleton carrying no identifying variation either way.</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9 of 17 Arm-1 outcomes retain q &lt; 0.05 across all 17 tests, including all six headline coefficients (q = 0.00009–0.040);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per cell; Fig. 5) place head-rice, chalkiness and regional-trial yield gain in the extreme tail of their null distributions (p = 0.002 each),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Fig. S1 shows most of the 17 outcomes balanced within ~2 pp of non-missing rate across arms; the three exceptions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sterile line is the most prevalent one (65 of 878 records) leaves the result significant with the same sign (head-rice −1.367 pp, p = 0.001; chalkiness +1.077 pp, p = 0.020; stated grade −0.119, p = 0.017) — no dependence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are both non-significant, as pre-declared. Plant height, pre-declared </w:t>
      </w:r>
      <w:r>
        <w:rPr>
          <w:rFonts w:ascii="Times New Roman" w:hAnsi="Times New Roman" w:eastAsia="Times New Roman"/>
          <w:i/>
          <w:sz w:val="24"/>
        </w:rPr>
        <w:t>outside</w:t>
      </w:r>
      <w:r>
        <w:rPr>
          <w:rFonts w:ascii="Times New Roman" w:hAnsi="Times New Roman" w:eastAsia="Times New Roman"/>
          <w:sz w:val="24"/>
        </w:rPr>
        <w:t xml:space="preserve"> the placebo set, is significantly higher among Consortium entrants (β = +0.952 cm, p = 0.044) and is reported as auxiliary evidence, not a failed placebo.</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returns no significant coefficient on any outcome, with the opposite sign for both headline quality traits — weakening one confound without ruling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at the variety level (36 varieties, 72 multi-zone records) leaves all headline coefficients significant at p ≤ 0.0014.</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are graded under NY/T 593 or GB/T 17891, and which is in force shifts across the window (2017 predominantly GB/T, 2019–2022 predominantly NY/T 593). Within each arm's own window the standard does not vary by channel (Arm 1: 99.2% vs 99.2% NY/T 593; Arm 2: entirely GB/T both sides), so the year × trial-group × check cell absorbs the switch; the check independently recovers the disclosure result from raw shares (+13.0 pp and +32.6 pp). The quality contrasts are not an artefact of which standard applied.</w:t>
      </w:r>
    </w:p>
    <w:p>
      <w:pPr>
        <w:jc w:val="center"/>
      </w:pPr>
      <w:r>
        <w:drawing>
          <wp:inline xmlns:a="http://schemas.openxmlformats.org/drawingml/2006/main" xmlns:pic="http://schemas.openxmlformats.org/drawingml/2006/picture">
            <wp:extent cx="5760000" cy="4469933"/>
            <wp:docPr id="6" name="Picture 6"/>
            <wp:cNvGraphicFramePr>
              <a:graphicFrameLocks noChangeAspect="1"/>
            </wp:cNvGraphicFramePr>
            <a:graphic>
              <a:graphicData uri="http://schemas.openxmlformats.org/drawingml/2006/picture">
                <pic:pic>
                  <pic:nvPicPr>
                    <pic:cNvPr id="0" name="fig6_randomization.png"/>
                    <pic:cNvPicPr/>
                  </pic:nvPicPr>
                  <pic:blipFill>
                    <a:blip r:embed="rId14"/>
                    <a:stretch>
                      <a:fillRect/>
                    </a:stretch>
                  </pic:blipFill>
                  <pic:spPr>
                    <a:xfrm>
                      <a:off x="0" y="0"/>
                      <a:ext cx="5760000" cy="4469933"/>
                    </a:xfrm>
                    <a:prstGeom prst="rect"/>
                  </pic:spPr>
                </pic:pic>
              </a:graphicData>
            </a:graphic>
          </wp:inline>
        </w:drawing>
      </w:r>
    </w:p>
    <w:p>
      <w:pPr>
        <w:spacing w:line="276" w:lineRule="auto" w:after="240"/>
        <w:jc w:val="left"/>
      </w:pPr>
      <w:r>
        <w:rPr>
          <w:rFonts w:ascii="Times New Roman" w:hAnsi="Times New Roman" w:eastAsia="Times New Roman"/>
          <w:sz w:val="22"/>
        </w:rPr>
        <w:t>Fig. 5</w:t>
      </w:r>
    </w:p>
    <w:p>
      <w:pPr>
        <w:spacing w:line="276" w:lineRule="auto" w:after="160"/>
        <w:jc w:val="left"/>
      </w:pPr>
      <w:r>
        <w:rPr>
          <w:rFonts w:ascii="Times New Roman" w:hAnsi="Times New Roman" w:eastAsia="Times New Roman"/>
          <w:b/>
          <w:sz w:val="24"/>
        </w:rPr>
        <w:t>Fig. 5.</w:t>
      </w:r>
      <w:r>
        <w:rPr>
          <w:rFonts w:ascii="Times New Roman" w:hAnsi="Times New Roman" w:eastAsia="Times New Roman"/>
          <w:sz w:val="24"/>
        </w:rPr>
        <w:t xml:space="preserve"> Randomisation-inference null distributions (500 within-cell permutations) versus the observed coefficient, four panels: head-rice percentage, chalkiness degree, regional-trial yield gain over check, and the top-two quality-grade indicator.</w:t>
      </w:r>
    </w:p>
    <w:p>
      <w:pPr>
        <w:jc w:val="center"/>
      </w:pPr>
      <w:r>
        <w:drawing>
          <wp:inline xmlns:a="http://schemas.openxmlformats.org/drawingml/2006/main" xmlns:pic="http://schemas.openxmlformats.org/drawingml/2006/picture">
            <wp:extent cx="5760000" cy="5059890"/>
            <wp:docPr id="7" name="Picture 7"/>
            <wp:cNvGraphicFramePr>
              <a:graphicFrameLocks noChangeAspect="1"/>
            </wp:cNvGraphicFramePr>
            <a:graphic>
              <a:graphicData uri="http://schemas.openxmlformats.org/drawingml/2006/picture">
                <pic:pic>
                  <pic:nvPicPr>
                    <pic:cNvPr id="0" name="fig7_missingness_balance.png"/>
                    <pic:cNvPicPr/>
                  </pic:nvPicPr>
                  <pic:blipFill>
                    <a:blip r:embed="rId15"/>
                    <a:stretch>
                      <a:fillRect/>
                    </a:stretch>
                  </pic:blipFill>
                  <pic:spPr>
                    <a:xfrm>
                      <a:off x="0" y="0"/>
                      <a:ext cx="5760000" cy="5059890"/>
                    </a:xfrm>
                    <a:prstGeom prst="rect"/>
                  </pic:spPr>
                </pic:pic>
              </a:graphicData>
            </a:graphic>
          </wp:inline>
        </w:drawing>
      </w:r>
    </w:p>
    <w:p>
      <w:pPr>
        <w:spacing w:line="276" w:lineRule="auto" w:after="240"/>
        <w:jc w:val="left"/>
      </w:pPr>
      <w:r>
        <w:rPr>
          <w:rFonts w:ascii="Times New Roman" w:hAnsi="Times New Roman" w:eastAsia="Times New Roman"/>
          <w:sz w:val="22"/>
        </w:rPr>
        <w:t>Supplementary Fig. S1</w:t>
      </w:r>
    </w:p>
    <w:p>
      <w:pPr>
        <w:spacing w:line="480" w:lineRule="auto" w:after="160"/>
        <w:jc w:val="left"/>
      </w:pPr>
      <w:r>
        <w:rPr>
          <w:rFonts w:ascii="Times New Roman" w:hAnsi="Times New Roman" w:eastAsia="Times New Roman"/>
          <w:b/>
          <w:sz w:val="24"/>
        </w:rPr>
        <w:t>Supplementary Fig. S1.</w:t>
      </w:r>
      <w:r>
        <w:rPr>
          <w:rFonts w:ascii="Times New Roman" w:hAnsi="Times New Roman" w:eastAsia="Times New Roman"/>
          <w:sz w:val="24"/>
        </w:rPr>
        <w:t xml:space="preserve"> Missingness-balance dumbbell plot: non-missing rate by arm for all 17 outcomes, imbalanced variables (≥8 percentage points) flagged.</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Three outcomes show meaningfully unbalanced missingness between arms — the top-two quality grade (23.0% missing in Consortium vs. 11.3% in Unified), regional-trial yield gain (0.2% vs. 11.9%, and separately 1.9% in the 2017 Unified sub-arm), and absolute regional-trial yield in kg/mu (Fig. S1; imbalances ≥8 pp flagged) — so we compute Manski worst-case bounds, filling missing values at the 5th/95th percentile extremes. Head-rice and chalkiness, whose missingness is balanced (~1–2 pp), have narrow, sign-stable bounds ([−2.001, −1.623] and [+0.976, +1.203]) and are the paper's most secure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its bound is [−0.253, +0.088], crossing zero, so we downgrade it to secondary and rely on the fully-defined stated-quality-grade indicator as the primary grading result (Table 3, §5.2). Regional-trial yield gain's bound is [+0.049, +0.912] — the lower end near zero (p = 0.91 there) — so this is downgraded from "suggestive support" to "directionally positive but not robustly bounded away from zero." No other headline result changes sign.</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10 applicants, 51 records (26 Consortium, 25 Unified), estimated with applicant fixed effects and HC1 SEs. None of the six headline coefficients is significant, and three (head-rice, chalkiness, stated grade) flip sign (head-rice +0.780, p = 0.61; chalkiness +0.846, p = 0.21; stated grade +0.118, p = 0.40; regional-trial yield gain +0.100, p = 0.86; production-trial yield gain −0.126, p = 0.82; bacterial-blight −0.421, p = 0.38).</w:t>
      </w:r>
    </w:p>
    <w:p>
      <w:pPr>
        <w:spacing w:line="480" w:lineRule="auto" w:after="160"/>
        <w:jc w:val="left"/>
      </w:pPr>
      <w:r>
        <w:rPr>
          <w:rFonts w:ascii="Times New Roman" w:hAnsi="Times New Roman" w:eastAsia="Times New Roman"/>
          <w:sz w:val="24"/>
        </w:rPr>
        <w:t xml:space="preserve">The minimum detectable effect (MDE) at 80% power exceeds the main-design coefficient for every outcome — head-rice 4.37 pp (≈2.4×), chalkiness 1.96, stated grade 0.41, regional-trial yield gain 1.66 (≈3×), production-trial yield gain 1.56, bacterial-blight 1.41 — converting "underpowered" into a quantitative claim: </w:t>
      </w:r>
      <w:r>
        <w:rPr>
          <w:rFonts w:ascii="Times New Roman" w:hAnsi="Times New Roman" w:eastAsia="Times New Roman"/>
          <w:b/>
          <w:sz w:val="24"/>
        </w:rPr>
        <w:t>this design cannot distinguish "no channel effect once self-selection is removed" from "the effect exists but this subsample is too small to detect it."</w:t>
      </w:r>
      <w:r>
        <w:rPr>
          <w:rFonts w:ascii="Times New Roman" w:hAnsi="Times New Roman" w:eastAsia="Times New Roman"/>
          <w:sz w:val="24"/>
        </w:rPr>
        <w:t xml:space="preserve"> The sign flips are consistent with severe noise rather than a credible contradiction, but the test does not confirm the main effect either — it lacks the power to adjudicate (§4.7, Non-claim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year × trial group, no check dimension since provincial labels are far more heterogeneous), give n = 495 (new-channel 143, Unified 352). None of three headline outcomes replicates at comparable magnitude, and all are severely underpowered: head-rice β = −3.354, p = 0.53, n = 280, MDE = 14.99 pp against −1.844 nationally; chalkiness β = −0.549, p = 0.24, n = 256, MDE = 1.31 pp against +1.108 (sign reversed, but the MDE shows this uninformative); regional-trial yield gain β = −0.994, p = 0.62, n = 205, MDE = 5.62 pp against +0.553 nationally.</w:t>
      </w:r>
    </w:p>
    <w:p>
      <w:pPr>
        <w:spacing w:line="480" w:lineRule="auto" w:after="160"/>
        <w:jc w:val="left"/>
      </w:pPr>
      <w:r>
        <w:rPr>
          <w:rFonts w:ascii="Times New Roman" w:hAnsi="Times New Roman" w:eastAsia="Times New Roman"/>
          <w:b/>
          <w:sz w:val="24"/>
        </w:rPr>
        <w:t>Stated quality grade is the exception:</w:t>
      </w:r>
      <w:r>
        <w:rPr>
          <w:rFonts w:ascii="Times New Roman" w:hAnsi="Times New Roman" w:eastAsia="Times New Roman"/>
          <w:sz w:val="24"/>
        </w:rPr>
        <w:t xml:space="preserve"> the provincial sample is adequately powered (MDE = 0.41, smaller than the national coefficient) and returns a significant, larger-magnitude, same-direction coefficient (β = −0.468, p = 0.001) — read as strengthening rather than qualifying that half of the headline result. R11's correct reading is therefore two-part: for head-rice, chalkiness and yield gain the national effect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for stated grade, the provincial result is adequately powered and corroborates.</w:t>
      </w:r>
    </w:p>
    <w:p>
      <w:pPr>
        <w:spacing w:line="480" w:lineRule="auto" w:after="160"/>
        <w:jc w:val="left"/>
      </w:pPr>
      <w:r>
        <w:rPr>
          <w:rFonts w:ascii="Times New Roman" w:hAnsi="Times New Roman" w:eastAsia="Times New Roman"/>
          <w:sz w:val="24"/>
        </w:rPr>
        <w:t>Because provincial trial-group labels are heterogeneous, the cell definition is a judgement call and the sample size is sensitive to it; we read this check for direction only where the MDE shows point estimates uninformative.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(§5.2–5.3) is comparable only within a trial-year-check cell, so we also re-expressed yield on a chained cross-year check scale (Piepho et al., 2014; Laidig et al., 2014; Mackay et al., 2011; Raymond et al., 2023; Piepho and Laidig, 2025). Four known weaknesses appear: an unstable back-solved check yield (median CV 1.56%); a chain step moving +3.14% where the decomposition implies +7.04%; an implied gain rate swinging 0.25–0.50%/year; and only six distinct checks (~3 effective degrees of freedom). The self-reported yield advantage does not reverse direction, but the interval is too wide to pin its magnitude —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grade field, reported as measuring </w:t>
      </w:r>
      <w:r>
        <w:rPr>
          <w:rFonts w:ascii="Times New Roman" w:hAnsi="Times New Roman" w:eastAsia="Times New Roman"/>
          <w:i/>
          <w:sz w:val="24"/>
        </w:rPr>
        <w:t>disclosure behaviour</w:t>
      </w:r>
      <w:r>
        <w:rPr>
          <w:rFonts w:ascii="Times New Roman" w:hAnsi="Times New Roman" w:eastAsia="Times New Roman"/>
          <w:sz w:val="24"/>
        </w:rPr>
        <w:t xml:space="preserve"> rather than quality itself. This check asks whether the Arm-1 coefficient is an artefact of shorter announcements: re-estimating with two added controls, text length and the count of non-missing fields among the other 16 outcomes (n = 750), the baseline β = −0.122 (p = 0.0075) becomes β = −0.146 (p = 0.0005) with controls — it survives and strengthens, ruling out the simplest "shorter announcements say less" account.</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including two that qualify a headline result (R7's Manski bound on top-two quality grade; R11's mostly-underpowered, partly-corroborating provincial replication) and one genuinely underpowered rather than informative either way (R9). Read with the year-by-year evidence (§5.4), the central identification claim — third-party quality deficit paired with unchanged-or-higher applicant-measured performance — survives every adequately powered check (R1–R6, R8, R10, R12–R14, R16, R17), is not reproduced by a pre-reform placebo sharing no real channel variation (R13), and is qualified rather than contradicted by the two low-power checks (R9; three of four outcomes in R11). The one secondary result failing worst-case bounds (top-two grade, R7) is downgraded from headline evidence; the alternative yield metric (chained-check ladder, R15) returns an inconclusive result that neither strengthens nor weakens the main yield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in Sections 5–6 is consistent with measurement discretion in self-organised trials, but equally consistent with a cruder alternative: the self-organised channels may simply admit varieties bred from a narrower germplasm base, so the quality deficit records </w:t>
      </w:r>
      <w:r>
        <w:rPr>
          <w:rFonts w:ascii="Times New Roman" w:hAnsi="Times New Roman" w:eastAsia="Times New Roman"/>
          <w:i/>
          <w:sz w:val="24"/>
        </w:rPr>
        <w:t>what</w:t>
      </w:r>
      <w:r>
        <w:rPr>
          <w:rFonts w:ascii="Times New Roman" w:hAnsi="Times New Roman" w:eastAsia="Times New Roman"/>
          <w:sz w:val="24"/>
        </w:rPr>
        <w:t xml:space="preserve"> enters rather than </w:t>
      </w:r>
      <w:r>
        <w:rPr>
          <w:rFonts w:ascii="Times New Roman" w:hAnsi="Times New Roman" w:eastAsia="Times New Roman"/>
          <w:i/>
          <w:sz w:val="24"/>
        </w:rPr>
        <w:t>how</w:t>
      </w:r>
      <w:r>
        <w:rPr>
          <w:rFonts w:ascii="Times New Roman" w:hAnsi="Times New Roman" w:eastAsia="Times New Roman"/>
          <w:sz w:val="24"/>
        </w:rPr>
        <w:t xml:space="preserve"> it is measured. The announcements support a direct test, since each names the cross that produced the variety, following a documented history of the germplasm behind China's approved rice varieties itself becoming more diverse through introduced foreign lines (Shi and Hu, 2017).</w:t>
      </w:r>
    </w:p>
    <w:p>
      <w:pPr>
        <w:spacing w:line="480" w:lineRule="auto" w:after="160"/>
        <w:jc w:val="left"/>
      </w:pPr>
      <w:r>
        <w:rPr>
          <w:rFonts w:ascii="Times New Roman" w:hAnsi="Times New Roman" w:eastAsia="Times New Roman"/>
          <w:sz w:val="24"/>
        </w:rPr>
        <w:t>We resolve the variety-source field into the sterile (female) and restorer (male) line of the originating cross, succeeding for 2,304 of 2,386 national records (96.6%; §3.1 gives the extraction rule and failure profile). The indicator is computed on the same stratum as the main estimates — the two dominant indica trial groups — using the Herfindahl–Hirschman index across sterile lines, distinct-line counts (rarefied to the smaller group), and top-line share, with a stratified bootstrap and label-permutation test for the between-channel difference.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 212 distinct lines against 156 (193.0 rarefied), top-line share 5.7% against 9.1%. This is what consortium rules, pooling five or more breeding programmes, predict.</w:t>
      </w:r>
    </w:p>
    <w:p>
      <w:pPr>
        <w:jc w:val="center"/>
      </w:pPr>
      <w:r>
        <w:drawing>
          <wp:inline xmlns:a="http://schemas.openxmlformats.org/drawingml/2006/main" xmlns:pic="http://schemas.openxmlformats.org/drawingml/2006/picture">
            <wp:extent cx="5760000" cy="2441126"/>
            <wp:docPr id="8" name="Picture 8"/>
            <wp:cNvGraphicFramePr>
              <a:graphicFrameLocks noChangeAspect="1"/>
            </wp:cNvGraphicFramePr>
            <a:graphic>
              <a:graphicData uri="http://schemas.openxmlformats.org/drawingml/2006/picture">
                <pic:pic>
                  <pic:nvPicPr>
                    <pic:cNvPr id="0" name="fig6_germplasm_concentration.png"/>
                    <pic:cNvPicPr/>
                  </pic:nvPicPr>
                  <pic:blipFill>
                    <a:blip r:embed="rId16"/>
                    <a:stretch>
                      <a:fillRect/>
                    </a:stretch>
                  </pic:blipFill>
                  <pic:spPr>
                    <a:xfrm>
                      <a:off x="0" y="0"/>
                      <a:ext cx="5760000" cy="2441126"/>
                    </a:xfrm>
                    <a:prstGeom prst="rect"/>
                  </pic:spPr>
                </pic:pic>
              </a:graphicData>
            </a:graphic>
          </wp:inline>
        </w:drawing>
      </w:r>
    </w:p>
    <w:p>
      <w:pPr>
        <w:spacing w:line="276" w:lineRule="auto" w:after="240"/>
        <w:jc w:val="left"/>
      </w:pPr>
      <w:r>
        <w:rPr>
          <w:rFonts w:ascii="Times New Roman" w:hAnsi="Times New Roman" w:eastAsia="Times New Roman"/>
          <w:sz w:val="22"/>
        </w:rPr>
        <w:t>Fig. 6</w:t>
      </w:r>
    </w:p>
    <w:p>
      <w:pPr>
        <w:spacing w:line="276" w:lineRule="auto" w:after="160"/>
        <w:jc w:val="left"/>
      </w:pPr>
      <w:r>
        <w:rPr>
          <w:rFonts w:ascii="Times New Roman" w:hAnsi="Times New Roman" w:eastAsia="Times New Roman"/>
          <w:b/>
          <w:sz w:val="24"/>
        </w:rPr>
        <w:t>Fig. 6.</w:t>
      </w:r>
      <w:r>
        <w:rPr>
          <w:rFonts w:ascii="Times New Roman" w:hAnsi="Times New Roman" w:eastAsia="Times New Roman"/>
          <w:sz w:val="24"/>
        </w:rPr>
        <w:t xml:space="preserve"> Germplasm concentration across resolved parental lines, by trial channel. (a) Concentration curves over sterile (female) lines, cumulative share of approvals against cumulative share of distinct lines ordered most-frequent-first, one curve per channel and arm, computed on the two dominant mid-season indica trial groups; the diagonal marks an even spread across lines. (b) Sterile-line Herfindahl-Hirschman index by channel and arm, with 95% percentile bootstrap intervals (2,000 resamples). The interval is drawn as its own segment rather than as error bars, because a percentile bootstrap interval for the HHI need not bracket the point estimate.</w:t>
      </w:r>
    </w:p>
    <w:p>
      <w:pPr>
        <w:spacing w:line="480" w:lineRule="auto" w:after="160"/>
        <w:jc w:val="left"/>
      </w:pPr>
      <w:r>
        <w:rPr>
          <w:rFonts w:ascii="Times New Roman" w:hAnsi="Times New Roman" w:eastAsia="Times New Roman"/>
          <w:sz w:val="24"/>
        </w:rPr>
        <w:t xml:space="preserve">Green-channel entrants are directionally more concentrated (HHI 0.0778 against 0.0562, top share 22.4% against 11.5%), matching what a single-enterprise-run channel predicts, but at 67 against 52 records the interval spans zero (+0.0215, 95% CI [−0.0240, +0.0671], </w:t>
      </w:r>
      <w:r>
        <w:rPr>
          <w:rFonts w:ascii="Times New Roman" w:hAnsi="Times New Roman" w:eastAsia="Times New Roman"/>
          <w:i/>
          <w:sz w:val="24"/>
        </w:rPr>
        <w:t>p</w:t>
      </w:r>
      <w:r>
        <w:rPr>
          <w:rFonts w:ascii="Times New Roman" w:hAnsi="Times New Roman" w:eastAsia="Times New Roman"/>
          <w:sz w:val="24"/>
        </w:rPr>
        <w:t xml:space="preserve"> = 0.344); we report Arm 2 for completeness and rest nothing on it. An earlier version of this analysis, computed across all national trial groups rather than the estimation stratum, returned a significant Arm-2 contrast; restricted to the correct stratum, it does not survive.</w:t>
      </w:r>
    </w:p>
    <w:p>
      <w:pPr>
        <w:spacing w:line="480" w:lineRule="auto" w:after="160"/>
        <w:jc w:val="left"/>
      </w:pPr>
      <w:r>
        <w:rPr>
          <w:rFonts w:ascii="Times New Roman" w:hAnsi="Times New Roman" w:eastAsia="Times New Roman"/>
          <w:sz w:val="24"/>
        </w:rPr>
        <w:t xml:space="preserve">The Arm-1 result alone rules the alternative out. A narrow-breeding-base account predicts the quality deficit appears where fewer lines are drawn on; consortium entrants show 1.844 points lower head-rice and 1.108 points higher chalkiness than unified entrants, yet draw on a significantly </w:t>
      </w:r>
      <w:r>
        <w:rPr>
          <w:rFonts w:ascii="Times New Roman" w:hAnsi="Times New Roman" w:eastAsia="Times New Roman"/>
          <w:b/>
          <w:sz w:val="24"/>
        </w:rPr>
        <w:t>broader</w:t>
      </w:r>
      <w:r>
        <w:rPr>
          <w:rFonts w:ascii="Times New Roman" w:hAnsi="Times New Roman" w:eastAsia="Times New Roman"/>
          <w:sz w:val="24"/>
        </w:rPr>
        <w:t xml:space="preserve"> base than that same comparison group. What separates the two channels is measurement arrangement, not germplasm: the applicant organises the performance trial, while grain quality is assayed by the same ministry-designated third party either way (§2; §3.3). We claim no more than this — the germplasm-diversity story is inconsistent with the Arm-1 data; other composition stories, including selection on an unobserved threshold, remain open (§4.7, §6).</w:t>
      </w:r>
    </w:p>
    <w:p>
      <w:pPr>
        <w:spacing w:line="480" w:lineRule="auto" w:after="160"/>
        <w:jc w:val="left"/>
      </w:pPr>
      <w:r>
        <w:rPr>
          <w:rFonts w:ascii="Times New Roman" w:hAnsi="Times New Roman" w:eastAsia="Times New Roman"/>
          <w:sz w:val="24"/>
        </w:rPr>
        <w:t>Dropping every record whose sterile line is the most prevalent one in the stratum leaves the headline result intact (§6.1 R10; Table 4): head-rice −1.367 pp (p = 0.001, n = 689), chalkiness +1.077 pp (p = 0.020, n = 686), stated grade −0.119 (p = 0.017, n = 696).</w:t>
      </w:r>
    </w:p>
    <w:p>
      <w:pPr>
        <w:spacing w:line="480" w:lineRule="auto" w:after="160"/>
        <w:jc w:val="left"/>
      </w:pPr>
      <w:r>
        <w:rPr>
          <w:rFonts w:ascii="Times New Roman" w:hAnsi="Times New Roman" w:eastAsia="Times New Roman"/>
          <w:sz w:val="24"/>
        </w:rPr>
        <w:t>As descriptive background only, applicants labelled "public research institute" show higher regional-trial yield (+4.179 kg/mu, p = 0.027, n = 408) and thousand-grain weight (+1.193 g, p = 0.003, n = 411) than enterprise applicants, alongside directionally higher chalkiness (+1.010, p = 0.100) and lower head-rice (−1.220, p = 0.070, n = 411; Supplementary Table S1) — neither quality coefficient significant. This runs opposite to an "enterprises are careless" prediction for chalkiness and head-rice but is silent on causation; no part of the argument rests on it.</w:t>
      </w:r>
    </w:p>
    <w:p>
      <w:pPr>
        <w:spacing w:line="480" w:lineRule="auto" w:after="160"/>
        <w:jc w:val="left"/>
      </w:pPr>
      <w:r>
        <w:rPr>
          <w:rFonts w:ascii="Times New Roman" w:hAnsi="Times New Roman" w:eastAsia="Times New Roman"/>
          <w:sz w:val="24"/>
        </w:rPr>
        <w:t>Three scope limits apply. Concentration across parental lines measures breeding-base breadth, not genetic distance — two varieties sharing a sterile line may still differ substantially. The extraction rule takes only the first cross, so ancestry beyond the immediate parents is unrepresented, and the 3.4% of unparsed records are excluded rather than imputed. And "identification argument" is the operative phrase throughout: the concentration contrast rules out one alternative explanation and is not evidence of a causal mechanism linking channel, germplasm and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supplies the mechanism that makes the sign separation intelligible.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readings diverge systematically; Bar and Zheng (2019) show firms endogenously choose certifiers with a history of lenient grading — the closest analogue to the channel self-selection alternative this paper cannot close off (§4; R9/R11) — and Zheng and Bar (2023) extend this to show certifier </w:t>
      </w:r>
      <w:r>
        <w:rPr>
          <w:rFonts w:ascii="Times New Roman" w:hAnsi="Times New Roman" w:eastAsia="Times New Roman"/>
          <w:i/>
          <w:sz w:val="24"/>
        </w:rPr>
        <w:t>competition</w:t>
      </w:r>
      <w:r>
        <w:rPr>
          <w:rFonts w:ascii="Times New Roman" w:hAnsi="Times New Roman" w:eastAsia="Times New Roman"/>
          <w:sz w:val="24"/>
        </w:rPr>
        <w:t xml:space="preserve"> itself is associated with more lenient grades. Grennan and Town (2020) compare 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compares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Renckens and Auld (2022) show private-audit efficiency varies with auditor incentives, and Bonsall et al. (2024) show that even reversing who pays the certifier does not eliminate the conflict, in credit-rating audits. Together these establish that reported values move with who was asked to measure — the interpretation the sign separation invites, reported as consistent with measurement discretion rather than proof of it, since none of these designs is directly available here (we observe two different attributes measured by two parties, not one attribute measured twice). Qiu et al. (2016) document a related asymmetry one stage downstream in the same seed system: maize farmers with less information about true variety performance are more likely to adopt for risk-hedging than for expected yield gain, and recommend better seed-market information provision; Huang et al. (2018) show a parallel incentive-design pattern in Chinese contract farming, where smaller producers self-select out of arrangements that are less profitable for them rather than being excluded. Their settings (maize, seller-to-farmer; broiler contracts) do not transfer mechanically to ours (rice, applicant-to-regulator), but the results compound: if approval records feed the signals a farmer's information set draws on, a weaker third-party-assayed quality signal for self-organised-channel entrants propagates into the very information gap Qiu et al. document, at the point the underlying record is first produced.</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MARA has, since 2022, conducted a special rectification campaign targeting the green channel and consortium trials, raising the question of whether the gap documented here is a closing window rather than a stable feature. The year-by-year re-estimation in §5.4 answers this outcome by outcome, not uniformly: the chalkiness gap declines roughly monotonically, consistent with narrowing as regulatory attention increases; the stated-grade gap weakens more faintly and non-monotonically, non-significant in two of four post-2017 years; the head-rice gap does not narrow at all, its largest and most significant values in the most recent years (Fig. 3). We therefore do not claim the variation is disappearing as a blanket statement — that holds for chalkiness, holds weakly for stated grade, and does not hold for head-rice, the paper's cleanest estimate. Coverage falls sharply after 2022, so this paper cannot verify further convergence beyond its window; regulatory attention to related institutional gaps has, if anything, continued past our window, with recent legal-institutional work still identifying unresolved gaps in variety-rights enforcement (Qin and Su, 2026) as China's seed sector continues to consolidate and expand outward (Deng et al., 2025).</w:t>
      </w:r>
    </w:p>
    <w:p>
      <w:pPr>
        <w:spacing w:line="480" w:lineRule="auto" w:after="160"/>
        <w:jc w:val="left"/>
      </w:pPr>
      <w:r>
        <w:rPr>
          <w:rFonts w:ascii="Times New Roman" w:hAnsi="Times New Roman" w:eastAsia="Times New Roman"/>
          <w:sz w:val="24"/>
        </w:rPr>
        <w:t>One further result belongs here. The province-level replication (§6.4) is underpowered for three of four headline outcomes — their provincial non-significance is "undetermined," not evidence against the national result — and adequately powered and corroborating for stated quality grade. That split runs against a common but incorrect reading of provincial null results in this literature: the evidence should be described precisely, one outcome significant and adequately powered, three underpowered,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recommendations follow from results already reported, plus one caution against a plausible-sounding but wrong one.</w:t>
      </w:r>
    </w:p>
    <w:p>
      <w:pPr>
        <w:spacing w:line="480" w:lineRule="auto" w:after="160"/>
        <w:jc w:val="left"/>
      </w:pPr>
      <w:r>
        <w:rPr>
          <w:rFonts w:ascii="Times New Roman" w:hAnsi="Times New Roman" w:eastAsia="Times New Roman"/>
          <w:b/>
          <w:sz w:val="24"/>
        </w:rPr>
        <w:t>Target verification at the trait that is not converging.</w:t>
      </w:r>
      <w:r>
        <w:rPr>
          <w:rFonts w:ascii="Times New Roman" w:hAnsi="Times New Roman" w:eastAsia="Times New Roman"/>
          <w:sz w:val="24"/>
        </w:rPr>
        <w:t xml:space="preserve"> §5.4 shows the third-party quality traits do not respond uniformly to the post-2022 tightening: chalkiness narrows monotonically toward zero and stated quality grade weakens on balance, but head-rice percentage shows no convergence at all, with its largest and most significant gaps in the most recent years of the sample. Whatever verification effort the current rectification campaign applies appears to reach chalkiness and, more weakly, stated grade, but not head-rice — a specific, falsifiable target for a regulator prioritising where to add independent re-assay capacity rather than spreading it evenly.</w:t>
      </w:r>
    </w:p>
    <w:p>
      <w:pPr>
        <w:spacing w:line="480" w:lineRule="auto" w:after="160"/>
        <w:jc w:val="left"/>
      </w:pPr>
      <w:r>
        <w:rPr>
          <w:rFonts w:ascii="Times New Roman" w:hAnsi="Times New Roman" w:eastAsia="Times New Roman"/>
          <w:b/>
          <w:sz w:val="24"/>
        </w:rPr>
        <w:t>Do not fix this by tightening consortium composition rules.</w:t>
      </w:r>
      <w:r>
        <w:rPr>
          <w:rFonts w:ascii="Times New Roman" w:hAnsi="Times New Roman" w:eastAsia="Times New Roman"/>
          <w:sz w:val="24"/>
        </w:rPr>
        <w:t xml:space="preserve"> A natural regulatory instinct — narrow eligibility for consortium trials, or require a more diverse breeding-base among participating consortium members, on the theory that a narrower germplasm pool produces weaker varieties — is directly contraindicated by §7: consortium entrants draw on a significantly </w:t>
      </w:r>
      <w:r>
        <w:rPr>
          <w:rFonts w:ascii="Times New Roman" w:hAnsi="Times New Roman" w:eastAsia="Times New Roman"/>
          <w:i/>
          <w:sz w:val="24"/>
        </w:rPr>
        <w:t>broader</w:t>
      </w:r>
      <w:r>
        <w:rPr>
          <w:rFonts w:ascii="Times New Roman" w:hAnsi="Times New Roman" w:eastAsia="Times New Roman"/>
          <w:sz w:val="24"/>
        </w:rPr>
        <w:t xml:space="preserve"> sterile-line base than the unified-trial entrants they are compared against (HHI 0.0124 vs. 0.0186), yet still show the quality deficit. The lever this paper's evidence points to is measurement and verification at the point of testing, not the composition rules governing who may form a consortium.</w:t>
      </w:r>
    </w:p>
    <w:p>
      <w:pPr>
        <w:spacing w:line="480" w:lineRule="auto" w:after="160"/>
        <w:jc w:val="left"/>
      </w:pPr>
      <w:r>
        <w:rPr>
          <w:rFonts w:ascii="Times New Roman" w:hAnsi="Times New Roman" w:eastAsia="Times New Roman"/>
          <w:b/>
          <w:sz w:val="24"/>
        </w:rPr>
        <w:t>Treat non-disclosure as an automatic verification trigger.</w:t>
      </w:r>
      <w:r>
        <w:rPr>
          <w:rFonts w:ascii="Times New Roman" w:hAnsi="Times New Roman" w:eastAsia="Times New Roman"/>
          <w:sz w:val="24"/>
        </w:rPr>
        <w:t xml:space="preserve"> §6.6 shows the gap in whether a national quality grade is stated at all survives, and strengthens, once announcement length and field-completeness are controlled for (β = −0.122 to −0.146, p = 0.0005) — ruling out the alternative that self-organised-channel announcements are simply thinner on detail. A cheap, low-discretion rule follows directly: an approval record entering through a self-organised channel without a stated national or industry quality grade should trigger mandatory third-party re-verification before market approval, rather than resting on periodic or discretionary spot-checks.</w:t>
      </w:r>
    </w:p>
    <w:p>
      <w:pPr>
        <w:spacing w:line="480" w:lineRule="auto" w:after="160"/>
        <w:jc w:val="left"/>
      </w:pPr>
      <w:r>
        <w:rPr>
          <w:rFonts w:ascii="Times New Roman" w:hAnsi="Times New Roman" w:eastAsia="Times New Roman"/>
          <w:b/>
          <w:sz w:val="24"/>
        </w:rPr>
        <w:t>This is not a claim of regulatory blindness, and does not need to be one to matter.</w:t>
      </w:r>
      <w:r>
        <w:rPr>
          <w:rFonts w:ascii="Times New Roman" w:hAnsi="Times New Roman" w:eastAsia="Times New Roman"/>
          <w:sz w:val="24"/>
        </w:rPr>
        <w:t xml:space="preserve"> Independent spot-checks are already the Ministry's own initiative since 2022 (§2); this paper's contribution is not that verification is needed, but </w:t>
      </w:r>
      <w:r>
        <w:rPr>
          <w:rFonts w:ascii="Times New Roman" w:hAnsi="Times New Roman" w:eastAsia="Times New Roman"/>
          <w:i/>
          <w:sz w:val="24"/>
        </w:rPr>
        <w:t>which trait, which mechanism, and which trigger</w:t>
      </w:r>
      <w:r>
        <w:rPr>
          <w:rFonts w:ascii="Times New Roman" w:hAnsi="Times New Roman" w:eastAsia="Times New Roman"/>
          <w:sz w:val="24"/>
        </w:rPr>
        <w:t xml:space="preserve"> — head-rice, verification over consortium composition, and non-disclosure — using evidence otherwise requiring separate construction from the same announcements this paper already parsed.</w:t>
      </w:r>
    </w:p>
    <w:p>
      <w:pPr>
        <w:keepNext/>
        <w:spacing w:line="480" w:lineRule="auto" w:after="120"/>
        <w:jc w:val="left"/>
      </w:pPr>
      <w:r>
        <w:rPr>
          <w:rFonts w:ascii="Times New Roman" w:hAnsi="Times New Roman" w:eastAsia="Times New Roman"/>
          <w:b/>
          <w:sz w:val="24"/>
        </w:rPr>
        <w:t>8.4 A methodological note for building indicators from administrative records</w:t>
      </w:r>
    </w:p>
    <w:p>
      <w:pPr>
        <w:spacing w:line="480" w:lineRule="auto" w:after="160"/>
        <w:jc w:val="left"/>
      </w:pPr>
      <w:r>
        <w:rPr>
          <w:rFonts w:ascii="Times New Roman" w:hAnsi="Times New Roman" w:eastAsia="Times New Roman"/>
          <w:sz w:val="24"/>
        </w:rPr>
        <w:t>The result behind §8.3's recommendations rests on a general data-quality point relevant to any technology-assessment exercise built from administrative rather than laboratory data: approval, registration and licensing records are under-used relative to patents and publications (Rammer and Es-Sadki, 2023) chiefly because they are published as prose; §3 shows they repay parsing, at the cost of most analyst effort falling on entity resolution and data-quality assessment (§3.1, §3.4) rather than extraction.</w:t>
      </w:r>
    </w:p>
    <w:p>
      <w:pPr>
        <w:spacing w:line="480" w:lineRule="auto" w:after="160"/>
        <w:jc w:val="left"/>
      </w:pPr>
      <w:r>
        <w:rPr>
          <w:rFonts w:ascii="Times New Roman" w:hAnsi="Times New Roman" w:eastAsia="Times New Roman"/>
          <w:sz w:val="24"/>
        </w:rPr>
        <w:t xml:space="preserve">The specific quality lesson is that </w:t>
      </w:r>
      <w:r>
        <w:rPr>
          <w:rFonts w:ascii="Times New Roman" w:hAnsi="Times New Roman" w:eastAsia="Times New Roman"/>
          <w:b/>
          <w:sz w:val="24"/>
        </w:rPr>
        <w:t>reliability is a property of a field, not of a source.</w:t>
      </w:r>
      <w:r>
        <w:rPr>
          <w:rFonts w:ascii="Times New Roman" w:hAnsi="Times New Roman" w:eastAsia="Times New Roman"/>
          <w:sz w:val="24"/>
        </w:rPr>
        <w:t xml:space="preserve"> Within one document, issued by one authority on one date, fields differed in evidential strength according to who measured them: laboratory-assayed quality moved one way, applicant-recorded yield the other (§4.5). Standard data-quality assessment of administrative and scientometric sources is conducted at the source level — coverage, error rates, classification accuracy (Franceschini et al., 2016; Jaffe and de Rassenfosse, 2017), with recent work standardising exactly this kind of source-level indicator construction for patent data (Abi Younes and de Rassenfosse, 2024) — but a source that passes such an audit can still contain fields of very different evidential value. The practical implication, turned into a policy rule for this dataset in §8.3, is to tag each field with its measuring party and treat a contrast confined to the independently-assayed fields as more credible than one confined to the self-reported fields. The same structure — applicant-supplied material bound with independent assay results in one official record — recurs in drug approval (Shi et al., 2021) and patent examination (Jaffe and de Rassenfosse, 2017), so the diagnostic is not specific to seed regulation; but its use here is to support the agricultural-policy recommendations in §8.3, not to generalise beyond them.</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(1) The evidence covers a single country and crop; whether the same channel-measurement asymmetry appears elsewhere is untested. (2) Channel self-selection cannot be fully separated from measurement discretion — the within-applicant comparison (§6) is directionally uninformative because it is underpowered, not because it rules out self-selection. (3) </w:t>
      </w:r>
      <w:r>
        <w:rPr>
          <w:rFonts w:ascii="Times New Roman" w:hAnsi="Times New Roman" w:eastAsia="Times New Roman"/>
          <w:sz w:val="24"/>
        </w:rPr>
        <w:t>applicant_type</w:t>
      </w:r>
      <w:r>
        <w:rPr>
          <w:rFonts w:ascii="Times New Roman" w:hAnsi="Times New Roman" w:eastAsia="Times New Roman"/>
          <w:sz w:val="24"/>
        </w:rPr>
        <w:t>, needed for the enterprise-vs-institute comparison in §7, is entirely missing for the 2016, 2017, 2018 and 2021 cohorts, limiting that comparison to years with non-missing labels. (4) The compilation's field-level fidelity to the original text has not been verified (§3.4) — the single most consequential unverified assumption in the study, since every estimate would inherit any systematic transcription error we cannot presently bound; a replicator with primary access should treat this as the first check to run. (5) The window runs through 2022 because coverage falls sharply afterward (85 of 409 announcements captured for 2023, 61 of 405 for 2024, 2 for 2025 — §3.1, §3.4), so this paper cannot speak to whether the trends in §8.2 continue, reverse or stabilise; the same constraint gives the window its value as a documented pre-rectification baseline for future work evaluating the Ministry's 2022 intervention, rather than only limiting it. (6) China's approval standards define categories judged against different trait bundles, and applicants targeting a high-yield category would rationally accept weaker quality; we cannot control for this, since no category term or field occurs anywhere in the corpus. The §7 germplasm evidence constrains one version of this story but not all of it —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passed through shows that what enters differs by channel on precisely the traits a third party, rather than the applicant, measures: self-organised entrants carry worse third-party-assayed quality alongside applicant-measured performance that is unchanged or higher — a difference in what each door admits, not an estimate of what the reform did, and a sign separation a breeding-ability story cannot produce, surviving the removal of the most prevalent breeding lineage.</w:t>
      </w:r>
    </w:p>
    <w:p>
      <w:pPr>
        <w:spacing w:line="480" w:lineRule="auto" w:after="160"/>
        <w:jc w:val="left"/>
      </w:pPr>
      <w:r>
        <w:rPr>
          <w:rFonts w:ascii="Times New Roman" w:hAnsi="Times New Roman" w:eastAsia="Times New Roman"/>
          <w:sz w:val="24"/>
        </w:rPr>
        <w:t>This is a composition effect on the population entering each pathway, not a causal effect on any individual variety. It does not speak to farmer welfare, extension outcomes or seed prices; it does not allege fabrication, a possibility the data cannot distinguish from self-selection or differing thresholds; and it does not extend to every third-party trait or level of government, since disease-resistance grading moves the other way and provincial replication is conclusive for only one of four outcomes. Within these bounds, the contribution is an agricultural technology-assessment one: a record-level channel variable, read from announcement text rather than imposed as a before/after indicator, that shows what changed after 2016 was not only volume, and evidence pointing to where verification effort should be concentrated (§8.3). The method behind it generalises — a long-public administrative corpus can become a structured indicator system whose fields must be read individually, since evidence strength inside one official source depended on who did the measuring (§8.4) — but that generalisation supports the agricultural-policy conclusion; it is not a second, separate contribution alongside it.</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The authors thank the editors and anonymous reviewers for their time and constructive comments on this manuscript. This work was supported by [grant name and number — author to provide].</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Liu Ning is an employee of Anhui Winall Hi-Tech Seed Co., Ltd., a seed enterprise whose national variety-approval records fall within the dataset analysed in this study. No analysis in this paper is conducted at the level of any named organisation, and no individual applicant's breeding capability, performance or conduct is evaluated (§4.7, Non-claim 10); all applicant-side quantities are aggregated to entry route or to germplasm lineage. The authors disclose this affiliation in the interest of full transparency and leave it to the editorial office's judgement whether additional safeguards are warranted. Beyond this disclosure, the authors declare no other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(§3).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sz w:val="24"/>
        </w:rPr>
        <w:t>Both authors jointly share all CRediT roles below.</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Liu Ning, Lu Kai</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Abi Younes G, de Rassenfosse G. 2024. Replicable patent indicators using the Google Patents Public Datasets. Australian Economic Review, 57, 102–113.</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Bian Y, Yan S, Yi Z, Guan X, Chen Y. 2022. Quality certification in agricultural supply chains: Implications from government information provision. Production and Operations Management, 31, 1456–1472.</w:t>
      </w:r>
    </w:p>
    <w:p>
      <w:pPr>
        <w:spacing w:line="480" w:lineRule="auto" w:after="160"/>
        <w:jc w:val="left"/>
      </w:pPr>
      <w:r>
        <w:rPr>
          <w:rFonts w:ascii="Times New Roman" w:hAnsi="Times New Roman" w:eastAsia="Times New Roman"/>
          <w:sz w:val="24"/>
        </w:rPr>
        <w:t>Bonsall S B, Gillette J R, Pundrich G, So E C. 2024. Conflicts of interest in subscriber-paid credit ratings. Journal of Accounting and Economics, 77, 101614.</w:t>
      </w:r>
    </w:p>
    <w:p>
      <w:pPr>
        <w:spacing w:line="480" w:lineRule="auto" w:after="160"/>
        <w:jc w:val="left"/>
      </w:pPr>
      <w:r>
        <w:rPr>
          <w:rFonts w:ascii="Times New Roman" w:hAnsi="Times New Roman" w:eastAsia="Times New Roman"/>
          <w:sz w:val="24"/>
        </w:rPr>
        <w:t>Deng H, Yu C, Jin Y, Pray C, Liu C, Deng L. 2025. How is China shaping global food supply chains? Insights from the seed industry. European Review of Agricultural Economics. (Online first at time of writing; final volume/pages not yet assigned.)</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Huang Z Y, Xu Y, Zeng D, Wang C, Wang J M. 2018. One size fits all? Contract farming among broiler producers in China. Journal of Integrative Agriculture, 17, 473–482.</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Miao Y, Sun J, Liu R, Huang J, Sheng J. 2025. Bridging the quality-price gap: Unlocking consumer premiums for high-quality rice in China. Foods, 14, 1184.</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Qin Y, Su K. 2026. From lab to market: Industrialization barriers and regulation optimization for new breeding technologies in China. GM Crops &amp; Food. (Online first at time of writing; final volume/pages not yet assigned.)</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X, Hu R. 2017. Rice variety improvement and the contribution of foreign germplasms in China. Journal of Integrative Agriculture, 16, 2337–2345.</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Wang S, Wang S, Zhao C, et al. 2024. Overview of China's crop variety approval system and comparison with other countries (in Chinese). Science and Technology of Cereals, Oils and Foods, 32, 211–218.</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Xu S. 2021. Rethinking the liberation of China's seed market: A comparative study of China's regulatory frameworks with EU and US. Agroecology and Sustainable Food Systems, 251–272. (Volume number not independently confirmed at time of writing; flagged for author verification before submission.)</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p>
      <w:pPr>
        <w:spacing w:line="480" w:lineRule="auto" w:after="160"/>
        <w:jc w:val="left"/>
      </w:pPr>
      <w:r>
        <w:rPr>
          <w:rFonts w:ascii="Times New Roman" w:hAnsi="Times New Roman" w:eastAsia="Times New Roman"/>
          <w:sz w:val="24"/>
        </w:rPr>
        <w:t>Zheng Y, Bar T. 2023. Certifier competition and audit grades: An empirical examination using food safety certification. Applied Economic Perspectives and Policy, 45, 182–196.</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