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60" w:lineRule="auto"/>
        <w:ind/>
        <w:jc w:val="center"/>
      </w:pPr>
      <w:r>
        <w:rPr>
          <w:rFonts w:ascii="Times New Roman" w:cs="Times New Roman" w:eastAsia="楷体" w:hAnsi="Times New Roman"/>
          <w:color w:val="000000"/>
          <w:sz w:val="24"/>
          <w:szCs w:val="24"/>
          <w:highlight w:val="yellow"/>
          <w:highlightCs w:val="yellow"/>
        </w:rPr>
        <w:t xml:space="preserve">【作者姓名】</w:t>
      </w:r>
      <w:r>
        <w:rPr>
          <w:rFonts w:ascii="Times New Roman" w:cs="Times New Roman" w:eastAsia="楷体" w:hAnsi="Times New Roman"/>
          <w:color w:val="000000"/>
          <w:sz w:val="24"/>
          <w:szCs w:val="24"/>
          <w:vertAlign w:val="superscript"/>
        </w:rPr>
        <w:t xml:space="preserve">1</w:t>
      </w:r>
      <w:r>
        <w:rPr>
          <w:rFonts w:ascii="Times New Roman" w:cs="Times New Roman" w:eastAsia="楷体" w:hAnsi="Times New Roman"/>
          <w:color w:val="000000"/>
          <w:sz w:val="24"/>
          <w:szCs w:val="24"/>
        </w:rPr>
        <w:t xml:space="preserve">，</w:t>
      </w:r>
      <w:r>
        <w:rPr>
          <w:rFonts w:ascii="Times New Roman" w:cs="Times New Roman" w:eastAsia="楷体" w:hAnsi="Times New Roman"/>
          <w:color w:val="000000"/>
          <w:sz w:val="24"/>
          <w:szCs w:val="24"/>
          <w:highlight w:val="yellow"/>
          <w:highlightCs w:val="yellow"/>
        </w:rPr>
        <w:t xml:space="preserve">【作者姓名】</w:t>
      </w:r>
      <w:r>
        <w:rPr>
          <w:rFonts w:ascii="Times New Roman" w:cs="Times New Roman" w:eastAsia="楷体" w:hAnsi="Times New Roman"/>
          <w:color w:val="000000"/>
          <w:sz w:val="24"/>
          <w:szCs w:val="24"/>
          <w:vertAlign w:val="superscript"/>
        </w:rPr>
        <w:t xml:space="preserve">2</w:t>
      </w:r>
    </w:p>
    <w:p>
      <w:pPr>
        <w:spacing w:after="160" w:before="0" w:line="360" w:lineRule="auto"/>
        <w:ind/>
        <w:jc w:val="center"/>
      </w:pPr>
      <w:r>
        <w:rPr>
          <w:rFonts w:ascii="Times New Roman" w:cs="Times New Roman" w:eastAsia="宋体" w:hAnsi="Times New Roman"/>
          <w:color w:val="000000"/>
          <w:sz w:val="18"/>
          <w:szCs w:val="18"/>
        </w:rPr>
        <w:t xml:space="preserve">（1.</w:t>
      </w:r>
      <w:r>
        <w:rPr>
          <w:rFonts w:ascii="Times New Roman" w:cs="Times New Roman" w:eastAsia="宋体" w:hAnsi="Times New Roman"/>
          <w:color w:val="000000"/>
          <w:sz w:val="18"/>
          <w:szCs w:val="18"/>
          <w:highlight w:val="yellow"/>
          <w:highlightCs w:val="yellow"/>
        </w:rPr>
        <w:t xml:space="preserve">【作者单位全称】</w:t>
      </w:r>
      <w:r>
        <w:rPr>
          <w:rFonts w:ascii="Times New Roman" w:cs="Times New Roman" w:eastAsia="宋体" w:hAnsi="Times New Roman"/>
          <w:color w:val="000000"/>
          <w:sz w:val="18"/>
          <w:szCs w:val="18"/>
        </w:rPr>
        <w:t xml:space="preserve">，安徽 桐城 231400；2.</w:t>
      </w:r>
      <w:r>
        <w:rPr>
          <w:rFonts w:ascii="Times New Roman" w:cs="Times New Roman" w:eastAsia="宋体" w:hAnsi="Times New Roman"/>
          <w:color w:val="000000"/>
          <w:sz w:val="18"/>
          <w:szCs w:val="18"/>
          <w:highlight w:val="yellow"/>
          <w:highlightCs w:val="yellow"/>
        </w:rPr>
        <w:t xml:space="preserve">【作者单位全称】</w:t>
      </w:r>
      <w:r>
        <w:rPr>
          <w:rFonts w:ascii="Times New Roman" w:cs="Times New Roman" w:eastAsia="宋体" w:hAnsi="Times New Roman"/>
          <w:color w:val="000000"/>
          <w:sz w:val="18"/>
          <w:szCs w:val="18"/>
        </w:rPr>
        <w:t xml:space="preserve">，安徽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［目的］明确桐城市范岗镇沙壤土单季稻氮、磷、钾肥的适宜施用量，完善当地水稻测土配方施肥指标体系。［方法］2025年以杂交籼稻吨两优900为材料，采用“3414”完全试验设计（N、P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O各4个水平，14个处理），研究不同施肥处理对水稻经济性状、产量及经济效益的影响，拟合肥料效应方程，并以缺素区相对产量评价土壤养分丰缺状况。［结果］处理10（N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，较无肥区增产54.5%，纯收益最高，达22091.4元/hm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缺氮、缺磷、缺钾区相对产量分别为74.3%、85.5%和94.9%，试验田土壤供氮能力属“低”水平，供磷、供钾能力属“中”水平；氮、磷、钾肥贡献率分别为25.7%、14.5%和5.1%，肥料效应表现为N&gt;P&gt;K；产量与每穗总粒数、有效穗数呈极显著正相关。三元二次肥料效应方程未通过典型性检验；氮肥线性加平台模型拟合效果最好（</w:t>
      </w: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=0.9722），拐点施氮量为282.0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，施氮量超过270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后结实率和千粒重下降、产量不再增加；磷、钾肥效应在试验范围内仍呈上升趋势。［结论］范岗镇沙壤土单季稻推荐施N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225～337.5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，氮肥按基肥∶分蘖肥∶穗肥=50%∶25%∶25%、钾肥按基肥∶穗肥=60%∶40%分施，磷肥全部基施；磷、钾肥适宜用量上限有待多点多年试验进一步验证。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highlight w:val="yellow"/>
          <w:highlightCs w:val="yellow"/>
        </w:rPr>
        <w:t xml:space="preserve">【AUTHOR Name】</w:t>
      </w:r>
      <w:r>
        <w:rPr>
          <w:rFonts w:ascii="Times New Roman" w:cs="Times New Roman" w:eastAsia="宋体" w:hAnsi="Times New Roman"/>
          <w:color w:val="000000"/>
          <w:sz w:val="18"/>
          <w:szCs w:val="18"/>
          <w:vertAlign w:val="superscript"/>
        </w:rPr>
        <w:t xml:space="preserve">1</w:t>
      </w:r>
      <w:r>
        <w:rPr>
          <w:rFonts w:ascii="Times New Roman" w:cs="Times New Roman" w:eastAsia="宋体" w:hAnsi="Times New Roman"/>
          <w:color w:val="000000"/>
          <w:sz w:val="18"/>
          <w:szCs w:val="18"/>
        </w:rPr>
        <w:t xml:space="preserve">, </w:t>
      </w:r>
      <w:r>
        <w:rPr>
          <w:rFonts w:ascii="Times New Roman" w:cs="Times New Roman" w:eastAsia="宋体" w:hAnsi="Times New Roman"/>
          <w:color w:val="000000"/>
          <w:sz w:val="18"/>
          <w:szCs w:val="18"/>
          <w:highlight w:val="yellow"/>
          <w:highlightCs w:val="yellow"/>
        </w:rPr>
        <w:t xml:space="preserve">【AUTHOR Name】</w:t>
      </w:r>
      <w:r>
        <w:rPr>
          <w:rFonts w:ascii="Times New Roman" w:cs="Times New Roman" w:eastAsia="宋体" w:hAnsi="Times New Roman"/>
          <w:color w:val="000000"/>
          <w:sz w:val="18"/>
          <w:szCs w:val="18"/>
          <w:vertAlign w:val="superscript"/>
        </w:rPr>
        <w:t xml:space="preserve">2</w:t>
      </w:r>
    </w:p>
    <w:p>
      <w:pPr>
        <w:spacing w:after="120" w:before="0" w:line="300" w:lineRule="auto"/>
        <w:ind/>
        <w:jc w:val="center"/>
      </w:pPr>
      <w:r>
        <w:rPr>
          <w:rFonts w:ascii="Times New Roman" w:cs="Times New Roman" w:eastAsia="宋体" w:hAnsi="Times New Roman"/>
          <w:color w:val="000000"/>
          <w:sz w:val="18"/>
          <w:szCs w:val="18"/>
        </w:rPr>
        <w:t xml:space="preserve">(1. </w:t>
      </w:r>
      <w:r>
        <w:rPr>
          <w:rFonts w:ascii="Times New Roman" w:cs="Times New Roman" w:eastAsia="宋体" w:hAnsi="Times New Roman"/>
          <w:color w:val="000000"/>
          <w:sz w:val="18"/>
          <w:szCs w:val="18"/>
          <w:highlight w:val="yellow"/>
          <w:highlightCs w:val="yellow"/>
        </w:rPr>
        <w:t xml:space="preserve">【Affiliation】</w:t>
      </w:r>
      <w:r>
        <w:rPr>
          <w:rFonts w:ascii="Times New Roman" w:cs="Times New Roman" w:eastAsia="宋体" w:hAnsi="Times New Roman"/>
          <w:color w:val="000000"/>
          <w:sz w:val="18"/>
          <w:szCs w:val="18"/>
        </w:rPr>
        <w:t xml:space="preserve">, Tongcheng, Anhui 231400; 2. </w:t>
      </w:r>
      <w:r>
        <w:rPr>
          <w:rFonts w:ascii="Times New Roman" w:cs="Times New Roman" w:eastAsia="宋体" w:hAnsi="Times New Roman"/>
          <w:color w:val="000000"/>
          <w:sz w:val="18"/>
          <w:szCs w:val="18"/>
          <w:highlight w:val="yellow"/>
          <w:highlightCs w:val="yellow"/>
        </w:rPr>
        <w:t xml:space="preserve">【Affiliation】</w:t>
      </w:r>
      <w:r>
        <w:rPr>
          <w:rFonts w:ascii="Times New Roman" w:cs="Times New Roman" w:eastAsia="宋体" w:hAnsi="Times New Roman"/>
          <w:color w:val="000000"/>
          <w:sz w:val="18"/>
          <w:szCs w:val="18"/>
        </w:rPr>
        <w:t xml:space="preserve">,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determine the optimal application rates of nitrogen (N), phosphorus (P) and potassium (K) fertilizers for single-season rice grown on sandy loam soil in Fangang Town, Tongcheng City, and to improve the local index system of soil testing and formulated fertilization. [Method] A “3414” field experiment (three factors, four levels, 14 treatments) was conducted in 2025 with the hybrid indica rice cultivar Dunliangyou 900. Agronomic traits, grain yield and economic benefit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the unfertilized control, and the highest net income of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relative yields of the N-, P- and K-omission plots were 74.3%, 85.5% and 94.9%, indicating a low soil N supply and medium P and K supplies; the contribution rates of N, P and K fertilizers were 25.7%, 14.5% and 5.1%, respectively (N &gt; P &gt; K). Grain yield was highly significantly and positively correlated with spikelets per panicle and effective panicles. The ternary quadratic model failed the typicality test, whereas the linear-plus-plateau model for N fitted well (</w:t>
      </w: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 0.9722) with a plateau at 282.0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N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while yield still increased with P and K rates within the tested range. [Conclusion]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225–337.5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recommended for single-season rice on sandy loam soil in Fangang Town, with N split as basal:tillering:panicle = 50%:25%:25%, K split as basal:panicle = 60%:40% and P applied entirely as basal fertilizer; the upper limits of P and K rates need further verification by multi-site and multi-year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60" w:lineRule="auto"/>
        <w:ind w:firstLine="420"/>
        <w:jc w:val="both"/>
      </w:pPr>
      <w:r>
        <w:rPr>
          <w:rFonts w:ascii="Times New Roman" w:cs="Times New Roman" w:eastAsia="宋体" w:hAnsi="Times New Roman"/>
          <w:color w:val="000000"/>
          <w:sz w:val="21"/>
          <w:szCs w:val="21"/>
        </w:rPr>
        <w:t xml:space="preserve">水稻是我国最主要的口粮作物，也是安徽省第一大粮食作物。桐城市位于安徽省中部偏西南，地处大别山东麓与长江北岸之间，是全国重要的商品粮生产基地，单季稻是当地最主要的粮食作物；范岗镇是桐城市水稻主产乡镇之一，稻作收入是当地农民的主要经济来源。长期以来，当地农户多凭经验施肥，普遍存在氮肥用量偏高、磷钾肥配比失调、施肥时期不合理等问题，不仅增加了生产成本，也降低了肥料利用率，并带来农业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。测土配方施肥是以土壤测试和肥料田间试验为基础，根据作物需肥规律、土壤供肥性能和肥料效应确定肥料用量、配比及施用方法的科学施肥技术，是提高肥料利用率、实现化肥减量增效的有效途径</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。“3414”肥料效应田间试验是测土配方施肥的核心环节，通过该试验可以建立肥料效应函数，确定作物的最高产量施肥量和最佳经济施肥量，并据此建立土壤养分丰缺指标和推荐施肥指标体系</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。近年来，国内各稻区围绕水稻开展了大量“3414”试验研究</w:t>
      </w:r>
      <w:r>
        <w:rPr>
          <w:rFonts w:ascii="Times New Roman" w:cs="Times New Roman" w:eastAsia="宋体" w:hAnsi="Times New Roman"/>
          <w:color w:val="000000"/>
          <w:sz w:val="21"/>
          <w:szCs w:val="21"/>
          <w:vertAlign w:val="superscript"/>
        </w:rPr>
        <w:t xml:space="preserve">[9-14]</w:t>
      </w:r>
      <w:r>
        <w:rPr>
          <w:rFonts w:ascii="Times New Roman" w:cs="Times New Roman" w:eastAsia="宋体" w:hAnsi="Times New Roman"/>
          <w:color w:val="000000"/>
          <w:sz w:val="21"/>
          <w:szCs w:val="21"/>
        </w:rPr>
        <w:t xml:space="preserve">，安徽省潜山、旌德等地的试验结果表明，氮肥是影响水稻产量的首要因子，而不同区域的最佳施肥量因土壤类型、品种和栽培方式不同存在较大差异</w:t>
      </w:r>
      <w:r>
        <w:rPr>
          <w:rFonts w:ascii="Times New Roman" w:cs="Times New Roman" w:eastAsia="宋体" w:hAnsi="Times New Roman"/>
          <w:color w:val="000000"/>
          <w:sz w:val="21"/>
          <w:szCs w:val="21"/>
          <w:vertAlign w:val="superscript"/>
        </w:rPr>
        <w:t xml:space="preserve">[15-18]</w:t>
      </w:r>
      <w:r>
        <w:rPr>
          <w:rFonts w:ascii="Times New Roman" w:cs="Times New Roman" w:eastAsia="宋体" w:hAnsi="Times New Roman"/>
          <w:color w:val="000000"/>
          <w:sz w:val="21"/>
          <w:szCs w:val="21"/>
        </w:rPr>
        <w:t xml:space="preserve">。范岗镇沙壤土稻田保肥供肥能力较弱，目前针对该区域的系统肥效试验数据仍较缺乏；同时，随着吨两优900等高产杂交籼稻新品种的大面积推广</w:t>
      </w:r>
      <w:r>
        <w:rPr>
          <w:rFonts w:ascii="Times New Roman" w:cs="Times New Roman" w:eastAsia="宋体" w:hAnsi="Times New Roman"/>
          <w:color w:val="000000"/>
          <w:sz w:val="21"/>
          <w:szCs w:val="21"/>
          <w:vertAlign w:val="superscript"/>
        </w:rPr>
        <w:t xml:space="preserve">[19]</w:t>
      </w:r>
      <w:r>
        <w:rPr>
          <w:rFonts w:ascii="Times New Roman" w:cs="Times New Roman" w:eastAsia="宋体" w:hAnsi="Times New Roman"/>
          <w:color w:val="000000"/>
          <w:sz w:val="21"/>
          <w:szCs w:val="21"/>
        </w:rPr>
        <w:t xml:space="preserve">，原有施肥参数亟需更新。为此，笔者于2025年在范岗镇开展了单季稻“3414”肥料效应田间试验，研究不同氮、磷、钾施肥水平对水稻经济性状、产量和经济效益的影响，拟合肥料效应方程，评价土壤养分丰缺状况，以期为当地单季稻科学施肥和测土配方施肥指标体系的完善提供依据。</w:t>
      </w:r>
    </w:p>
    <w:p>
      <w:pPr>
        <w:keepNext/>
        <w:spacing w:after="80" w:before="160" w:line="360" w:lineRule="auto"/>
        <w:ind/>
        <w:jc w:val="left"/>
      </w:pPr>
      <w:r>
        <w:rPr>
          <w:rFonts w:ascii="Times New Roman" w:cs="Times New Roman" w:eastAsia="黑体" w:hAnsi="Times New Roman"/>
          <w:color w:val="000000"/>
          <w:sz w:val="24"/>
          <w:szCs w:val="24"/>
        </w:rPr>
        <w:t xml:space="preserve">1　材料与方法</w:t>
      </w:r>
    </w:p>
    <w:p>
      <w:pPr>
        <w:keepNext/>
        <w:spacing w:after="40" w:before="100" w:line="360" w:lineRule="auto"/>
        <w:ind/>
        <w:jc w:val="left"/>
      </w:pPr>
      <w:r>
        <w:rPr>
          <w:rFonts w:ascii="Times New Roman" w:cs="Times New Roman" w:eastAsia="黑体" w:hAnsi="Times New Roman"/>
          <w:color w:val="000000"/>
          <w:sz w:val="21"/>
          <w:szCs w:val="21"/>
        </w:rPr>
        <w:t xml:space="preserve">1.1　试验地概况</w:t>
      </w:r>
    </w:p>
    <w:p>
      <w:pPr>
        <w:spacing w:after="0" w:before="0" w:line="36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，前茬为冬闲田。土壤类型为沙壤土，pH 6.1，耕层土壤有机质含量</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g/kg、碱解氮</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mg/kg、有效磷</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mg/kg、速效钾</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w:t>
      </w:r>
    </w:p>
    <w:p>
      <w:pPr>
        <w:keepNext/>
        <w:spacing w:after="40" w:before="100" w:line="360" w:lineRule="auto"/>
        <w:ind/>
        <w:jc w:val="left"/>
      </w:pPr>
      <w:r>
        <w:rPr>
          <w:rFonts w:ascii="Times New Roman" w:cs="Times New Roman" w:eastAsia="黑体" w:hAnsi="Times New Roman"/>
          <w:color w:val="000000"/>
          <w:sz w:val="21"/>
          <w:szCs w:val="21"/>
        </w:rPr>
        <w:t xml:space="preserve">1.2　供试材料</w:t>
      </w:r>
    </w:p>
    <w:p>
      <w:pPr>
        <w:spacing w:after="0" w:before="0" w:line="36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60" w:lineRule="auto"/>
        <w:ind/>
        <w:jc w:val="left"/>
      </w:pPr>
      <w:r>
        <w:rPr>
          <w:rFonts w:ascii="Times New Roman" w:cs="Times New Roman" w:eastAsia="黑体" w:hAnsi="Times New Roman"/>
          <w:color w:val="000000"/>
          <w:sz w:val="21"/>
          <w:szCs w:val="21"/>
        </w:rPr>
        <w:t xml:space="preserve">1.3　试验设计</w:t>
      </w:r>
    </w:p>
    <w:p>
      <w:pPr>
        <w:spacing w:after="0" w:before="0" w:line="360" w:lineRule="auto"/>
        <w:ind w:firstLine="420"/>
        <w:jc w:val="both"/>
      </w:pPr>
      <w:r>
        <w:rPr>
          <w:rFonts w:ascii="Times New Roman" w:cs="Times New Roman" w:eastAsia="宋体" w:hAnsi="Times New Roman"/>
          <w:color w:val="000000"/>
          <w:sz w:val="21"/>
          <w:szCs w:val="21"/>
        </w:rPr>
        <w:t xml:space="preserve">试验采用农业部《测土配方施肥技术规范》推荐的“3414”完全试验设计方案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O）3个因素，每个因素设4个水平，共14个处理。其中，0水平为不施该种肥料；2水平为根据当地土壤养分状况和水稻需肥规律确定的推荐施肥量，即N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m），14个小区分两排排列，随机排列，不设重复。小区间人工筑埂分隔，田埂宽30 cm、高30 cm，并用塑料薄膜包裹，防止肥水串渗；试验区四周设置保护行和排灌沟，各小区单排单灌。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1114"/>
        <w:gridCol w:w="1316"/>
        <w:gridCol w:w="810"/>
        <w:gridCol w:w="810"/>
        <w:gridCol w:w="810"/>
        <w:gridCol w:w="1215"/>
        <w:gridCol w:w="1215"/>
        <w:gridCol w:w="1215"/>
      </w:tblGrid>
      <w:tr>
        <w:trPr>
          <w:cantSplit/>
          <w:tblHeader/>
        </w:trPr>
        <w:tc>
          <w:tcPr>
            <w:tcW w:type="dxa" w:w="1114"/>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316"/>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430"/>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64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3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color w:val="000000"/>
          <w:sz w:val="21"/>
          <w:szCs w:val="21"/>
        </w:rPr>
        <w:t xml:space="preserve">1.4　田间管理</w:t>
      </w:r>
    </w:p>
    <w:p>
      <w:pPr>
        <w:spacing w:after="0" w:before="0" w:line="36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分3次施用，磷肥全部作基肥一次性施用，钾肥按基肥∶穗肥=60%∶40%分2次施用；基肥于6月6日移栽前撒施，分蘖肥于6月13日撒施，穗肥于8月10日撒施。7月18日和8月23日分别用药防治二化螟、稻纵卷叶螟、稻飞虱、纹枯病、稻瘟病和稻曲病，各小区病虫害防治、水分管理等其他措施均与当地常规栽培一致。10月9日各小区分别测产收获。</w:t>
      </w:r>
    </w:p>
    <w:p>
      <w:pPr>
        <w:keepNext/>
        <w:spacing w:after="40" w:before="100" w:line="360" w:lineRule="auto"/>
        <w:ind/>
        <w:jc w:val="left"/>
      </w:pPr>
      <w:r>
        <w:rPr>
          <w:rFonts w:ascii="Times New Roman" w:cs="Times New Roman" w:eastAsia="黑体" w:hAnsi="Times New Roman"/>
          <w:color w:val="000000"/>
          <w:sz w:val="21"/>
          <w:szCs w:val="21"/>
        </w:rPr>
        <w:t xml:space="preserve">1.5　测定项目与方法</w:t>
      </w:r>
    </w:p>
    <w:p>
      <w:pPr>
        <w:spacing w:after="0" w:before="0" w:line="360" w:lineRule="auto"/>
        <w:ind w:firstLine="420"/>
        <w:jc w:val="both"/>
      </w:pPr>
      <w:r>
        <w:rPr>
          <w:rFonts w:ascii="Times New Roman" w:cs="Times New Roman" w:eastAsia="宋体" w:hAnsi="Times New Roman"/>
          <w:color w:val="000000"/>
          <w:sz w:val="21"/>
          <w:szCs w:val="21"/>
        </w:rPr>
        <w:t xml:space="preserve">成熟期每小区选取有代表性的植株10株进行室内考种，测定株高、穗长、有效穗数、每穗总粒数、每穗实粒数、结实率和千粒重；各小区单独收获、脱粒、晒干后称重，折算成单位面积产量（kg/hm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40" w:before="100" w:line="360" w:lineRule="auto"/>
        <w:ind/>
        <w:jc w:val="left"/>
      </w:pPr>
      <w:r>
        <w:rPr>
          <w:rFonts w:ascii="Times New Roman" w:cs="Times New Roman" w:eastAsia="黑体" w:hAnsi="Times New Roman"/>
          <w:color w:val="000000"/>
          <w:sz w:val="21"/>
          <w:szCs w:val="21"/>
        </w:rPr>
        <w:t xml:space="preserve">1.6　数据处理</w:t>
      </w:r>
    </w:p>
    <w:p>
      <w:pPr>
        <w:spacing w:after="0" w:before="0" w:line="36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3.12（NumPy、SciPy）进行回归拟合和相关分析。</w:t>
      </w:r>
    </w:p>
    <w:p>
      <w:pPr>
        <w:spacing w:after="0" w:before="0" w:line="36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[5,20]</w:t>
      </w:r>
      <w:r>
        <w:rPr>
          <w:rFonts w:ascii="Times New Roman" w:cs="Times New Roman" w:eastAsia="宋体" w:hAnsi="Times New Roman"/>
          <w:color w:val="000000"/>
          <w:sz w:val="21"/>
          <w:szCs w:val="21"/>
        </w:rPr>
        <w:t xml:space="preserve">。土壤养分丰缺等级按缺素区相对产量划分：&lt;50%为“极低”，50%～75%为“低”，75%～95%为“中”，&gt;95%为“高”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[7,8,21]</w:t>
      </w:r>
      <w:r>
        <w:rPr>
          <w:rFonts w:ascii="Times New Roman" w:cs="Times New Roman" w:eastAsia="宋体" w:hAnsi="Times New Roman"/>
          <w:color w:val="000000"/>
          <w:sz w:val="21"/>
          <w:szCs w:val="21"/>
        </w:rPr>
        <w:t xml:space="preserve">，其中一元二次方程分别以处理2、3、6、11（氮）、处理4、5、6、7（磷）和处理8、9、6、10（钾）的产量拟合；最高产量施肥量由方程一阶偏导数为0求得，最佳经济施肥量按边际产值等于边际肥料成本的原则求得。</w:t>
      </w:r>
    </w:p>
    <w:p>
      <w:pPr>
        <w:spacing w:after="0" w:before="0" w:line="360" w:lineRule="auto"/>
        <w:ind w:firstLine="420"/>
        <w:jc w:val="both"/>
      </w:pPr>
      <w:r>
        <w:rPr>
          <w:rFonts w:ascii="Times New Roman" w:cs="Times New Roman" w:eastAsia="宋体" w:hAnsi="Times New Roman"/>
          <w:color w:val="000000"/>
          <w:sz w:val="21"/>
          <w:szCs w:val="21"/>
        </w:rPr>
        <w:t xml:space="preserve">经济效益分析中，肥料价格按试验当年当地市场价计：尿素2.10元/kg、颗粒过磷酸钙0.80元/kg、氯化钾3.20元/kg，折合纯N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价格按2025年国家中晚籼稻最低收购价2.58元/kg计。产值=产量×稻谷价格；纯收益=产值－肥料成本；增产值=（施肥处理产量－无肥区产量）×稻谷价格；增收=增产值－肥料成本；产投比=增产值/肥料成本。</w:t>
      </w:r>
    </w:p>
    <w:p>
      <w:pPr>
        <w:keepNext/>
        <w:spacing w:after="80" w:before="160" w:line="360" w:lineRule="auto"/>
        <w:ind/>
        <w:jc w:val="left"/>
      </w:pPr>
      <w:r>
        <w:rPr>
          <w:rFonts w:ascii="Times New Roman" w:cs="Times New Roman" w:eastAsia="黑体" w:hAnsi="Times New Roman"/>
          <w:color w:val="000000"/>
          <w:sz w:val="24"/>
          <w:szCs w:val="24"/>
        </w:rPr>
        <w:t xml:space="preserve">2　结果与分析</w:t>
      </w:r>
    </w:p>
    <w:p>
      <w:pPr>
        <w:keepNext/>
        <w:spacing w:after="40" w:before="100" w:line="360" w:lineRule="auto"/>
        <w:ind/>
        <w:jc w:val="left"/>
      </w:pPr>
      <w:r>
        <w:rPr>
          <w:rFonts w:ascii="Times New Roman" w:cs="Times New Roman" w:eastAsia="黑体" w:hAnsi="Times New Roman"/>
          <w:color w:val="000000"/>
          <w:sz w:val="21"/>
          <w:szCs w:val="21"/>
        </w:rPr>
        <w:t xml:space="preserve">2.1　不同施肥处理对水稻经济性状的影响</w:t>
      </w:r>
    </w:p>
    <w:p>
      <w:pPr>
        <w:spacing w:after="0" w:before="0" w:line="360" w:lineRule="auto"/>
        <w:ind w:firstLine="420"/>
        <w:jc w:val="both"/>
      </w:pPr>
      <w:r>
        <w:rPr>
          <w:rFonts w:ascii="Times New Roman" w:cs="Times New Roman" w:eastAsia="宋体" w:hAnsi="Times New Roman"/>
          <w:color w:val="000000"/>
          <w:sz w:val="21"/>
          <w:szCs w:val="21"/>
        </w:rPr>
        <w:t xml:space="preserve">由表2可知，各处理水稻株高为115.2～120.7 cm，穗长23.8～25.8 cm，有效穗208.5万～286.5万/hm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，每穗总粒数187.5～208.9粒，每穗实粒数161.3～183.1粒，结实率80.5%～87.6%，千粒重23.1～23.8 g。无肥区（处理1）各项性状均处于最低水平，说明施肥对水稻生长发育和产量构成因素的形成具有明显的促进作用。</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，株高由116.1 cm增至120.7 cm，穗长由23.9 cm增至25.8 cm，有效穗由210.0万/hm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，每穗总粒数由189.7粒增至202.5粒，表明增施氮肥能明显扩大群体、增加穗数和穗粒数；但结实率由87.0%降至80.5%，千粒重在N2水平达到最高（23.5 g）后降至23.1 g，其中处理11（N3）的结实率为各处理最低，说明施氮量超过270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后群体过大，导致结实率和千粒重下降。</w:t>
      </w:r>
    </w:p>
    <w:p>
      <w:pPr>
        <w:spacing w:after="0" w:before="0" w:line="360" w:lineRule="auto"/>
        <w:ind w:firstLine="420"/>
        <w:jc w:val="both"/>
      </w:pPr>
      <w:r>
        <w:rPr>
          <w:rFonts w:ascii="Times New Roman" w:cs="Times New Roman" w:eastAsia="宋体" w:hAnsi="Times New Roman"/>
          <w:color w:val="000000"/>
          <w:sz w:val="21"/>
          <w:szCs w:val="21"/>
        </w:rPr>
        <w:t xml:space="preserve">在氮、钾肥均为2水平的条件下，随施磷量由0增至270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，有效穗由244.5万/hm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，每穗实粒数由164.6粒增至176.7粒，千粒重由23.1 g增至23.6 g，均呈增加趋势；在氮、磷肥均为2水平的条件下，随施钾量由0增至337.5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，结实率由84.2%提高到87.6%，千粒重由23.1 g增至23.8 g，说明钾肥主要通过提高结实率和千粒重实现增产。相关分析表明，产量与每穗总粒数（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=0.748）均呈极显著正相关（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&lt;0.01），与千粒重呈正相关但未达显著水平（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=0.058），与结实率相关不显著（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=－0.126）。因此，在本试验条件下，有效穗数和每穗粒数是决定产量的主要因素。</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773"/>
        <w:gridCol w:w="967"/>
        <w:gridCol w:w="967"/>
        <w:gridCol w:w="1353"/>
        <w:gridCol w:w="1257"/>
        <w:gridCol w:w="1257"/>
        <w:gridCol w:w="967"/>
        <w:gridCol w:w="967"/>
      </w:tblGrid>
      <w:tr>
        <w:trPr>
          <w:cantSplit/>
          <w:tblHeader/>
        </w:trPr>
        <w:tc>
          <w:tcPr>
            <w:tcW w:type="dxa" w:w="7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35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有效穗/(万/hm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color w:val="000000"/>
          <w:sz w:val="21"/>
          <w:szCs w:val="21"/>
        </w:rPr>
        <w:t xml:space="preserve">2.2　不同施肥处理对水稻产量的影响</w:t>
      </w:r>
    </w:p>
    <w:p>
      <w:pPr>
        <w:spacing w:after="0" w:before="0" w:line="360" w:lineRule="auto"/>
        <w:ind w:firstLine="420"/>
        <w:jc w:val="both"/>
      </w:pPr>
      <w:r>
        <w:rPr>
          <w:rFonts w:ascii="Times New Roman" w:cs="Times New Roman" w:eastAsia="宋体" w:hAnsi="Times New Roman"/>
          <w:color w:val="000000"/>
          <w:sz w:val="21"/>
          <w:szCs w:val="21"/>
        </w:rPr>
        <w:t xml:space="preserve">由表3可知，各处理产量为6600.0～10200.0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）最高，达10200.0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，较无肥区（处理1）增产3600.0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）、处理9（N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1</w:t>
      </w:r>
      <w:r>
        <w:rPr>
          <w:rFonts w:ascii="Times New Roman" w:cs="Times New Roman" w:eastAsia="宋体" w:hAnsi="Times New Roman"/>
          <w:color w:val="000000"/>
          <w:sz w:val="21"/>
          <w:szCs w:val="21"/>
        </w:rPr>
        <w:t xml:space="preserve">）和处理6（N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），分别较无肥区增产46.0%、40.4%和39.4%；无肥区产量最低。缺氮区（处理2）产量仅6833.3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，较无肥区仅增产3.5%，远低于缺磷区（处理4，增产19.2%）和缺钾区（处理8，增产32.3%），说明氮素是限制该试验田水稻产量的首要因子，磷次之，钾的限制作用相对较小。</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在磷、钾肥均为2水平的条件下，N0、N1、N2、N3处理的产量分别为6833.3、7600.0、9200.0和9166.7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，N2较N1增产21.1%，而N3较N2减产0.4%，表明施氮量达到270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后产量趋于平台，继续增施氮肥不再增产。在氮、钾肥均为2水平的条件下，P0～P3处理的产量分别为7866.7、8366.7、9200.0和9633.3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，随施磷量增加而持续增加，P3较P2增产4.7%。在氮、磷肥均为2水平的条件下，K0～K3处理的产量分别为8733.3、9266.7、9200.0和10200.0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，总体呈上升趋势，K3较K2增产10.9%，但K1与K2产量接近，可能与试验未设重复、存在田间误差有关。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884"/>
        <w:gridCol w:w="1215"/>
        <w:gridCol w:w="1215"/>
        <w:gridCol w:w="1547"/>
        <w:gridCol w:w="1657"/>
        <w:gridCol w:w="1105"/>
        <w:gridCol w:w="884"/>
      </w:tblGrid>
      <w:tr>
        <w:trPr>
          <w:cantSplit/>
          <w:tblHeader/>
        </w:trPr>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小区产量/kg</w:t>
            </w:r>
          </w:p>
        </w:tc>
        <w:tc>
          <w:tcPr>
            <w:tcW w:type="dxa" w:w="15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比CK增产/(kg/hm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0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26.2</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r>
      <w:tr>
        <w:trPr>
          <w:cantSplit/>
          <w:tblHeader w:val="false"/>
        </w:trPr>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5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6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1666.7</w:t>
            </w:r>
          </w:p>
        </w:tc>
        <w:tc>
          <w:tcPr>
            <w:tcW w:type="dxa" w:w="110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r>
    </w:tbl>
    <w:p>
      <w:pPr>
        <w:spacing w:after="160" w:before="40" w:line="240" w:lineRule="auto"/>
        <w:ind/>
        <w:jc w:val="left"/>
      </w:pPr>
      <w:r>
        <w:rPr>
          <w:rFonts w:ascii="Times New Roman" w:cs="Times New Roman" w:eastAsia="宋体" w:hAnsi="Times New Roman"/>
          <w:color w:val="000000"/>
          <w:sz w:val="18"/>
          <w:szCs w:val="18"/>
        </w:rPr>
        <w:t xml:space="preserve">注：CK为处理1（无肥区）。</w:t>
      </w:r>
    </w:p>
    <w:p>
      <w:pPr>
        <w:keepNext/>
        <w:spacing w:after="40" w:before="100" w:line="360" w:lineRule="auto"/>
        <w:ind/>
        <w:jc w:val="left"/>
      </w:pPr>
      <w:r>
        <w:rPr>
          <w:rFonts w:ascii="Times New Roman" w:cs="Times New Roman" w:eastAsia="黑体" w:hAnsi="Times New Roman"/>
          <w:color w:val="000000"/>
          <w:sz w:val="21"/>
          <w:szCs w:val="21"/>
        </w:rPr>
        <w:t xml:space="preserve">2.3　土壤养分丰缺状况与肥料贡献率</w:t>
      </w:r>
    </w:p>
    <w:p>
      <w:pPr>
        <w:spacing w:after="0" w:before="0" w:line="36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缺素区相对产量、土壤养分丰缺等级与肥料贡献率</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1816"/>
        <w:gridCol w:w="1242"/>
        <w:gridCol w:w="1051"/>
        <w:gridCol w:w="1147"/>
        <w:gridCol w:w="1338"/>
        <w:gridCol w:w="1338"/>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8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28.3</w:t>
            </w:r>
            <w:r>
              <w:rPr>
                <w:rFonts w:ascii="Times New Roman" w:cs="Times New Roman" w:eastAsia="宋体" w:hAnsi="Times New Roman"/>
                <w:color w:val="000000"/>
                <w:sz w:val="18"/>
                <w:szCs w:val="18"/>
                <w:vertAlign w:val="superscript"/>
              </w:rPr>
              <w:t xml:space="preserve">a</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8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05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w:t>
      </w:r>
      <w:r>
        <w:rPr>
          <w:rFonts w:ascii="Times New Roman" w:cs="Times New Roman" w:eastAsia="宋体" w:hAnsi="Times New Roman"/>
          <w:color w:val="000000"/>
          <w:sz w:val="18"/>
          <w:szCs w:val="18"/>
          <w:vertAlign w:val="superscript"/>
        </w:rPr>
        <w:t xml:space="preserve">a</w:t>
      </w:r>
      <w:r>
        <w:rPr>
          <w:rFonts w:ascii="Times New Roman" w:cs="Times New Roman" w:eastAsia="宋体" w:hAnsi="Times New Roman"/>
          <w:color w:val="000000"/>
          <w:sz w:val="18"/>
          <w:szCs w:val="18"/>
        </w:rPr>
        <w:t xml:space="preserve">为全肥区较无肥区的增产幅度占全肥区产量的比例，即氮磷钾肥总贡献率。</w:t>
      </w:r>
    </w:p>
    <w:p>
      <w:pPr>
        <w:keepNext/>
        <w:spacing w:after="40" w:before="100" w:line="360" w:lineRule="auto"/>
        <w:ind/>
        <w:jc w:val="left"/>
      </w:pPr>
      <w:r>
        <w:rPr>
          <w:rFonts w:ascii="Times New Roman" w:cs="Times New Roman" w:eastAsia="黑体" w:hAnsi="Times New Roman"/>
          <w:color w:val="000000"/>
          <w:sz w:val="21"/>
          <w:szCs w:val="21"/>
        </w:rPr>
        <w:t xml:space="preserve">2.4　肥料效应方程拟合与推荐施肥量</w:t>
      </w:r>
    </w:p>
    <w:p>
      <w:pPr>
        <w:keepNext/>
        <w:spacing w:after="20" w:before="60" w:line="360" w:lineRule="auto"/>
        <w:ind/>
        <w:jc w:val="left"/>
      </w:pPr>
      <w:r>
        <w:rPr>
          <w:rFonts w:ascii="Times New Roman" w:cs="Times New Roman" w:eastAsia="楷体" w:hAnsi="Times New Roman"/>
          <w:b/>
          <w:bCs/>
          <w:color w:val="000000"/>
          <w:sz w:val="21"/>
          <w:szCs w:val="21"/>
        </w:rPr>
        <w:t xml:space="preserve">2.4.1　三元二次肥料效应方程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6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6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60" w:lineRule="auto"/>
        <w:ind w:firstLine="420"/>
        <w:jc w:val="both"/>
      </w:pPr>
      <w:r>
        <w:rPr>
          <w:rFonts w:ascii="Times New Roman" w:cs="Times New Roman" w:eastAsia="宋体" w:hAnsi="Times New Roman"/>
          <w:color w:val="000000"/>
          <w:sz w:val="21"/>
          <w:szCs w:val="21"/>
        </w:rPr>
        <w:t xml:space="preserve">该方程决定系数较高（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=0.9366），回归关系达显著水平（</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=0.043），但K的一次项系数为负、二次项系数为正，不符合肥料效应报酬递减规律；方程的驻点（N 671.4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）远超试验设计范围，且二阶偏导数矩阵的特征值有正有负，驻点为鞍点而非极大值点，故该方程未通过典型性检验，不能直接用于推荐施肥量的计算</w:t>
      </w:r>
      <w:r>
        <w:rPr>
          <w:rFonts w:ascii="Times New Roman" w:cs="Times New Roman" w:eastAsia="宋体" w:hAnsi="Times New Roman"/>
          <w:color w:val="000000"/>
          <w:sz w:val="21"/>
          <w:szCs w:val="21"/>
          <w:vertAlign w:val="superscript"/>
        </w:rPr>
        <w:t xml:space="preserve">[7,21]</w:t>
      </w:r>
      <w:r>
        <w:rPr>
          <w:rFonts w:ascii="Times New Roman" w:cs="Times New Roman" w:eastAsia="宋体" w:hAnsi="Times New Roman"/>
          <w:color w:val="000000"/>
          <w:sz w:val="21"/>
          <w:szCs w:val="21"/>
        </w:rPr>
        <w:t xml:space="preserve">。这与本试验磷、钾肥效应在试验范围内未出现拐点以及试验未设重复有关。</w:t>
      </w:r>
    </w:p>
    <w:p>
      <w:pPr>
        <w:keepNext/>
        <w:spacing w:after="20" w:before="60" w:line="360" w:lineRule="auto"/>
        <w:ind/>
        <w:jc w:val="left"/>
      </w:pPr>
      <w:r>
        <w:rPr>
          <w:rFonts w:ascii="Times New Roman" w:cs="Times New Roman" w:eastAsia="楷体" w:hAnsi="Times New Roman"/>
          <w:b/>
          <w:bCs/>
          <w:color w:val="000000"/>
          <w:sz w:val="21"/>
          <w:szCs w:val="21"/>
        </w:rPr>
        <w:t xml:space="preserve">2.4.2　单因素肥料效应方程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分别拟合氮、磷、钾的一元二次效应方程（表5、图1）。氮肥效应方程</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=0.9269）符合报酬递减规律，属典型方程，但由其计算的最高产量施氮量为492.7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，超出了试验设计范围，这是由于产量在N2与N3水平之间已趋于平台，而一元二次方程的曲率较小所致；采用线性加平台模型拟合得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&lt;282.0），平台产量9166.5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，拐点施氮量282.0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，拟合度更高（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=0.9722），表明该试验条件下水稻的适宜施氮量为270～282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。磷肥效应方程</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=0.9859）的二次项系数接近于0，产量在0～270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=0.8773）的二次项系数为正，属非典型方程；以线性方程拟合（</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=0.9106），产量随施钾量增加总体呈上升趋势，但未达显著水平（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=0.089）。</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627"/>
        <w:gridCol w:w="895"/>
        <w:gridCol w:w="3223"/>
        <w:gridCol w:w="716"/>
        <w:gridCol w:w="716"/>
        <w:gridCol w:w="1254"/>
        <w:gridCol w:w="1074"/>
      </w:tblGrid>
      <w:tr>
        <w:trPr>
          <w:cantSplit/>
          <w:tblHeader/>
        </w:trPr>
        <w:tc>
          <w:tcPr>
            <w:tcW w:type="dxa" w:w="62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9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322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7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7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25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7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322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25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p>
        </w:tc>
      </w:tr>
      <w:tr>
        <w:trPr>
          <w:cantSplit/>
          <w:tblHeader w:val="false"/>
        </w:trPr>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322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25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322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25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322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25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322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25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322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7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7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25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）；“—”表示无实际意义或不适用。　</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超出试验设计范围。</w:t>
      </w:r>
    </w:p>
    <w:p>
      <w:pPr>
        <w:keepNext/>
        <w:spacing w:after="40" w:before="120"/>
        <w:jc w:val="center"/>
      </w:pPr>
      <w:r>
        <w:drawing>
          <wp:inline distT="0" distB="0" distL="0" distR="0">
            <wp:extent cx="6115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2288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60" w:lineRule="auto"/>
        <w:ind/>
        <w:jc w:val="left"/>
      </w:pPr>
      <w:r>
        <w:rPr>
          <w:rFonts w:ascii="Times New Roman" w:cs="Times New Roman" w:eastAsia="楷体" w:hAnsi="Times New Roman"/>
          <w:b/>
          <w:bCs/>
          <w:color w:val="000000"/>
          <w:sz w:val="21"/>
          <w:szCs w:val="21"/>
        </w:rPr>
        <w:t xml:space="preserve">2.4.3　边际效益分析与推荐施肥量</w:t>
      </w:r>
    </w:p>
    <w:p>
      <w:pPr>
        <w:spacing w:after="0" w:before="0" w:line="360" w:lineRule="auto"/>
        <w:ind w:firstLine="420"/>
        <w:jc w:val="both"/>
      </w:pPr>
      <w:r>
        <w:rPr>
          <w:rFonts w:ascii="Times New Roman" w:cs="Times New Roman" w:eastAsia="宋体" w:hAnsi="Times New Roman"/>
          <w:color w:val="000000"/>
          <w:sz w:val="21"/>
          <w:szCs w:val="21"/>
        </w:rPr>
        <w:t xml:space="preserve">由于磷、钾肥效应方程无法直接求得最佳经济施肥量，进一步采用边际分析法比较相邻施肥水平间的边际效益（表6）。氮肥由N0增至N1、由N1增至N2时，边际产投比分别为3.23和6.74，而由N2增至N3时边际产量为负值，说明施氮量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由P0至P1、P1至P2、P2至P3的边际产投比分别为2.15、3.58和1.86，均大于1，在试验范围内增施磷肥仍有增收效果，但由P2至P3的边际效益已明显下降。钾肥由K0至K1和由K2至K3的边际产投比分别为2.29和4.30，由K1至K2出现负值，总体上增施钾肥经济效益较好。综合单因素效应方程、边际效益分析和土壤养分丰缺状况，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，其中以处理10的配比（N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）产量和效益最佳；磷、钾肥用量的适宜上限有待多点多年试验进一步验证。</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958"/>
        <w:gridCol w:w="1438"/>
        <w:gridCol w:w="1557"/>
        <w:gridCol w:w="1557"/>
        <w:gridCol w:w="1797"/>
        <w:gridCol w:w="1198"/>
      </w:tblGrid>
      <w:tr>
        <w:trPr>
          <w:cantSplit/>
          <w:tblHeader/>
        </w:trPr>
        <w:tc>
          <w:tcPr>
            <w:tcW w:type="dxa" w:w="95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4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79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9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95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79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60" w:lineRule="auto"/>
        <w:ind/>
        <w:jc w:val="left"/>
      </w:pPr>
      <w:r>
        <w:rPr>
          <w:rFonts w:ascii="Times New Roman" w:cs="Times New Roman" w:eastAsia="黑体" w:hAnsi="Times New Roman"/>
          <w:color w:val="000000"/>
          <w:sz w:val="21"/>
          <w:szCs w:val="21"/>
        </w:rPr>
        <w:t xml:space="preserve">2.5　不同施肥处理的经济效益</w:t>
      </w:r>
    </w:p>
    <w:p>
      <w:pPr>
        <w:spacing w:after="0" w:before="0" w:line="360" w:lineRule="auto"/>
        <w:ind w:firstLine="420"/>
        <w:jc w:val="both"/>
      </w:pPr>
      <w:r>
        <w:rPr>
          <w:rFonts w:ascii="Times New Roman" w:cs="Times New Roman" w:eastAsia="宋体" w:hAnsi="Times New Roman"/>
          <w:color w:val="000000"/>
          <w:sz w:val="21"/>
          <w:szCs w:val="21"/>
        </w:rPr>
        <w:t xml:space="preserve">由表7可知，各处理产值为17028.0～26316.0元/hm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，肥料成本为0～4236.9元/hm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，纯收益为15230.0～22091.4元/hm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。纯收益以处理10最高，达22091.4元/hm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）。缺氮区（处理2）和低氮处理（处理3）的增产值不足以抵消肥料成本，增收分别为－1798.0和－432.3元/hm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供应不足时磷、钾肥的投入难以发挥效益。产投比以处理8和处理9最高（均为2.27），处理10次之（2.20），处理11因氮肥用量过大、产量下降，产投比仅1.56。综合产量、纯收益和产投比，处理10为本试验的最佳施肥处理，处理9（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）则是投入较低、效益较好的经济型施肥方案。</w:t>
      </w:r>
    </w:p>
    <w:p>
      <w:pPr>
        <w:keepNext/>
        <w:spacing w:after="60" w:before="120" w:line="240" w:lineRule="auto"/>
        <w:ind/>
        <w:jc w:val="center"/>
      </w:pPr>
      <w:r>
        <w:rPr>
          <w:rFonts w:ascii="Times New Roman" w:cs="Times New Roman" w:eastAsia="黑体" w:hAnsi="Times New Roman"/>
          <w:color w:val="000000"/>
          <w:sz w:val="18"/>
          <w:szCs w:val="18"/>
        </w:rPr>
        <w:t xml:space="preserve">表7　不同施肥处理水稻经济效益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669"/>
        <w:gridCol w:w="1147"/>
        <w:gridCol w:w="1147"/>
        <w:gridCol w:w="1242"/>
        <w:gridCol w:w="1147"/>
        <w:gridCol w:w="1147"/>
        <w:gridCol w:w="1147"/>
        <w:gridCol w:w="860"/>
      </w:tblGrid>
      <w:tr>
        <w:trPr>
          <w:cantSplit/>
          <w:tblHeader/>
        </w:trPr>
        <w:tc>
          <w:tcPr>
            <w:tcW w:type="dxa" w:w="66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纯收益/(元/hm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增收/(元/hm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－1798.0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－432.3</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3268.0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4558.0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1533.4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6708.0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3083.4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3601.4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5504.0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3079.4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3855.4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9288.0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5063.4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6622.0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2385.1</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1113.7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4214.0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1801.7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6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1875.4</w:t>
            </w:r>
          </w:p>
        </w:tc>
        <w:tc>
          <w:tcPr>
            <w:tcW w:type="dxa" w:w="8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注：增产值=（各处理产量－处理1产量）×稻谷价格；增收=增产值－肥料成本；产投比=增产值/肥料成本。</w:t>
      </w:r>
    </w:p>
    <w:p>
      <w:pPr>
        <w:keepNext/>
        <w:spacing w:after="80" w:before="160" w:line="360" w:lineRule="auto"/>
        <w:ind/>
        <w:jc w:val="left"/>
      </w:pPr>
      <w:r>
        <w:rPr>
          <w:rFonts w:ascii="Times New Roman" w:cs="Times New Roman" w:eastAsia="黑体" w:hAnsi="Times New Roman"/>
          <w:color w:val="000000"/>
          <w:sz w:val="24"/>
          <w:szCs w:val="24"/>
        </w:rPr>
        <w:t xml:space="preserve">3　讨论</w:t>
      </w:r>
    </w:p>
    <w:p>
      <w:pPr>
        <w:spacing w:after="0" w:before="0" w:line="360" w:lineRule="auto"/>
        <w:ind w:firstLine="420"/>
        <w:jc w:val="both"/>
      </w:pPr>
      <w:r>
        <w:rPr>
          <w:rFonts w:ascii="Times New Roman" w:cs="Times New Roman" w:eastAsia="宋体" w:hAnsi="Times New Roman"/>
          <w:color w:val="000000"/>
          <w:sz w:val="21"/>
          <w:szCs w:val="21"/>
        </w:rPr>
        <w:t xml:space="preserve">本试验中缺氮区相对产量为74.3%，氮肥贡献率达25.7%，氮肥的增产作用远大于磷、钾肥，这与安徽潜山</w:t>
      </w:r>
      <w:r>
        <w:rPr>
          <w:rFonts w:ascii="Times New Roman" w:cs="Times New Roman" w:eastAsia="宋体" w:hAnsi="Times New Roman"/>
          <w:color w:val="000000"/>
          <w:sz w:val="21"/>
          <w:szCs w:val="21"/>
          <w:vertAlign w:val="superscript"/>
        </w:rPr>
        <w:t xml:space="preserve">[15]</w:t>
      </w:r>
      <w:r>
        <w:rPr>
          <w:rFonts w:ascii="Times New Roman" w:cs="Times New Roman" w:eastAsia="宋体" w:hAnsi="Times New Roman"/>
          <w:color w:val="000000"/>
          <w:sz w:val="21"/>
          <w:szCs w:val="21"/>
        </w:rPr>
        <w:t xml:space="preserve">、旌德</w:t>
      </w:r>
      <w:r>
        <w:rPr>
          <w:rFonts w:ascii="Times New Roman" w:cs="Times New Roman" w:eastAsia="宋体" w:hAnsi="Times New Roman"/>
          <w:color w:val="000000"/>
          <w:sz w:val="21"/>
          <w:szCs w:val="21"/>
          <w:vertAlign w:val="superscript"/>
        </w:rPr>
        <w:t xml:space="preserve">[16]</w:t>
      </w:r>
      <w:r>
        <w:rPr>
          <w:rFonts w:ascii="Times New Roman" w:cs="Times New Roman" w:eastAsia="宋体" w:hAnsi="Times New Roman"/>
          <w:color w:val="000000"/>
          <w:sz w:val="21"/>
          <w:szCs w:val="21"/>
        </w:rPr>
        <w:t xml:space="preserve">以及其他稻区</w:t>
      </w:r>
      <w:r>
        <w:rPr>
          <w:rFonts w:ascii="Times New Roman" w:cs="Times New Roman" w:eastAsia="宋体" w:hAnsi="Times New Roman"/>
          <w:color w:val="000000"/>
          <w:sz w:val="21"/>
          <w:szCs w:val="21"/>
          <w:vertAlign w:val="superscript"/>
        </w:rPr>
        <w:t xml:space="preserve">[9,14]</w:t>
      </w:r>
      <w:r>
        <w:rPr>
          <w:rFonts w:ascii="Times New Roman" w:cs="Times New Roman" w:eastAsia="宋体" w:hAnsi="Times New Roman"/>
          <w:color w:val="000000"/>
          <w:sz w:val="21"/>
          <w:szCs w:val="21"/>
        </w:rPr>
        <w:t xml:space="preserve">的“3414”试验结果一致，说明氮素是长江中下游单季稻产量形成的首要限制因子。随施氮量增加，水稻有效穗数和每穗粒数增加，但当施氮量超过270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后，结实率和千粒重明显下降，产量不再增加，这与前人关于过量施氮导致群体过大、成穗质量下降和结实率降低的研究结果相符</w:t>
      </w:r>
      <w:r>
        <w:rPr>
          <w:rFonts w:ascii="Times New Roman" w:cs="Times New Roman" w:eastAsia="宋体" w:hAnsi="Times New Roman"/>
          <w:color w:val="000000"/>
          <w:sz w:val="21"/>
          <w:szCs w:val="21"/>
          <w:vertAlign w:val="superscript"/>
        </w:rPr>
        <w:t xml:space="preserve">[22,23]</w:t>
      </w:r>
      <w:r>
        <w:rPr>
          <w:rFonts w:ascii="Times New Roman" w:cs="Times New Roman" w:eastAsia="宋体" w:hAnsi="Times New Roman"/>
          <w:color w:val="000000"/>
          <w:sz w:val="21"/>
          <w:szCs w:val="21"/>
        </w:rPr>
        <w:t xml:space="preserve">。因此，生产上应将氮肥总量控制在270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左右，并通过氮肥后移等运筹措施进一步提高氮肥利用率</w:t>
      </w:r>
      <w:r>
        <w:rPr>
          <w:rFonts w:ascii="Times New Roman" w:cs="Times New Roman" w:eastAsia="宋体" w:hAnsi="Times New Roman"/>
          <w:color w:val="000000"/>
          <w:sz w:val="21"/>
          <w:szCs w:val="21"/>
          <w:vertAlign w:val="superscript"/>
        </w:rPr>
        <w:t xml:space="preserve">[6,23]</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“3414”试验三元二次方程拟合失败或出现非典型方程的情况在生产性试验中较为常见</w:t>
      </w:r>
      <w:r>
        <w:rPr>
          <w:rFonts w:ascii="Times New Roman" w:cs="Times New Roman" w:eastAsia="宋体" w:hAnsi="Times New Roman"/>
          <w:color w:val="000000"/>
          <w:sz w:val="21"/>
          <w:szCs w:val="21"/>
          <w:vertAlign w:val="superscript"/>
        </w:rPr>
        <w:t xml:space="preserve">[7,21,24]</w:t>
      </w:r>
      <w:r>
        <w:rPr>
          <w:rFonts w:ascii="Times New Roman" w:cs="Times New Roman" w:eastAsia="宋体" w:hAnsi="Times New Roman"/>
          <w:color w:val="000000"/>
          <w:sz w:val="21"/>
          <w:szCs w:val="21"/>
        </w:rPr>
        <w:t xml:space="preserve">。本试验三元二次方程虽然</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较高，但因磷、钾肥效应在设计范围内未出现拐点，方程的驻点落在试验范围之外，不能用于推荐施肥。在这种情况下，将一元二次方程、线性加平台模型和边际分析等方法相结合确定推荐施肥量更为稳妥</w:t>
      </w:r>
      <w:r>
        <w:rPr>
          <w:rFonts w:ascii="Times New Roman" w:cs="Times New Roman" w:eastAsia="宋体" w:hAnsi="Times New Roman"/>
          <w:color w:val="000000"/>
          <w:sz w:val="21"/>
          <w:szCs w:val="21"/>
          <w:vertAlign w:val="superscript"/>
        </w:rPr>
        <w:t xml:space="preserve">[8,21]</w:t>
      </w:r>
      <w:r>
        <w:rPr>
          <w:rFonts w:ascii="Times New Roman" w:cs="Times New Roman" w:eastAsia="宋体" w:hAnsi="Times New Roman"/>
          <w:color w:val="000000"/>
          <w:sz w:val="21"/>
          <w:szCs w:val="21"/>
        </w:rPr>
        <w:t xml:space="preserve">。本试验氮肥的线性加平台模型拟合效果优于一元二次方程，其拐点施氮量（282.0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）与处理间直接比较的结果一致，说明对于产量已出现平台的养分，线性加平台模型具有更好的适用性。</w:t>
      </w:r>
    </w:p>
    <w:p>
      <w:pPr>
        <w:spacing w:after="0" w:before="0" w:line="360" w:lineRule="auto"/>
        <w:ind w:firstLine="420"/>
        <w:jc w:val="both"/>
      </w:pPr>
      <w:r>
        <w:rPr>
          <w:rFonts w:ascii="Times New Roman" w:cs="Times New Roman" w:eastAsia="宋体" w:hAnsi="Times New Roman"/>
          <w:color w:val="000000"/>
          <w:sz w:val="21"/>
          <w:szCs w:val="21"/>
        </w:rPr>
        <w:t xml:space="preserve">本试验磷、钾肥在设计范围内均表现出持续的增产效应，缺磷、缺钾区相对产量分别为85.5%和94.9%，处于“中”等水平，这可能与试验田为沙壤土、前茬冬闲、保肥供肥能力较弱有关。沙壤土阳离子交换量低，钾素易随水淋失，增施钾肥能明显提高水稻结实率和千粒重</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。需要指出的是，本试验2水平的磷、钾用量已高于安徽省水稻常规推荐量，磷素在土壤中易累积，长期大量施用存在环境风险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因此生产上建议以处理6～10的施肥量为基础，根据土壤有效磷、速效钾测定值适当调整磷、钾肥用量。此外，本试验为单年单点试验且未设重复，无法进行方差分析和多重比较，部分处理（如K1与K2）产量的波动可能包含田间误差，上述推荐施肥量还需通过多年多点试验和大田示范进一步验证，并结合有机肥与化肥配施、缓控释肥等措施进行优化</w:t>
      </w:r>
      <w:r>
        <w:rPr>
          <w:rFonts w:ascii="Times New Roman" w:cs="Times New Roman" w:eastAsia="宋体" w:hAnsi="Times New Roman"/>
          <w:color w:val="000000"/>
          <w:sz w:val="21"/>
          <w:szCs w:val="21"/>
          <w:vertAlign w:val="superscript"/>
        </w:rPr>
        <w:t xml:space="preserve">[6,26]</w:t>
      </w:r>
      <w:r>
        <w:rPr>
          <w:rFonts w:ascii="Times New Roman" w:cs="Times New Roman" w:eastAsia="宋体" w:hAnsi="Times New Roman"/>
          <w:color w:val="000000"/>
          <w:sz w:val="21"/>
          <w:szCs w:val="21"/>
        </w:rPr>
        <w:t xml:space="preserve">。</w:t>
      </w:r>
    </w:p>
    <w:p>
      <w:pPr>
        <w:keepNext/>
        <w:spacing w:after="80" w:before="160" w:line="360" w:lineRule="auto"/>
        <w:ind/>
        <w:jc w:val="left"/>
      </w:pPr>
      <w:r>
        <w:rPr>
          <w:rFonts w:ascii="Times New Roman" w:cs="Times New Roman" w:eastAsia="黑体" w:hAnsi="Times New Roman"/>
          <w:color w:val="000000"/>
          <w:sz w:val="24"/>
          <w:szCs w:val="24"/>
        </w:rPr>
        <w:t xml:space="preserve">4　结论</w:t>
      </w:r>
    </w:p>
    <w:p>
      <w:pPr>
        <w:spacing w:after="0" w:before="0" w:line="360" w:lineRule="auto"/>
        <w:ind w:firstLine="420"/>
        <w:jc w:val="both"/>
      </w:pPr>
      <w:r>
        <w:rPr>
          <w:rFonts w:ascii="Times New Roman" w:cs="Times New Roman" w:eastAsia="宋体" w:hAnsi="Times New Roman"/>
          <w:color w:val="000000"/>
          <w:sz w:val="21"/>
          <w:szCs w:val="21"/>
        </w:rPr>
        <w:t xml:space="preserve">（1）施肥显著影响水稻经济性状和产量。处理10（N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，较无肥区增产54.5%，纯收益22091.4元/hm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，为本试验的最佳施肥处理。</w:t>
      </w:r>
    </w:p>
    <w:p>
      <w:pPr>
        <w:spacing w:after="0" w:before="0" w:line="36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60" w:lineRule="auto"/>
        <w:ind w:firstLine="420"/>
        <w:jc w:val="both"/>
      </w:pPr>
      <w:r>
        <w:rPr>
          <w:rFonts w:ascii="Times New Roman" w:cs="Times New Roman" w:eastAsia="宋体" w:hAnsi="Times New Roman"/>
          <w:color w:val="000000"/>
          <w:sz w:val="21"/>
          <w:szCs w:val="21"/>
        </w:rPr>
        <w:t xml:space="preserve">（3）三元二次肥料效应方程未通过典型性检验；氮肥线性加平台模型拟合效果最好，拐点施氮量为282.0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后结实率和千粒重下降、产量不再增加；磷、钾肥效应在试验范围内仍呈上升趋势。</w:t>
      </w:r>
    </w:p>
    <w:p>
      <w:pPr>
        <w:spacing w:after="0" w:before="0" w:line="360" w:lineRule="auto"/>
        <w:ind w:firstLine="420"/>
        <w:jc w:val="both"/>
      </w:pPr>
      <w:r>
        <w:rPr>
          <w:rFonts w:ascii="Times New Roman" w:cs="Times New Roman" w:eastAsia="宋体" w:hAnsi="Times New Roman"/>
          <w:color w:val="000000"/>
          <w:sz w:val="21"/>
          <w:szCs w:val="21"/>
        </w:rPr>
        <w:t xml:space="preserve">（4）推荐范岗镇沙壤土单季稻施N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，氮肥按基肥∶分蘖肥∶穗肥=50%∶25%∶25%、钾肥按基肥∶穗肥=60%∶40%分施，磷肥全部基施；磷、钾肥的适宜用量上限有待多点多年试验进一步验证。</w:t>
      </w:r>
    </w:p>
    <w:p>
      <w:pPr>
        <w:keepNext/>
        <w:spacing w:after="80" w:before="200" w:line="36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“3414”肥料试验模型拟合的探讨[J]. 植物营养与肥料学报, 2002, 8(4): 409-413.</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王兴仁, 陈新平, 张福锁. 施肥模型在我国推荐施肥中的应用[J]. 植物营养与肥料学报, 1998, 4(2): </w:t>
      </w:r>
      <w:r>
        <w:rPr>
          <w:rFonts w:ascii="Times New Roman" w:cs="Times New Roman" w:eastAsia="宋体" w:hAnsi="Times New Roman"/>
          <w:color w:val="000000"/>
          <w:sz w:val="18"/>
          <w:szCs w:val="18"/>
          <w:highlight w:val="yellow"/>
          <w:highlightCs w:val="yellow"/>
        </w:rPr>
        <w:t xml:space="preserve">【页码待核】</w:t>
      </w:r>
      <w:r>
        <w:rPr>
          <w:rFonts w:ascii="Times New Roman" w:cs="Times New Roman" w:eastAsia="宋体" w:hAnsi="Times New Roman"/>
          <w:color w:val="000000"/>
          <w:sz w:val="18"/>
          <w:szCs w:val="18"/>
        </w:rPr>
        <w:t xml:space="preserve">.</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钟祥市潴育型土壤水稻“3414”肥料效应完全试验分析[J]. 湖北农业科学, 2020, 59(24): 48-50.</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基于“3414”试验模型的四川盆地中部水稻氮磷钾肥效应研究[J]. 中国农学通报, 2024, 40(29): 75-79.</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基于R语言的水稻“3414”肥效试验统计分析[J]. 湖北农业科学, 2020, 59(13): 67-71.</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机插水稻测土配方施肥3414试验初报[J]. 江西农业学报, 2009(6): 78-80.</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刘金松. 旌德县水稻“3414”试验对水稻产量效应研究试验报告[J]. 农家参谋, </w:t>
      </w:r>
      <w:r>
        <w:rPr>
          <w:rFonts w:ascii="Times New Roman" w:cs="Times New Roman" w:eastAsia="宋体" w:hAnsi="Times New Roman"/>
          <w:color w:val="000000"/>
          <w:sz w:val="18"/>
          <w:szCs w:val="18"/>
          <w:highlight w:val="yellow"/>
          <w:highlightCs w:val="yellow"/>
        </w:rPr>
        <w:t xml:space="preserve">【发表年份待核，约2020】</w:t>
      </w:r>
      <w:r>
        <w:rPr>
          <w:rFonts w:ascii="Times New Roman" w:cs="Times New Roman" w:eastAsia="宋体" w:hAnsi="Times New Roman"/>
          <w:color w:val="000000"/>
          <w:sz w:val="18"/>
          <w:szCs w:val="18"/>
        </w:rPr>
        <w:t xml:space="preserve">(</w:t>
      </w:r>
      <w:r>
        <w:rPr>
          <w:rFonts w:ascii="Times New Roman" w:cs="Times New Roman" w:eastAsia="宋体" w:hAnsi="Times New Roman"/>
          <w:color w:val="000000"/>
          <w:sz w:val="18"/>
          <w:szCs w:val="18"/>
          <w:highlight w:val="yellow"/>
          <w:highlightCs w:val="yellow"/>
        </w:rPr>
        <w:t xml:space="preserve">【期号待核】</w:t>
      </w:r>
      <w:r>
        <w:rPr>
          <w:rFonts w:ascii="Times New Roman" w:cs="Times New Roman" w:eastAsia="宋体" w:hAnsi="Times New Roman"/>
          <w:color w:val="000000"/>
          <w:sz w:val="18"/>
          <w:szCs w:val="18"/>
        </w:rPr>
        <w:t xml:space="preserve">): 74-75.</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吨两优900[EB/OL]. (2020)[2025-09-14]. https://www.ricedata.cn/variety/varis/622623.htm.</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三元肥料效应模型的整合与优化建模策略[J]. 土壤学报, 2021, 58(3): 755-766.</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低氮密植栽培对超级稻产量和氮素利用率的影响[J]. 作物学报, 2015, 41(10): 1591-1602.</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长江流域中稻产量、肥料增产效应及利用率特征[J]. 植物营养与肥料学报, 2021, 27(6): 919-928.</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测土配方施肥指标体系建立中“3414”试验方案应用探讨——以内蒙古海拉尔地区油菜“3414”试验为例[J]. 植物营养与肥料学报, 2011, 17(4): 1018-1023.</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双季稻最佳磷肥和钾肥用量与密度组合研究[J]. 植物营养与肥料学报, 2016, 22(3): 598-608.</w:t>
      </w:r>
    </w:p>
    <w:p>
      <w:pPr>
        <w:tabs>
          <w:tab w:val="left" w:pos="480"/>
        </w:tabs>
        <w:spacing w:after="0" w:line="276" w:lineRule="auto"/>
        <w:ind w:left="480" w:hanging="480"/>
        <w:jc w:val="both"/>
      </w:pPr>
      <w:r>
        <w:rPr>
          <w:rFonts w:ascii="Times New Roman" w:cs="Times New Roman" w:eastAsia="宋体" w:hAnsi="Times New Roman"/>
          <w:color w:val="000000"/>
          <w:sz w:val="18"/>
          <w:szCs w:val="18"/>
        </w:rPr>
        <w:t xml:space="preserve">[26]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sectPr>
      <w:footerReference w:type="default" r:id="rId7"/>
      <w:footerReference w:type="first" r:id="rId8"/>
      <w:pgSz w:w="11906" w:h="16838" w:orient="portrait"/>
      <w:pgMar w:top="1440" w:right="1700" w:bottom="1440" w:left="17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r>
      <w:rPr>
        <w:rFonts w:ascii="Times New Roman" w:cs="Times New Roman" w:eastAsia="宋体" w:hAnsi="Times New Roman"/>
        <w:color w:val="000000"/>
        <w:sz w:val="15"/>
        <w:szCs w:val="15"/>
      </w:rPr>
      <w:t xml:space="preserve">基金项目　</w:t>
    </w:r>
    <w:r>
      <w:rPr>
        <w:rFonts w:ascii="Times New Roman" w:cs="Times New Roman" w:eastAsia="宋体" w:hAnsi="Times New Roman"/>
        <w:color w:val="000000"/>
        <w:sz w:val="15"/>
        <w:szCs w:val="15"/>
        <w:highlight w:val="yellow"/>
        <w:highlightCs w:val="yellow"/>
      </w:rPr>
      <w:t xml:space="preserve">【基金项目名称及编号；若无请删除此项】</w:t>
    </w:r>
    <w:r>
      <w:rPr>
        <w:rFonts w:ascii="Times New Roman" w:cs="Times New Roman" w:eastAsia="宋体" w:hAnsi="Times New Roman"/>
        <w:color w:val="000000"/>
        <w:sz w:val="15"/>
        <w:szCs w:val="15"/>
      </w:rPr>
      <w:t xml:space="preserve">。</w:t>
    </w:r>
  </w:p>
  <w:p>
    <w:pPr>
      <w:spacing w:after="0" w:before="0" w:line="240" w:lineRule="auto"/>
      <w:ind/>
      <w:jc w:val="left"/>
    </w:pPr>
    <w:r>
      <w:rPr>
        <w:rFonts w:ascii="Times New Roman" w:cs="Times New Roman" w:eastAsia="宋体" w:hAnsi="Times New Roman"/>
        <w:color w:val="000000"/>
        <w:sz w:val="15"/>
        <w:szCs w:val="15"/>
      </w:rPr>
      <w:t xml:space="preserve">作者简介　</w:t>
    </w:r>
    <w:r>
      <w:rPr>
        <w:rFonts w:ascii="Times New Roman" w:cs="Times New Roman" w:eastAsia="宋体" w:hAnsi="Times New Roman"/>
        <w:color w:val="000000"/>
        <w:sz w:val="15"/>
        <w:szCs w:val="15"/>
        <w:highlight w:val="yellow"/>
        <w:highlightCs w:val="yellow"/>
      </w:rPr>
      <w:t xml:space="preserve">【姓名】</w:t>
    </w:r>
    <w:r>
      <w:rPr>
        <w:rFonts w:ascii="Times New Roman" w:cs="Times New Roman" w:eastAsia="宋体" w:hAnsi="Times New Roman"/>
        <w:color w:val="000000"/>
        <w:sz w:val="15"/>
        <w:szCs w:val="15"/>
      </w:rPr>
      <w:t xml:space="preserve">（出生年—），</w:t>
    </w:r>
    <w:r>
      <w:rPr>
        <w:rFonts w:ascii="Times New Roman" w:cs="Times New Roman" w:eastAsia="宋体" w:hAnsi="Times New Roman"/>
        <w:color w:val="000000"/>
        <w:sz w:val="15"/>
        <w:szCs w:val="15"/>
        <w:highlight w:val="yellow"/>
        <w:highlightCs w:val="yellow"/>
      </w:rPr>
      <w:t xml:space="preserve">【性别】</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【籍贯】</w:t>
    </w:r>
    <w:r>
      <w:rPr>
        <w:rFonts w:ascii="Times New Roman" w:cs="Times New Roman" w:eastAsia="宋体" w:hAnsi="Times New Roman"/>
        <w:color w:val="000000"/>
        <w:sz w:val="15"/>
        <w:szCs w:val="15"/>
      </w:rPr>
      <w:t xml:space="preserve">人，</w:t>
    </w:r>
    <w:r>
      <w:rPr>
        <w:rFonts w:ascii="Times New Roman" w:cs="Times New Roman" w:eastAsia="宋体" w:hAnsi="Times New Roman"/>
        <w:color w:val="000000"/>
        <w:sz w:val="15"/>
        <w:szCs w:val="15"/>
        <w:highlight w:val="yellow"/>
        <w:highlightCs w:val="yellow"/>
      </w:rPr>
      <w:t xml:space="preserve">【职称】</w:t>
    </w:r>
    <w:r>
      <w:rPr>
        <w:rFonts w:ascii="Times New Roman" w:cs="Times New Roman" w:eastAsia="宋体" w:hAnsi="Times New Roman"/>
        <w:color w:val="000000"/>
        <w:sz w:val="15"/>
        <w:szCs w:val="15"/>
      </w:rPr>
      <w:t xml:space="preserve">，从事</w:t>
    </w:r>
    <w:r>
      <w:rPr>
        <w:rFonts w:ascii="Times New Roman" w:cs="Times New Roman" w:eastAsia="宋体" w:hAnsi="Times New Roman"/>
        <w:color w:val="000000"/>
        <w:sz w:val="15"/>
        <w:szCs w:val="15"/>
        <w:highlight w:val="yellow"/>
        <w:highlightCs w:val="yellow"/>
      </w:rPr>
      <w:t xml:space="preserve">【研究方向】</w:t>
    </w:r>
    <w:r>
      <w:rPr>
        <w:rFonts w:ascii="Times New Roman" w:cs="Times New Roman" w:eastAsia="宋体" w:hAnsi="Times New Roman"/>
        <w:color w:val="000000"/>
        <w:sz w:val="15"/>
        <w:szCs w:val="15"/>
      </w:rPr>
      <w:t xml:space="preserve">工作。</w:t>
    </w:r>
  </w:p>
  <w:p>
    <w:pPr>
      <w:spacing w:after="0" w:before="0" w:line="240" w:lineRule="auto"/>
      <w:ind/>
      <w:jc w:val="left"/>
    </w:pPr>
    <w:r>
      <w:rPr>
        <w:rFonts w:ascii="Times New Roman" w:cs="Times New Roman" w:eastAsia="宋体" w:hAnsi="Times New Roman"/>
        <w:color w:val="000000"/>
        <w:sz w:val="15"/>
        <w:szCs w:val="15"/>
      </w:rPr>
      <w:t xml:space="preserve">收稿日期　2025-</w:t>
    </w:r>
    <w:r>
      <w:rPr>
        <w:rFonts w:ascii="Times New Roman" w:cs="Times New Roman" w:eastAsia="宋体" w:hAnsi="Times New Roman"/>
        <w:color w:val="000000"/>
        <w:sz w:val="15"/>
        <w:szCs w:val="15"/>
        <w:highlight w:val="yellow"/>
        <w:highlightCs w:val="yellow"/>
      </w:rPr>
      <w:t xml:space="preserve">【  】</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  】</w:t>
    </w: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35c5c4db8dbc8cf0f49f1fe5c6bdf05d9251e0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2026-09-14T15:47:32.731Z</dcterms:created>
  <dcterms:modified xsi:type="dcterms:W3CDTF">2026-09-14T15:47:32.731Z</dcterms:modified>
</cp:coreProperties>
</file>

<file path=docProps/custom.xml><?xml version="1.0" encoding="utf-8"?>
<Properties xmlns="http://schemas.openxmlformats.org/officeDocument/2006/custom-properties" xmlns:vt="http://schemas.openxmlformats.org/officeDocument/2006/docPropsVTypes"/>
</file>