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jc w:val="center"/>
      </w:pPr>
      <w:r>
        <w:rPr>
          <w:rFonts w:ascii="Times New Roman" w:hAnsi="Times New Roman" w:eastAsia="Times New Roman"/>
          <w:b/>
          <w:sz w:val="28"/>
        </w:rPr>
        <w:t>Who measures what enters the market? Self-organised variety trials and the third-party-assayed grain-quality gap in China's rice variety approvals, 2017–2022</w:t>
      </w:r>
    </w:p>
    <w:p>
      <w:pPr>
        <w:spacing w:line="480" w:lineRule="auto" w:after="160"/>
        <w:jc w:val="left"/>
      </w:pPr>
      <w:r>
        <w:rPr>
          <w:rFonts w:ascii="Times New Roman" w:hAnsi="Times New Roman" w:eastAsia="Times New Roman"/>
          <w:i/>
          <w:sz w:val="24"/>
        </w:rPr>
        <w:t>Running title:</w:t>
      </w:r>
      <w:r>
        <w:rPr>
          <w:rFonts w:ascii="Times New Roman" w:hAnsi="Times New Roman" w:eastAsia="Times New Roman"/>
          <w:sz w:val="24"/>
        </w:rPr>
        <w:t xml:space="preserve"> Trial channels and third-party grain quality in Chinese rice approvals</w:t>
      </w:r>
    </w:p>
    <w:p>
      <w:pPr>
        <w:keepNext/>
        <w:spacing w:line="480" w:lineRule="auto" w:after="120"/>
        <w:jc w:val="left"/>
      </w:pPr>
      <w:r>
        <w:rPr>
          <w:rFonts w:ascii="Times New Roman" w:hAnsi="Times New Roman" w:eastAsia="Times New Roman"/>
          <w:b/>
          <w:sz w:val="24"/>
        </w:rPr>
        <w:t>Abstract</w:t>
      </w:r>
    </w:p>
    <w:p>
      <w:pPr>
        <w:spacing w:line="480" w:lineRule="auto" w:after="160"/>
        <w:jc w:val="left"/>
      </w:pPr>
      <w:r>
        <w:rPr>
          <w:rFonts w:ascii="Times New Roman" w:hAnsi="Times New Roman" w:eastAsia="Times New Roman"/>
          <w:sz w:val="24"/>
        </w:rPr>
        <w:t xml:space="preserve">China's 2016 revision of the </w:t>
      </w:r>
      <w:r>
        <w:rPr>
          <w:rFonts w:ascii="Times New Roman" w:hAnsi="Times New Roman" w:eastAsia="Times New Roman"/>
          <w:i/>
          <w:sz w:val="24"/>
        </w:rPr>
        <w:t>Measures for the Administration of Crop Variety Approval</w:t>
      </w:r>
      <w:r>
        <w:rPr>
          <w:rFonts w:ascii="Times New Roman" w:hAnsi="Times New Roman" w:eastAsia="Times New Roman"/>
          <w:sz w:val="24"/>
        </w:rPr>
        <w:t xml:space="preserve"> ended the state monopoly on variety-value testing: certified seed firms may run green-channel trials, and consortia of five or more breeders may organise regional trials. Whether this changed what enters the seed market, not only how much, is unknown, because no prior study observes which trial channel a variety passed through. We exploit an unused feature of official approval announcements, which name the trial each variety was tested in, to assign every record to the unified trial, the green channel, or a consortium trial. Using rice approval records parsed from Ministry announcements, we compare self-organised with unified-trial entrants within the same approval year, ecological trial group and named check, estimating the green channel (2017) and consortium trials (2019–2022) as separate treatments since they do not overlap in time. Consortium entrants show 1.84 percentage points lower head-rice percentage, 1.11 points higher chalkiness, and a 12.2-point lower probability of carrying a stated national quality grade, all third-party-assayed under NY/T 593, while the yield advantage recorded in the applicant's own trial is, if anything, higher (+0.55 points, suggestive only); green-channel entrants likewise show higher chalkiness. This sign separation is the identification argument: a pure breeding-ability account predicts both trait classes deteriorate together, whereas third-party grain quality deteriorates while applicant-measured performance does not. Results survive worst-case bounds, randomisation inference, and dropping the focal firm. Bacterial-blight grades are better, not worse, among self-organised entrants, a result that bounds the composition effect.</w:t>
      </w:r>
    </w:p>
    <w:p>
      <w:pPr>
        <w:keepNext/>
        <w:spacing w:line="480" w:lineRule="auto" w:after="120"/>
        <w:jc w:val="left"/>
      </w:pPr>
      <w:r>
        <w:rPr>
          <w:rFonts w:ascii="Times New Roman" w:hAnsi="Times New Roman" w:eastAsia="Times New Roman"/>
          <w:b/>
          <w:sz w:val="24"/>
        </w:rPr>
        <w:t>Keywords</w:t>
      </w:r>
    </w:p>
    <w:p>
      <w:pPr>
        <w:spacing w:line="480" w:lineRule="auto" w:after="160"/>
        <w:jc w:val="left"/>
      </w:pPr>
      <w:r>
        <w:rPr>
          <w:rFonts w:ascii="Times New Roman" w:hAnsi="Times New Roman" w:eastAsia="Times New Roman"/>
          <w:sz w:val="24"/>
        </w:rPr>
        <w:t>variety approval; third-party certification; self-organised trials; rice quality; seed regulation; China</w:t>
      </w:r>
    </w:p>
    <w:p>
      <w:pPr>
        <w:keepNext/>
        <w:spacing w:line="480" w:lineRule="auto" w:after="120"/>
        <w:jc w:val="left"/>
      </w:pPr>
      <w:r>
        <w:rPr>
          <w:rFonts w:ascii="Times New Roman" w:hAnsi="Times New Roman" w:eastAsia="Times New Roman"/>
          <w:b/>
          <w:sz w:val="24"/>
        </w:rPr>
        <w:t>Highlights</w:t>
      </w:r>
    </w:p>
    <w:p>
      <w:pPr>
        <w:pStyle w:val="ListNumber"/>
        <w:spacing w:line="360" w:lineRule="auto" w:after="40"/>
      </w:pPr>
      <w:r>
        <w:rPr>
          <w:rFonts w:ascii="Times New Roman" w:hAnsi="Times New Roman" w:eastAsia="Times New Roman"/>
          <w:sz w:val="24"/>
        </w:rPr>
        <w:t>Trial channel is reconstructed from approval-announcement text at record level.</w:t>
      </w:r>
    </w:p>
    <w:p>
      <w:pPr>
        <w:pStyle w:val="ListNumber"/>
        <w:spacing w:line="360" w:lineRule="auto" w:after="40"/>
      </w:pPr>
      <w:r>
        <w:rPr>
          <w:rFonts w:ascii="Times New Roman" w:hAnsi="Times New Roman" w:eastAsia="Times New Roman"/>
          <w:sz w:val="24"/>
        </w:rPr>
        <w:t>Consortium-trial entrants show lower third-party-assayed grain quality.</w:t>
      </w:r>
    </w:p>
    <w:p>
      <w:pPr>
        <w:pStyle w:val="ListNumber"/>
        <w:spacing w:line="360" w:lineRule="auto" w:after="40"/>
      </w:pPr>
      <w:r>
        <w:rPr>
          <w:rFonts w:ascii="Times New Roman" w:hAnsi="Times New Roman" w:eastAsia="Times New Roman"/>
          <w:sz w:val="24"/>
        </w:rPr>
        <w:t>Applicant-measured yield performance is not lower for self-organised entrants.</w:t>
      </w:r>
    </w:p>
    <w:p>
      <w:pPr>
        <w:pStyle w:val="ListNumber"/>
        <w:spacing w:line="360" w:lineRule="auto" w:after="40"/>
      </w:pPr>
      <w:r>
        <w:rPr>
          <w:rFonts w:ascii="Times New Roman" w:hAnsi="Times New Roman" w:eastAsia="Times New Roman"/>
          <w:sz w:val="24"/>
        </w:rPr>
        <w:t>Green-channel and consortium-trial gaps diverge and are estimated separately.</w:t>
      </w:r>
    </w:p>
    <w:p>
      <w:pPr>
        <w:pStyle w:val="ListNumber"/>
        <w:spacing w:line="360" w:lineRule="auto" w:after="40"/>
      </w:pPr>
      <w:r>
        <w:rPr>
          <w:rFonts w:ascii="Times New Roman" w:hAnsi="Times New Roman" w:eastAsia="Times New Roman"/>
          <w:sz w:val="24"/>
        </w:rPr>
        <w:t>A leading seed firm uses self-organised trials less, against low breeding capacity.</w:t>
      </w:r>
    </w:p>
    <w:p>
      <w:pPr>
        <w:keepNext/>
        <w:spacing w:line="480" w:lineRule="auto" w:after="120"/>
        <w:jc w:val="left"/>
      </w:pPr>
      <w:r>
        <w:rPr>
          <w:rFonts w:ascii="Times New Roman" w:hAnsi="Times New Roman" w:eastAsia="Times New Roman"/>
          <w:b/>
          <w:sz w:val="26"/>
        </w:rPr>
        <w:t>1. Introduction</w:t>
      </w:r>
    </w:p>
    <w:p>
      <w:pPr>
        <w:spacing w:line="480" w:lineRule="auto" w:after="160"/>
        <w:jc w:val="left"/>
      </w:pPr>
      <w:r>
        <w:rPr>
          <w:rFonts w:ascii="Times New Roman" w:hAnsi="Times New Roman" w:eastAsia="Times New Roman"/>
          <w:sz w:val="24"/>
        </w:rPr>
        <w:t xml:space="preserve">Variety approval decides which rice varieties may be sold as certified seed in China, and until 2016 the government held a monopoly on the trials that produced this decision: every candidate variety was measured, under the same protocol, in the state-run unified regional trial. The 2016 revision of the </w:t>
      </w:r>
      <w:r>
        <w:rPr>
          <w:rFonts w:ascii="Times New Roman" w:hAnsi="Times New Roman" w:eastAsia="Times New Roman"/>
          <w:i/>
          <w:sz w:val="24"/>
        </w:rPr>
        <w:t>Measures for the Administration of Crop Variety Approval</w:t>
      </w:r>
      <w:r>
        <w:rPr>
          <w:rFonts w:ascii="Times New Roman" w:hAnsi="Times New Roman" w:eastAsia="Times New Roman"/>
          <w:sz w:val="24"/>
        </w:rPr>
        <w:t xml:space="preserve"> ended that monopoly. Certified integrated seed-breeding-extension enterprises could now organise their own "green-channel" trials, and consortia of five or more breeders could organise their own regional trials. Both channels replace the government as the party that runs the trial in which agronomic performance is measured; neither channel replaces the ministry-designated third-party laboratories that measure grain-processing and appearance quality once a candidate reaches the approval stage. This split — self-organised measurement of performance, third-party measurement of quality, inside the same approval file — is the object of this paper. We ask not how large the reform was, but </w:t>
      </w:r>
      <w:r>
        <w:rPr>
          <w:rFonts w:ascii="Times New Roman" w:hAnsi="Times New Roman" w:eastAsia="Times New Roman"/>
          <w:i/>
          <w:sz w:val="24"/>
        </w:rPr>
        <w:t>who holds the measuring stick</w:t>
      </w:r>
      <w:r>
        <w:rPr>
          <w:rFonts w:ascii="Times New Roman" w:hAnsi="Times New Roman" w:eastAsia="Times New Roman"/>
          <w:sz w:val="24"/>
        </w:rPr>
        <w:t xml:space="preserve"> for what enters the market.</w:t>
      </w:r>
    </w:p>
    <w:p>
      <w:pPr>
        <w:spacing w:line="480" w:lineRule="auto" w:after="160"/>
        <w:jc w:val="left"/>
      </w:pPr>
      <w:r>
        <w:rPr>
          <w:rFonts w:ascii="Times New Roman" w:hAnsi="Times New Roman" w:eastAsia="Times New Roman"/>
          <w:sz w:val="24"/>
        </w:rPr>
        <w:t xml:space="preserve">This question has not been answered because it has not been asked in a form the data could answer. The two studies that evaluate this same reform, Xiang et al. (2025) and Zhao et al. (2022), both code the reform as a </w:t>
      </w:r>
      <w:r>
        <w:rPr>
          <w:rFonts w:ascii="Times New Roman" w:hAnsi="Times New Roman" w:eastAsia="Times New Roman"/>
          <w:i/>
          <w:sz w:val="24"/>
        </w:rPr>
        <w:t>period</w:t>
      </w:r>
      <w:r>
        <w:rPr>
          <w:rFonts w:ascii="Times New Roman" w:hAnsi="Times New Roman" w:eastAsia="Times New Roman"/>
          <w:sz w:val="24"/>
        </w:rPr>
        <w:t xml:space="preserve"> variable — before versus after 2016 — applied to licensing-fee data and to national approval panels, respectively. Xiang et al. (2025) find that licensing fees for hybrid rice varieties are not significantly affected by the reform; Zhao et al. (2022) trace policy variables against approved-variety trait trends over time. Neither paper observes which trial a given variety actually passed through, so neither can distinguish a change in </w:t>
      </w:r>
      <w:r>
        <w:rPr>
          <w:rFonts w:ascii="Times New Roman" w:hAnsi="Times New Roman" w:eastAsia="Times New Roman"/>
          <w:i/>
          <w:sz w:val="24"/>
        </w:rPr>
        <w:t>how much</w:t>
      </w:r>
      <w:r>
        <w:rPr>
          <w:rFonts w:ascii="Times New Roman" w:hAnsi="Times New Roman" w:eastAsia="Times New Roman"/>
          <w:sz w:val="24"/>
        </w:rPr>
        <w:t xml:space="preserve"> enters the market from a change in </w:t>
      </w:r>
      <w:r>
        <w:rPr>
          <w:rFonts w:ascii="Times New Roman" w:hAnsi="Times New Roman" w:eastAsia="Times New Roman"/>
          <w:i/>
          <w:sz w:val="24"/>
        </w:rPr>
        <w:t>what</w:t>
      </w:r>
      <w:r>
        <w:rPr>
          <w:rFonts w:ascii="Times New Roman" w:hAnsi="Times New Roman" w:eastAsia="Times New Roman"/>
          <w:sz w:val="24"/>
        </w:rPr>
        <w:t xml:space="preserve"> enters it. A null effect on price, in particular, is silent on whether the composition of entering varieties shifted. This is the gap: no existing study has a record-level channel variable to test whether self-organised and state-run entrants differ in what they bring to market.</w:t>
      </w:r>
    </w:p>
    <w:p>
      <w:pPr>
        <w:spacing w:line="480" w:lineRule="auto" w:after="160"/>
        <w:jc w:val="left"/>
      </w:pPr>
      <w:r>
        <w:rPr>
          <w:rFonts w:ascii="Times New Roman" w:hAnsi="Times New Roman" w:eastAsia="Times New Roman"/>
          <w:sz w:val="24"/>
        </w:rPr>
        <w:t xml:space="preserve">A related but distinct literature reads approved-variety trait trends by </w:t>
      </w:r>
      <w:r>
        <w:rPr>
          <w:rFonts w:ascii="Times New Roman" w:hAnsi="Times New Roman" w:eastAsia="Times New Roman"/>
          <w:i/>
          <w:sz w:val="24"/>
        </w:rPr>
        <w:t>calendar year</w:t>
      </w:r>
      <w:r>
        <w:rPr>
          <w:rFonts w:ascii="Times New Roman" w:hAnsi="Times New Roman" w:eastAsia="Times New Roman"/>
          <w:sz w:val="24"/>
        </w:rPr>
        <w:t xml:space="preserve"> rather than by trial channel. Lu et al. (2024) classify the quality-trait trajectory of 17,785 nationally and provincially approved varieties from 1978–2022, and Hang et al. (2024) track yield and agronomic-trait evolution across 11,811 regional-trial entries from 1990–2023; both papers read the same kind of approval-trial record we use, but neither carries a variable for which trial organised the test, so both attribute trait change to </w:t>
      </w:r>
      <w:r>
        <w:rPr>
          <w:rFonts w:ascii="Times New Roman" w:hAnsi="Times New Roman" w:eastAsia="Times New Roman"/>
          <w:i/>
          <w:sz w:val="24"/>
        </w:rPr>
        <w:t>when</w:t>
      </w:r>
      <w:r>
        <w:rPr>
          <w:rFonts w:ascii="Times New Roman" w:hAnsi="Times New Roman" w:eastAsia="Times New Roman"/>
          <w:sz w:val="24"/>
        </w:rPr>
        <w:t xml:space="preserve"> a variety was approved rather than to </w:t>
      </w:r>
      <w:r>
        <w:rPr>
          <w:rFonts w:ascii="Times New Roman" w:hAnsi="Times New Roman" w:eastAsia="Times New Roman"/>
          <w:i/>
          <w:sz w:val="24"/>
        </w:rPr>
        <w:t>which door</w:t>
      </w:r>
      <w:r>
        <w:rPr>
          <w:rFonts w:ascii="Times New Roman" w:hAnsi="Times New Roman" w:eastAsia="Times New Roman"/>
          <w:sz w:val="24"/>
        </w:rPr>
        <w:t xml:space="preserve"> it entered through. This paper's structural-break analysis (§5.6) and the "closing window" discussion (§8.2) speak to the same substantive object — the trajectory of quality and yield traits in China's approval records — but ask a channel-conditional question that a year-indexed reading cannot: whether the pre-2016 quality trend Lu et al. (2024) and Hang et al. (2024) document already contains the same channel a variety passed through, or whether it is orthogonal to channel altogether. A recent title-level review of fifty years of three-line hybrid rice trends (Gong et al., 2026) situates this same trait trajectory over a longer horizon; because the full text of that review was not accessible to us at the time of writing, we cite it only for its scope and do not attribute any specific figure to it.</w:t>
      </w:r>
    </w:p>
    <w:p>
      <w:pPr>
        <w:spacing w:line="480" w:lineRule="auto" w:after="160"/>
        <w:jc w:val="left"/>
      </w:pPr>
      <w:r>
        <w:rPr>
          <w:rFonts w:ascii="Times New Roman" w:hAnsi="Times New Roman" w:eastAsia="Times New Roman"/>
          <w:sz w:val="24"/>
        </w:rPr>
        <w:t>We close this gap using a feature of the official approval announcements that has not previously been exploited: each announcement states, in its own text, the name of the trial in which the variety was tested — the unified regional trial, the green channel, or a named consortium trial. Parsing this text lets us assign every approval record to a channel and compare self-organised entrants with unified-trial entrants within the same approval year, the same ecological trial group, and the same named check variety. Because the green channel is concentrated in a single year (2017) and consortium trials begin only in 2019, the two channels barely overlap in time; we treat them as two separate treatments rather than pooling them into one "new channel."</w:t>
      </w:r>
    </w:p>
    <w:p>
      <w:pPr>
        <w:spacing w:line="480" w:lineRule="auto" w:after="160"/>
        <w:jc w:val="left"/>
      </w:pPr>
      <w:r>
        <w:rPr>
          <w:rFonts w:ascii="Times New Roman" w:hAnsi="Times New Roman" w:eastAsia="Times New Roman"/>
          <w:sz w:val="24"/>
        </w:rPr>
        <w:t xml:space="preserve">The paper's estimand is a </w:t>
      </w:r>
      <w:r>
        <w:rPr>
          <w:rFonts w:ascii="Times New Roman" w:hAnsi="Times New Roman" w:eastAsia="Times New Roman"/>
          <w:b/>
          <w:sz w:val="24"/>
        </w:rPr>
        <w:t>composition effect on the entering population</w:t>
      </w:r>
      <w:r>
        <w:rPr>
          <w:rFonts w:ascii="Times New Roman" w:hAnsi="Times New Roman" w:eastAsia="Times New Roman"/>
          <w:sz w:val="24"/>
        </w:rPr>
        <w:t xml:space="preserve">: conditional on year, trial group and check, how do the traits of varieties entering through a self-organised channel differ from those entering through the unified trial. This is not the effect of moving one variety from one channel to the other, since channel assignment is not random and applicants self-select into it; it is the difference in what each door lets through. We do not estimate, and do not claim, a causal effect of the reform on trait levels, and we do not claim that the reform caused any decline in grain quality — the identification strategy below concerns the </w:t>
      </w:r>
      <w:r>
        <w:rPr>
          <w:rFonts w:ascii="Times New Roman" w:hAnsi="Times New Roman" w:eastAsia="Times New Roman"/>
          <w:i/>
          <w:sz w:val="24"/>
        </w:rPr>
        <w:t>entering population</w:t>
      </w:r>
      <w:r>
        <w:rPr>
          <w:rFonts w:ascii="Times New Roman" w:hAnsi="Times New Roman" w:eastAsia="Times New Roman"/>
          <w:sz w:val="24"/>
        </w:rPr>
        <w:t xml:space="preserve">, not the </w:t>
      </w:r>
      <w:r>
        <w:rPr>
          <w:rFonts w:ascii="Times New Roman" w:hAnsi="Times New Roman" w:eastAsia="Times New Roman"/>
          <w:i/>
          <w:sz w:val="24"/>
        </w:rPr>
        <w:t>time trend</w:t>
      </w:r>
      <w:r>
        <w:rPr>
          <w:rFonts w:ascii="Times New Roman" w:hAnsi="Times New Roman" w:eastAsia="Times New Roman"/>
          <w:sz w:val="24"/>
        </w:rPr>
        <w:t>.</w:t>
      </w:r>
    </w:p>
    <w:p>
      <w:pPr>
        <w:spacing w:line="480" w:lineRule="auto" w:after="160"/>
        <w:jc w:val="left"/>
      </w:pPr>
      <w:r>
        <w:rPr>
          <w:rFonts w:ascii="Times New Roman" w:hAnsi="Times New Roman" w:eastAsia="Times New Roman"/>
          <w:sz w:val="24"/>
        </w:rPr>
        <w:t xml:space="preserve">The identification argument that makes this composition gap informative rests on where the two trait classes are measured. Grain-processing and appearance quality — head-rice percentage, chalkiness, and the national quality grade — are measured after approval by ministry-designated third-party laboratories under the industry standard NY/T 593, uniformly across channels. Agronomic performance in the regional and production trials — yield and the reported yield gain over the check — is measured by the applicant's own trial organisation when the channel is self-organised. A pure difference in applicant breeding ability predicts that both trait classes move together: weaker applicants would enter with worse quality </w:t>
      </w:r>
      <w:r>
        <w:rPr>
          <w:rFonts w:ascii="Times New Roman" w:hAnsi="Times New Roman" w:eastAsia="Times New Roman"/>
          <w:i/>
          <w:sz w:val="24"/>
        </w:rPr>
        <w:t>and</w:t>
      </w:r>
      <w:r>
        <w:rPr>
          <w:rFonts w:ascii="Times New Roman" w:hAnsi="Times New Roman" w:eastAsia="Times New Roman"/>
          <w:sz w:val="24"/>
        </w:rPr>
        <w:t xml:space="preserve"> worse performance. We instead find a sign separation: consortium entrants show 1.84 percentage points lower head-rice percentage, 1.11 points higher chalkiness, and a 12.2-point lower probability of carrying a stated national quality grade (n = 742/739/750) — all third-party-assayed — while the applicant-measured yield gain is, if anything, higher rather than lower. A breeding-ability account cannot generate this pattern; only an account in which the two trait classes are measured by different parties, or the two channels apply different thresholds, can. We report this sign separation as the paper's identification argument, not as a discussion-section aside, and we are explicit that it cannot on its own distinguish measurement discretion from a difference in channel-specific admission thresholds.</w:t>
      </w:r>
    </w:p>
    <w:p>
      <w:pPr>
        <w:spacing w:line="480" w:lineRule="auto" w:after="160"/>
        <w:jc w:val="left"/>
      </w:pPr>
      <w:r>
        <w:rPr>
          <w:rFonts w:ascii="Times New Roman" w:hAnsi="Times New Roman" w:eastAsia="Times New Roman"/>
          <w:sz w:val="24"/>
        </w:rPr>
        <w:t>This paper makes three contributions.</w:t>
      </w:r>
    </w:p>
    <w:p>
      <w:pPr>
        <w:spacing w:line="480" w:lineRule="auto" w:after="160"/>
        <w:jc w:val="left"/>
      </w:pPr>
      <w:r>
        <w:rPr>
          <w:rFonts w:ascii="Times New Roman" w:hAnsi="Times New Roman" w:eastAsia="Times New Roman"/>
          <w:b/>
          <w:sz w:val="24"/>
        </w:rPr>
        <w:t>First</w:t>
      </w:r>
      <w:r>
        <w:rPr>
          <w:rFonts w:ascii="Times New Roman" w:hAnsi="Times New Roman" w:eastAsia="Times New Roman"/>
          <w:sz w:val="24"/>
        </w:rPr>
        <w:t>, it constructs the first record-level trial-channel variable for China's variety approval system, built directly from the wording of official approval announcements rather than from a before/after period indicator. This turns "the 2016 reform" from a single time-varying treatment into an observable, record-level assignment that can be compared within year, trial group and check — the design that Xiang et al. (2025) and Zhao et al. (2022) could not implement without this variable.</w:t>
      </w:r>
    </w:p>
    <w:p>
      <w:pPr>
        <w:spacing w:line="480" w:lineRule="auto" w:after="160"/>
        <w:jc w:val="left"/>
      </w:pPr>
      <w:r>
        <w:rPr>
          <w:rFonts w:ascii="Times New Roman" w:hAnsi="Times New Roman" w:eastAsia="Times New Roman"/>
          <w:b/>
          <w:sz w:val="24"/>
        </w:rPr>
        <w:t>Second</w:t>
      </w:r>
      <w:r>
        <w:rPr>
          <w:rFonts w:ascii="Times New Roman" w:hAnsi="Times New Roman" w:eastAsia="Times New Roman"/>
          <w:sz w:val="24"/>
        </w:rPr>
        <w:t xml:space="preserve">, it turns the coexistence of applicant-measured and third-party-measured traits within the same approval file into an identification argument, rather than a description. The regulatory-economics literature on self-certification has shown, experimentally, that a regulated party's own choice of auditor yields systematically favourable readings of the </w:t>
      </w:r>
      <w:r>
        <w:rPr>
          <w:rFonts w:ascii="Times New Roman" w:hAnsi="Times New Roman" w:eastAsia="Times New Roman"/>
          <w:i/>
          <w:sz w:val="24"/>
        </w:rPr>
        <w:t>same</w:t>
      </w:r>
      <w:r>
        <w:rPr>
          <w:rFonts w:ascii="Times New Roman" w:hAnsi="Times New Roman" w:eastAsia="Times New Roman"/>
          <w:sz w:val="24"/>
        </w:rPr>
        <w:t xml:space="preserve"> attribute (Duflo et al., 2013), and that firms endogenously choose certifiers that have previously rated them favourably (Bar and Zheng, 2019). We do not have two measurements of the same attribute; we have two different attributes, measured by two different parties, inside a single document. The sign separation described above is the evidence this design can produce, and we show why a pure applicant-selection account cannot reproduce it on its own.</w:t>
      </w:r>
    </w:p>
    <w:p>
      <w:pPr>
        <w:spacing w:line="480" w:lineRule="auto" w:after="160"/>
        <w:jc w:val="left"/>
      </w:pPr>
      <w:r>
        <w:rPr>
          <w:rFonts w:ascii="Times New Roman" w:hAnsi="Times New Roman" w:eastAsia="Times New Roman"/>
          <w:b/>
          <w:sz w:val="24"/>
        </w:rPr>
        <w:t>Third</w:t>
      </w:r>
      <w:r>
        <w:rPr>
          <w:rFonts w:ascii="Times New Roman" w:hAnsi="Times New Roman" w:eastAsia="Times New Roman"/>
          <w:sz w:val="24"/>
        </w:rPr>
        <w:t>, it splits the reform into two treatments that do not overlap in time and shows that pooling them manufactures an average that never occurred: the green channel (2017) and consortium trials (2019–2022) differ in sign on at least one trait (the applicant-measured production-trial yield gain), so estimating them jointly as a single "new channel" would misstate the direction of the underlying gap. Within this design, we use Anhui Winall Hi-Tech Seed Co. — the single largest beneficiary of rising national-approval share among integrated seed enterprises over this period, and a firm the green channel was in principle designed to serve — as a counter-case, not as a source of the main result: it uses the unified trial more, not less, than its peers, which rules out "self-organised entrants are simply weaker firms" as an alternative explanation for the quality gap. This role is deliberately narrow, and the main results do not depend on this firm's records.</w:t>
      </w:r>
    </w:p>
    <w:p>
      <w:pPr>
        <w:spacing w:line="480" w:lineRule="auto" w:after="160"/>
        <w:jc w:val="left"/>
      </w:pPr>
      <w:r>
        <w:rPr>
          <w:rFonts w:ascii="Times New Roman" w:hAnsi="Times New Roman" w:eastAsia="Times New Roman"/>
          <w:sz w:val="24"/>
        </w:rPr>
        <w:t xml:space="preserve">This paper's approach — an institutional-economics reading of a Chinese crop-sector regulation, using approval-record text rather than a laboratory or field trial as its evidence base — sits alongside a strand of </w:t>
      </w:r>
      <w:r>
        <w:rPr>
          <w:rFonts w:ascii="Times New Roman" w:hAnsi="Times New Roman" w:eastAsia="Times New Roman"/>
          <w:i/>
          <w:sz w:val="24"/>
        </w:rPr>
        <w:t>Journal of Integrative Agriculture</w:t>
      </w:r>
      <w:r>
        <w:rPr>
          <w:rFonts w:ascii="Times New Roman" w:hAnsi="Times New Roman" w:eastAsia="Times New Roman"/>
          <w:sz w:val="24"/>
        </w:rPr>
        <w:t xml:space="preserve"> scholarship on cognate topics: variety-improvement history and germplasm contribution (Shi and Hu, 2017), information asymmetry in farmers' seed-choice behaviour (Qiu et al., 2016), and contract-farming incentive design in Chinese agriculture (Huang et al., 2018). We situate the present paper alongside these three not because they share our method, but because they establish that JIA already publishes exactly this blend of institutional-economics-of-agriculture work on China's seed and farming sectors.</w:t>
      </w:r>
    </w:p>
    <w:p>
      <w:pPr>
        <w:spacing w:line="480" w:lineRule="auto" w:after="160"/>
        <w:jc w:val="left"/>
      </w:pPr>
      <w:r>
        <w:rPr>
          <w:rFonts w:ascii="Times New Roman" w:hAnsi="Times New Roman" w:eastAsia="Times New Roman"/>
          <w:sz w:val="24"/>
        </w:rPr>
        <w:t>The remainder of the paper proceeds as follows. Section 2 describes the institutional path from the unified regional trial to the green channel and consortium trials, and the quality-testing regime under NY/T 593. Section 3 describes the data and the construction and validation of the channel variable. Section 4 sets out the empirical strategy and states formally what the paper does and does not claim. Sections 5 and 6 report the main results and their robustness. Section 7 examines Winall Hi-Tech as a counter-case. Section 8 discusses the paper's contribution to the literature on self-certification and its policy implications, and Section 9 concludes.</w:t>
      </w:r>
    </w:p>
    <w:p>
      <w:pPr>
        <w:keepNext/>
        <w:spacing w:line="480" w:lineRule="auto" w:after="120"/>
        <w:jc w:val="left"/>
      </w:pPr>
      <w:r>
        <w:rPr>
          <w:rFonts w:ascii="Times New Roman" w:hAnsi="Times New Roman" w:eastAsia="Times New Roman"/>
          <w:b/>
          <w:sz w:val="26"/>
        </w:rPr>
        <w:t>2. Institutional background</w:t>
      </w:r>
    </w:p>
    <w:p>
      <w:pPr>
        <w:spacing w:line="480" w:lineRule="auto" w:after="160"/>
        <w:jc w:val="left"/>
      </w:pPr>
      <w:r>
        <w:rPr>
          <w:rFonts w:ascii="Times New Roman" w:hAnsi="Times New Roman" w:eastAsia="Times New Roman"/>
          <w:sz w:val="24"/>
        </w:rPr>
        <w:t xml:space="preserve">China's variety approval system evaluates candidate crop varieties before they may be marketed as certified seed, and until 2016 the evaluation trial itself was uniformly state-run. Under this arrangement, a candidate variety enters the </w:t>
      </w:r>
      <w:r>
        <w:rPr>
          <w:rFonts w:ascii="Times New Roman" w:hAnsi="Times New Roman" w:eastAsia="Times New Roman"/>
          <w:b/>
          <w:sz w:val="24"/>
        </w:rPr>
        <w:t>unified regional trial</w:t>
      </w:r>
      <w:r>
        <w:rPr>
          <w:rFonts w:ascii="Times New Roman" w:hAnsi="Times New Roman" w:eastAsia="Times New Roman"/>
          <w:sz w:val="24"/>
        </w:rPr>
        <w:t xml:space="preserve"> (统一区域试验): a multi-site, multi-year trial organised by the provincial or national variety approval committee, in which every applicant's variety is grown alongside a named check variety under a common protocol. The unified trial remained the only route into approval until a green channel was opened in 2014.</w:t>
      </w:r>
    </w:p>
    <w:p>
      <w:pPr>
        <w:spacing w:line="480" w:lineRule="auto" w:after="160"/>
        <w:jc w:val="left"/>
      </w:pPr>
      <w:r>
        <w:rPr>
          <w:rFonts w:ascii="Times New Roman" w:hAnsi="Times New Roman" w:eastAsia="Times New Roman"/>
          <w:sz w:val="24"/>
        </w:rPr>
        <w:t xml:space="preserve">The </w:t>
      </w:r>
      <w:r>
        <w:rPr>
          <w:rFonts w:ascii="Times New Roman" w:hAnsi="Times New Roman" w:eastAsia="Times New Roman"/>
          <w:b/>
          <w:sz w:val="24"/>
        </w:rPr>
        <w:t>green channel</w:t>
      </w:r>
      <w:r>
        <w:rPr>
          <w:rFonts w:ascii="Times New Roman" w:hAnsi="Times New Roman" w:eastAsia="Times New Roman"/>
          <w:sz w:val="24"/>
        </w:rPr>
        <w:t xml:space="preserve"> (绿色通道), introduced in 2014, allows certified integrated seed-breeding-production-extension enterprises to organise and run their own regional and production trials for their own candidate varieties, rather than entering the state-run unified trial. In our data the green channel appears concentrated in a single approval year, 2017, before consortium trials became available as an alternative self-organised route.</w:t>
      </w:r>
    </w:p>
    <w:p>
      <w:pPr>
        <w:spacing w:line="480" w:lineRule="auto" w:after="160"/>
        <w:jc w:val="left"/>
      </w:pPr>
      <w:r>
        <w:rPr>
          <w:rFonts w:ascii="Times New Roman" w:hAnsi="Times New Roman" w:eastAsia="Times New Roman"/>
          <w:sz w:val="24"/>
        </w:rPr>
        <w:t xml:space="preserve">The 2016 revision of the </w:t>
      </w:r>
      <w:r>
        <w:rPr>
          <w:rFonts w:ascii="Times New Roman" w:hAnsi="Times New Roman" w:eastAsia="Times New Roman"/>
          <w:i/>
          <w:sz w:val="24"/>
        </w:rPr>
        <w:t>Measures for the Administration of Crop Variety Approval</w:t>
      </w:r>
      <w:r>
        <w:rPr>
          <w:rFonts w:ascii="Times New Roman" w:hAnsi="Times New Roman" w:eastAsia="Times New Roman"/>
          <w:sz w:val="24"/>
        </w:rPr>
        <w:t xml:space="preserve"> (主要农作物品种审定办法, Order No. 4 of the Ministry of Agriculture, effective 15 August 2016), which superseded the 2001, 2007 and prior 2014 versions, extended self-organised testing further by creating the </w:t>
      </w:r>
      <w:r>
        <w:rPr>
          <w:rFonts w:ascii="Times New Roman" w:hAnsi="Times New Roman" w:eastAsia="Times New Roman"/>
          <w:b/>
          <w:sz w:val="24"/>
        </w:rPr>
        <w:t>consortium trial</w:t>
      </w:r>
      <w:r>
        <w:rPr>
          <w:rFonts w:ascii="Times New Roman" w:hAnsi="Times New Roman" w:eastAsia="Times New Roman"/>
          <w:sz w:val="24"/>
        </w:rPr>
        <w:t xml:space="preserve"> (联合体区域试验): a regional trial organised by a consortium of five or more breeders — an enterprise consortium, a science-enterprise consortium, or a consortium of research institutes — rather than by the state trial system. In the approval announcements we parse, consortium-trial records first appear in 2019 and are the dominant self-organised channel from 2019 through 2022, while the green channel and consortium trials barely overlap in time.</w:t>
      </w:r>
    </w:p>
    <w:p>
      <w:pPr>
        <w:spacing w:line="480" w:lineRule="auto" w:after="160"/>
        <w:jc w:val="left"/>
      </w:pPr>
      <w:r>
        <w:rPr>
          <w:rFonts w:ascii="Times New Roman" w:hAnsi="Times New Roman" w:eastAsia="Times New Roman"/>
          <w:sz w:val="24"/>
        </w:rPr>
        <w:t xml:space="preserve">Once a candidate variety completes its trial, regardless of which of the three channels produced it, its grain-processing and appearance quality are assessed under a separate, uniform regime. This assessment is not organised by the applicant or by the trial channel: samples are tested by laboratories designated by the Ministry of Agriculture and Rural Affairs, applying the agricultural industry standard </w:t>
      </w:r>
      <w:r>
        <w:rPr>
          <w:rFonts w:ascii="Times New Roman" w:hAnsi="Times New Roman" w:eastAsia="Times New Roman"/>
          <w:b/>
          <w:sz w:val="24"/>
        </w:rPr>
        <w:t>NY/T 593</w:t>
      </w:r>
      <w:r>
        <w:rPr>
          <w:rFonts w:ascii="Times New Roman" w:hAnsi="Times New Roman" w:eastAsia="Times New Roman"/>
          <w:sz w:val="24"/>
        </w:rPr>
        <w:t xml:space="preserve"> ("Quality requirements for rice," 优质稻谷), which defines the grading of traits such as head-rice percentage and chalkiness degree and the national or industry quality grade that an approved variety may carry. The channel through which a variety enters — unified trial, green channel, or consortium trial — therefore determines who measures its agronomic performance, but not who measures its grain-processing and appearance quality; the latter is measured by the same designated third-party laboratories under NY/T 593 irrespective of channel.</w:t>
      </w:r>
    </w:p>
    <w:p>
      <w:pPr>
        <w:spacing w:line="480" w:lineRule="auto" w:after="160"/>
        <w:jc w:val="left"/>
      </w:pPr>
      <w:r>
        <w:rPr>
          <w:rFonts w:ascii="Times New Roman" w:hAnsi="Times New Roman" w:eastAsia="Times New Roman"/>
          <w:sz w:val="24"/>
        </w:rPr>
        <w:t xml:space="preserve">Two further regulatory changes fall inside or at the edge of our sample window. In 2021, the approval standards for rice and maize were revised to raise the required thresholds for yield, quality and resistance traits; approval volumes for rice fell markedly in the years that followed. Our evidence for the content and date of this revision comes from industry-media reporting rather than a first-hand ministry document, and we flag this lower confidence explicitly. On 1 March 2022, the revised Seed Law took effect — its fourth revision since the law's original 2000 promulgation — establishing an essentially derived variety (EDV) system under which a variety found to be essentially derived from a protected variety may itself be granted a variety right, but its commercial exploitation requires the consent of the original right-holder, and the scope of protection was extended from propagating material to harvested material. On 31 August 2022, the General Office of the Ministry of Agriculture and Rural Affairs issued the </w:t>
      </w:r>
      <w:r>
        <w:rPr>
          <w:rFonts w:ascii="Times New Roman" w:hAnsi="Times New Roman" w:eastAsia="Times New Roman"/>
          <w:i/>
          <w:sz w:val="24"/>
        </w:rPr>
        <w:t>Notice on Strengthening the Management of Green-Channel and Consortium Trials for Major Crop Varieties</w:t>
      </w:r>
      <w:r>
        <w:rPr>
          <w:rFonts w:ascii="Times New Roman" w:hAnsi="Times New Roman" w:eastAsia="Times New Roman"/>
          <w:sz w:val="24"/>
        </w:rPr>
        <w:t>, launching a special rectification campaign directed at green-channel and consortium-trial practices. This notice falls at the end of our sample window (2017–2022); we treat it as marking the point after which the identifying variation in trial channel becomes harder to observe in later announcements, without inferring what motivated the notice.</w:t>
      </w:r>
    </w:p>
    <w:p>
      <w:pPr>
        <w:spacing w:line="480" w:lineRule="auto" w:after="160"/>
        <w:jc w:val="left"/>
      </w:pPr>
      <w:r>
        <w:rPr>
          <w:rFonts w:ascii="Times New Roman" w:hAnsi="Times New Roman" w:eastAsia="Times New Roman"/>
          <w:sz w:val="24"/>
        </w:rPr>
        <w:t>We report these five events — the 2014 green channel, the 2016 Measures establishing consortium trials, the 2021 standard revision, the 2022 EDV provision, and the 2022 special-rectification notice — strictly as a timeline of official actions that preceded or coincided with our sample period. Their sequence motivates the sample window and the two-arm treatment structure used throughout the paper, but we do not draw any inference about regulatory intent from this sequence, and we do not attribute any trend in trait levels to a specific event unless a corresponding structural-break test (Section 6) supports it.</w:t>
      </w:r>
    </w:p>
    <w:p>
      <w:pPr>
        <w:keepNext/>
        <w:spacing w:line="480" w:lineRule="auto" w:after="120"/>
        <w:jc w:val="left"/>
      </w:pPr>
      <w:r>
        <w:rPr>
          <w:rFonts w:ascii="Times New Roman" w:hAnsi="Times New Roman" w:eastAsia="Times New Roman"/>
          <w:b/>
          <w:sz w:val="26"/>
        </w:rPr>
        <w:t>3. Data</w:t>
      </w:r>
    </w:p>
    <w:p>
      <w:pPr>
        <w:keepNext/>
        <w:spacing w:line="480" w:lineRule="auto" w:after="120"/>
        <w:jc w:val="left"/>
      </w:pPr>
      <w:r>
        <w:rPr>
          <w:rFonts w:ascii="Times New Roman" w:hAnsi="Times New Roman" w:eastAsia="Times New Roman"/>
          <w:b/>
          <w:sz w:val="24"/>
        </w:rPr>
        <w:t>3.1 Source and construction of the trial-channel variable</w:t>
      </w:r>
    </w:p>
    <w:p>
      <w:pPr>
        <w:spacing w:line="480" w:lineRule="auto" w:after="160"/>
        <w:jc w:val="left"/>
      </w:pPr>
      <w:r>
        <w:rPr>
          <w:rFonts w:ascii="Times New Roman" w:hAnsi="Times New Roman" w:eastAsia="Times New Roman"/>
          <w:sz w:val="24"/>
        </w:rPr>
        <w:t xml:space="preserve">The record-level unit of analysis in this paper is a </w:t>
      </w:r>
      <w:r>
        <w:rPr>
          <w:rFonts w:ascii="Times New Roman" w:hAnsi="Times New Roman" w:eastAsia="Times New Roman"/>
          <w:i/>
          <w:sz w:val="24"/>
        </w:rPr>
        <w:t>variety × ecological trial group</w:t>
      </w:r>
      <w:r>
        <w:rPr>
          <w:rFonts w:ascii="Times New Roman" w:hAnsi="Times New Roman" w:eastAsia="Times New Roman"/>
          <w:sz w:val="24"/>
        </w:rPr>
        <w:t xml:space="preserve"> approval entry. The underlying corpus is a parsed compilation of China's national and provincial rice variety approval announcements, </w:t>
      </w:r>
      <w:r>
        <w:rPr>
          <w:rFonts w:ascii="Times New Roman" w:hAnsi="Times New Roman" w:eastAsia="Times New Roman"/>
          <w:sz w:val="24"/>
        </w:rPr>
        <w:t>analysis_rice_channel.pkl</w:t>
      </w:r>
      <w:r>
        <w:rPr>
          <w:rFonts w:ascii="Times New Roman" w:hAnsi="Times New Roman" w:eastAsia="Times New Roman"/>
          <w:sz w:val="24"/>
        </w:rPr>
        <w:t xml:space="preserve"> (6,734 deduplicated records: 2,386 national-level and 4,347 provincial-level, 1999–2025). The announcements themselves — issued by the Ministry of Agriculture and Rural Affairs (MARA) and, for provincial approvals, by provincial crop variety approval committees — are the primary source of every substantive field used in the analysis. We did not access these announcements directly from MARA's own archive; the text corpus was obtained through a publicly available third-party aggregation, </w:t>
      </w:r>
      <w:r>
        <w:rPr>
          <w:rFonts w:ascii="Times New Roman" w:hAnsi="Times New Roman" w:eastAsia="Times New Roman"/>
          <w:sz w:val="24"/>
        </w:rPr>
        <w:t>he-zhui/Rice_QA</w:t>
      </w:r>
      <w:r>
        <w:rPr>
          <w:rFonts w:ascii="Times New Roman" w:hAnsi="Times New Roman" w:eastAsia="Times New Roman"/>
          <w:sz w:val="24"/>
        </w:rPr>
        <w:t xml:space="preserve"> (GitHub), which we re-parsed with our own regular-expression rules. We are explicit about this two-step provenance throughout: the data are </w:t>
      </w:r>
      <w:r>
        <w:rPr>
          <w:rFonts w:ascii="Times New Roman" w:hAnsi="Times New Roman" w:eastAsia="Times New Roman"/>
          <w:i/>
          <w:sz w:val="24"/>
        </w:rPr>
        <w:t>MARA variety-approval announcements, obtained through the public third-party compilation he-zhui/Rice_QA and parsed by the authors</w:t>
      </w:r>
      <w:r>
        <w:rPr>
          <w:rFonts w:ascii="Times New Roman" w:hAnsi="Times New Roman" w:eastAsia="Times New Roman"/>
          <w:sz w:val="24"/>
        </w:rPr>
        <w:t>, not a first-hand MARA data product and not a full official census of approvals (coverage of the compilation declines sharply after 2022: 85/409 announcements captured for 2023, 61/405 for 2024, and 2 for 2025 — see §3.3). For this reason the number of approved varieties in any given year is never used as an outcome variable in this paper; it appears only descriptively, with its coverage caveat attached.</w:t>
      </w:r>
    </w:p>
    <w:p>
      <w:pPr>
        <w:spacing w:line="480" w:lineRule="auto" w:after="160"/>
        <w:jc w:val="left"/>
      </w:pPr>
      <w:r>
        <w:rPr>
          <w:rFonts w:ascii="Times New Roman" w:hAnsi="Times New Roman" w:eastAsia="Times New Roman"/>
          <w:sz w:val="24"/>
        </w:rPr>
        <w:t xml:space="preserve">Every element of our identification strategy depends on one feature of the announcement text that, to our knowledge, no prior study has used: each announcement states, in its "yield performance" or "characteristics" paragraph, which trial the variety was actually tested in. We use this to construct a record-level trial-channel variable, </w:t>
      </w:r>
      <w:r>
        <w:rPr>
          <w:rFonts w:ascii="Times New Roman" w:hAnsi="Times New Roman" w:eastAsia="Times New Roman"/>
          <w:sz w:val="24"/>
        </w:rPr>
        <w:t>channel</w:t>
      </w:r>
      <w:r>
        <w:rPr>
          <w:rFonts w:ascii="Times New Roman" w:hAnsi="Times New Roman" w:eastAsia="Times New Roman"/>
          <w:sz w:val="24"/>
        </w:rPr>
        <w:t xml:space="preserve">, by regular-expression matching on the announcement text (after whitespace normalization): records containing "绿色通道" (green channel) or "自主试验" (self-organised trial) are coded Green; records containing "联合体" (consortium) are coded Consortium; all remaining records are coded Unified (the state-run integrated regional trial). </w:t>
      </w:r>
      <w:r>
        <w:rPr>
          <w:rFonts w:ascii="Times New Roman" w:hAnsi="Times New Roman" w:eastAsia="Times New Roman"/>
          <w:sz w:val="24"/>
        </w:rPr>
        <w:t>new_channel</w:t>
      </w:r>
      <w:r>
        <w:rPr>
          <w:rFonts w:ascii="Times New Roman" w:hAnsi="Times New Roman" w:eastAsia="Times New Roman"/>
          <w:sz w:val="24"/>
        </w:rPr>
        <w:t xml:space="preserve"> collapses Green and Consortium into a single self-organised indicator, used only for descriptive purposes (see §4 for why the two channels are estimated as separate treatment arms rather than pooled). The trial group itself (</w:t>
      </w:r>
      <w:r>
        <w:rPr>
          <w:rFonts w:ascii="Times New Roman" w:hAnsi="Times New Roman" w:eastAsia="Times New Roman"/>
          <w:sz w:val="24"/>
        </w:rPr>
        <w:t>trial_group</w:t>
      </w:r>
      <w:r>
        <w:rPr>
          <w:rFonts w:ascii="Times New Roman" w:hAnsi="Times New Roman" w:eastAsia="Times New Roman"/>
          <w:sz w:val="24"/>
        </w:rPr>
        <w:t>) is extracted from the surrounding "participated in [X] regional trial" text and stripped of the year and channel label; the named check variety (</w:t>
      </w:r>
      <w:r>
        <w:rPr>
          <w:rFonts w:ascii="Times New Roman" w:hAnsi="Times New Roman" w:eastAsia="Times New Roman"/>
          <w:sz w:val="24"/>
        </w:rPr>
        <w:t>ck_n</w:t>
      </w:r>
      <w:r>
        <w:rPr>
          <w:rFonts w:ascii="Times New Roman" w:hAnsi="Times New Roman" w:eastAsia="Times New Roman"/>
          <w:sz w:val="24"/>
        </w:rPr>
        <w:t>) and the approval year (</w:t>
      </w:r>
      <w:r>
        <w:rPr>
          <w:rFonts w:ascii="Times New Roman" w:hAnsi="Times New Roman" w:eastAsia="Times New Roman"/>
          <w:sz w:val="24"/>
        </w:rPr>
        <w:t>approval_year</w:t>
      </w:r>
      <w:r>
        <w:rPr>
          <w:rFonts w:ascii="Times New Roman" w:hAnsi="Times New Roman" w:eastAsia="Times New Roman"/>
          <w:sz w:val="24"/>
        </w:rPr>
        <w:t xml:space="preserve">) are parsed directly from the same paragraph and from the approval-number field. Parsing succeeded for 100% of national-level records for </w:t>
      </w:r>
      <w:r>
        <w:rPr>
          <w:rFonts w:ascii="Times New Roman" w:hAnsi="Times New Roman" w:eastAsia="Times New Roman"/>
          <w:sz w:val="24"/>
        </w:rPr>
        <w:t>trial_group</w:t>
      </w:r>
      <w:r>
        <w:rPr>
          <w:rFonts w:ascii="Times New Roman" w:hAnsi="Times New Roman" w:eastAsia="Times New Roman"/>
          <w:sz w:val="24"/>
        </w:rPr>
        <w:t xml:space="preserve">, </w:t>
      </w:r>
      <w:r>
        <w:rPr>
          <w:rFonts w:ascii="Times New Roman" w:hAnsi="Times New Roman" w:eastAsia="Times New Roman"/>
          <w:sz w:val="24"/>
        </w:rPr>
        <w:t>ck_n</w:t>
      </w:r>
      <w:r>
        <w:rPr>
          <w:rFonts w:ascii="Times New Roman" w:hAnsi="Times New Roman" w:eastAsia="Times New Roman"/>
          <w:sz w:val="24"/>
        </w:rPr>
        <w:t xml:space="preserve">, and </w:t>
      </w:r>
      <w:r>
        <w:rPr>
          <w:rFonts w:ascii="Times New Roman" w:hAnsi="Times New Roman" w:eastAsia="Times New Roman"/>
          <w:sz w:val="24"/>
        </w:rPr>
        <w:t>approval_year</w:t>
      </w:r>
      <w:r>
        <w:rPr>
          <w:rFonts w:ascii="Times New Roman" w:hAnsi="Times New Roman" w:eastAsia="Times New Roman"/>
          <w:sz w:val="24"/>
        </w:rPr>
        <w:t>; the channel label itself is unrecoverable for 233 of 234 national records approved in 2018 (99.6%), which we treat as a documentation-format gap for that year rather than as evidence that self-organised trials did not exist in 2018 (see the year-by-year channel count by channel, Fig. 1 and Table 1, and robustness check R4 in §6, which shows the 2018 coding choice is immaterial to the main estimates).</w:t>
      </w:r>
    </w:p>
    <w:p>
      <w:pPr>
        <w:keepNext/>
        <w:spacing w:line="480" w:lineRule="auto" w:after="120"/>
        <w:jc w:val="left"/>
      </w:pPr>
      <w:r>
        <w:rPr>
          <w:rFonts w:ascii="Times New Roman" w:hAnsi="Times New Roman" w:eastAsia="Times New Roman"/>
          <w:b/>
          <w:sz w:val="24"/>
        </w:rPr>
        <w:t>3.2 Sample and stratification</w:t>
      </w:r>
    </w:p>
    <w:p>
      <w:pPr>
        <w:spacing w:line="480" w:lineRule="auto" w:after="160"/>
        <w:jc w:val="left"/>
      </w:pPr>
      <w:r>
        <w:rPr>
          <w:rFonts w:ascii="Times New Roman" w:hAnsi="Times New Roman" w:eastAsia="Times New Roman"/>
          <w:sz w:val="24"/>
        </w:rPr>
        <w:t xml:space="preserve">The main analysis stratum restricts to national-level approvals in the two dominant mid-season indica trial groups — the middle-and-lower Yangtze and the upper-Yangtze mid-season indica groups — in the years in which the channel variable carries identifying variation, 2017 and 2019–2022 (2018 is excluded for the reason above; years before 2017 have no self-organised channel at all and are used only as a pre-reform benchmark, see §4.4 and §6). This yields </w:t>
      </w:r>
      <w:r>
        <w:rPr>
          <w:rFonts w:ascii="Times New Roman" w:hAnsi="Times New Roman" w:eastAsia="Times New Roman"/>
          <w:b/>
          <w:sz w:val="24"/>
        </w:rPr>
        <w:t>n = 878</w:t>
      </w:r>
      <w:r>
        <w:rPr>
          <w:rFonts w:ascii="Times New Roman" w:hAnsi="Times New Roman" w:eastAsia="Times New Roman"/>
          <w:sz w:val="24"/>
        </w:rPr>
        <w:t xml:space="preserve"> records (Unified 406, Consortium 405, Green 67). Because the green channel is concentrated in 2017 and the consortium channel in 2019–2022, and because the two barely overlap in time, we split this stratum into two estimation arms rather than pooling: </w:t>
      </w:r>
      <w:r>
        <w:rPr>
          <w:rFonts w:ascii="Times New Roman" w:hAnsi="Times New Roman" w:eastAsia="Times New Roman"/>
          <w:b/>
          <w:sz w:val="24"/>
        </w:rPr>
        <w:t>Arm 1</w:t>
      </w:r>
      <w:r>
        <w:rPr>
          <w:rFonts w:ascii="Times New Roman" w:hAnsi="Times New Roman" w:eastAsia="Times New Roman"/>
          <w:sz w:val="24"/>
        </w:rPr>
        <w:t xml:space="preserve"> (Consortium vs. Unified, 2019–2022, n = 759 before outcome-specific missingness) and </w:t>
      </w:r>
      <w:r>
        <w:rPr>
          <w:rFonts w:ascii="Times New Roman" w:hAnsi="Times New Roman" w:eastAsia="Times New Roman"/>
          <w:b/>
          <w:sz w:val="24"/>
        </w:rPr>
        <w:t>Arm 2</w:t>
      </w:r>
      <w:r>
        <w:rPr>
          <w:rFonts w:ascii="Times New Roman" w:hAnsi="Times New Roman" w:eastAsia="Times New Roman"/>
          <w:sz w:val="24"/>
        </w:rPr>
        <w:t xml:space="preserve"> (Green vs. Unified, 2017, n = 119). Arm 2's identifying variation comes from only two effective year × trial-group × check cells (a third raw cell contains only Green records and is dropped for lack of within-cell contrast), so all Arm-2 estimates use heteroskedasticity-robust (HC1) rather than cluster-robust standard errors and are flagged as small-sample throughout. An extended stratum that adds every other trial group (n ≈ 1,020–1,029 for Arm 1, 119–125 for Arm 2) is used as a robustness check on the two-trial-group restriction (§6, R3); a pre-reform benchmark layer (national approvals in the same two trial groups, 2005–2016, n ≈ 213) supports the structural-break analysis and the time placebo; and a provincial-approval layer (2021–2022, new-channel 143 / Unified 318) supports an external replication check that we report as statistically inconclusive rather than confirmatory or disconfirmatory (§6, R11).</w:t>
      </w:r>
    </w:p>
    <w:p>
      <w:pPr>
        <w:keepNext/>
        <w:spacing w:line="480" w:lineRule="auto" w:after="120"/>
        <w:jc w:val="left"/>
      </w:pPr>
      <w:r>
        <w:rPr>
          <w:rFonts w:ascii="Times New Roman" w:hAnsi="Times New Roman" w:eastAsia="Times New Roman"/>
          <w:b/>
          <w:sz w:val="24"/>
        </w:rPr>
        <w:t>3.3 Outcome variables, measuring party, and missingness</w:t>
      </w:r>
    </w:p>
    <w:p>
      <w:pPr>
        <w:spacing w:line="480" w:lineRule="auto" w:after="160"/>
        <w:jc w:val="left"/>
      </w:pPr>
      <w:r>
        <w:rPr>
          <w:rFonts w:ascii="Times New Roman" w:hAnsi="Times New Roman" w:eastAsia="Times New Roman"/>
          <w:sz w:val="24"/>
        </w:rPr>
        <w:t xml:space="preserve">The paper's identification argument turns on a distinction the announcements make explicit: some fields report performance as measured by a ministry-designated third-party assay body, and others report performance as measured and submitted by the applicant's own trial. The main quality outcomes — head-rice percentage (processing quality), chalkiness degree (appearance quality), and whether the announcement states a national or industry grain-quality grade — are all assayed by MARA-designated third-party grain-quality laboratories under the national testing standard NY/T 593; two disease-resistance outcomes (neck-blast tolerance grade and bacterial-blight grade) are likewise assessed by ministry-designated resistance-screening units. By contrast, the yield outcomes (two-year regional-trial yield gain over the named check, production-trial yield gain, and absolute regional-trial yield) and most agronomic outcomes (growth duration, plant height, seed-set percentage, thousand-grain weight, grains per panicle) are recorded from the applicant's own trial. </w:t>
      </w:r>
      <w:r>
        <w:rPr>
          <w:rFonts w:ascii="Times New Roman" w:hAnsi="Times New Roman" w:eastAsia="Times New Roman"/>
          <w:sz w:val="24"/>
        </w:rPr>
        <w:t>quality_stated</w:t>
      </w:r>
      <w:r>
        <w:rPr>
          <w:rFonts w:ascii="Times New Roman" w:hAnsi="Times New Roman" w:eastAsia="Times New Roman"/>
          <w:sz w:val="24"/>
        </w:rPr>
        <w:t xml:space="preserve"> is coded 1 if the announcement carries either a numeric quality grade or a named quality standard, and is defined (hence non-missing) for every record by construction; the two source fields underlying it agree on presence/absence 84.5% of the time, and we use their union rather than either field alone to match the substantive definition "the announcement states a quality grade." Because this variable is mechanically close to a missingness indicator for the underlying grade field, we report it explicitly as measuring </w:t>
      </w:r>
      <w:r>
        <w:rPr>
          <w:rFonts w:ascii="Times New Roman" w:hAnsi="Times New Roman" w:eastAsia="Times New Roman"/>
          <w:i/>
          <w:sz w:val="24"/>
        </w:rPr>
        <w:t>announcement disclosure behaviour</w:t>
      </w:r>
      <w:r>
        <w:rPr>
          <w:rFonts w:ascii="Times New Roman" w:hAnsi="Times New Roman" w:eastAsia="Times New Roman"/>
          <w:sz w:val="24"/>
        </w:rPr>
        <w:t xml:space="preserve"> rather than grain quality itself, and we show in §6 (R16) that the coefficient survives, and in fact strengthens, once announcement text length and the count of non-missing fields are controlled for.</w:t>
      </w:r>
    </w:p>
    <w:p>
      <w:pPr>
        <w:spacing w:line="480" w:lineRule="auto" w:after="160"/>
        <w:jc w:val="left"/>
      </w:pPr>
      <w:r>
        <w:rPr>
          <w:rFonts w:ascii="Times New Roman" w:hAnsi="Times New Roman" w:eastAsia="Times New Roman"/>
          <w:sz w:val="24"/>
        </w:rPr>
        <w:t xml:space="preserve">Missingness in the main stratum is low and, for most outcomes, balanced across arms: in Arm 1, head-rice percentage is missing for 0.7% of Consortium records and 1.4% of Unified records, chalkiness for 1.7%/1.4%, and the resistance and grain-composition traits are all within about two percentage points of balance between arms. Three outcomes are not balanced and are treated accordingly: the regional-trial yield-gain variable is 99.8% non-missing in the Consortium arm but only 88.1% in the Unified arm (an 11.6-point gap); the top-two quality-grade indicator is 77.0% vs. 88.7% non-missing (an 11.7-point gap); and absolute regional-trial yield is 100% vs. 90.4% non-missing (a 9.6-point gap). For these three we report Manski worst-case bounds alongside the point estimate (§6, R7) rather than treating the complete-case estimate as the final word. Arm 2 has a more severe problem for one outcome: the regional-trial yield-gain field is populated for only 1.9% of Arm-2 Unified records (1 of 52), so that coefficient is not estimable in this design and is reported as such rather than as a null result. </w:t>
      </w:r>
      <w:r>
        <w:rPr>
          <w:rFonts w:ascii="Times New Roman" w:hAnsi="Times New Roman" w:eastAsia="Times New Roman"/>
          <w:sz w:val="24"/>
        </w:rPr>
        <w:t>applicant_type</w:t>
      </w:r>
      <w:r>
        <w:rPr>
          <w:rFonts w:ascii="Times New Roman" w:hAnsi="Times New Roman" w:eastAsia="Times New Roman"/>
          <w:sz w:val="24"/>
        </w:rPr>
        <w:t xml:space="preserve"> (enterprise / public research institution / joint / unknown), used only in the descriptive comparison in §5 and never as a channel-gap outcome or control in the main specification, is entirely missing for national approvals in 2016, 2017, 2018 and 2021 (904 records) because the announcements in those years do not carry an applicant-institution field; this is a documented structural gap in the source data, not an artefact of our parsing, and it is why any enterprise-vs.-public comparison in this paper is confined to years with a non-missing applicant field and is presented as descriptive rather than causal.</w:t>
      </w:r>
    </w:p>
    <w:p>
      <w:pPr>
        <w:spacing w:line="276" w:lineRule="auto" w:after="160"/>
        <w:jc w:val="left"/>
      </w:pPr>
      <w:r>
        <w:rPr>
          <w:rFonts w:ascii="Times New Roman" w:hAnsi="Times New Roman" w:eastAsia="Times New Roman"/>
          <w:sz w:val="24"/>
        </w:rPr>
        <w:t>Table 1 reports the year-by-year record counts by channel underlying the sample definition above, plotted over the full 2005–2022 series alongside the institutional timeline (§2) in Fig. 1. Table 2 (</w:t>
      </w:r>
      <w:r>
        <w:rPr>
          <w:rFonts w:ascii="Times New Roman" w:hAnsi="Times New Roman" w:eastAsia="Times New Roman"/>
          <w:sz w:val="24"/>
        </w:rPr>
        <w:t>manuscript/tables/table2_descriptive_balance.md</w:t>
      </w:r>
      <w:r>
        <w:rPr>
          <w:rFonts w:ascii="Times New Roman" w:hAnsi="Times New Roman" w:eastAsia="Times New Roman"/>
          <w:sz w:val="24"/>
        </w:rPr>
        <w:t>) assembles a full descriptive and balance summary by arm — means, standard deviations, and missing rates — for all outcome and control variables reported as regression outcomes in Table 3.</w:t>
      </w:r>
    </w:p>
    <w:p>
      <w:pPr>
        <w:keepNext/>
        <w:spacing w:line="480" w:lineRule="auto" w:after="120"/>
        <w:jc w:val="left"/>
      </w:pPr>
      <w:r>
        <w:rPr>
          <w:rFonts w:ascii="Times New Roman" w:hAnsi="Times New Roman" w:eastAsia="Times New Roman"/>
          <w:b/>
          <w:sz w:val="24"/>
        </w:rPr>
        <w:t>3.4 Representativeness and verification</w:t>
      </w:r>
    </w:p>
    <w:p>
      <w:pPr>
        <w:spacing w:line="480" w:lineRule="auto" w:after="160"/>
        <w:jc w:val="left"/>
      </w:pPr>
      <w:r>
        <w:rPr>
          <w:rFonts w:ascii="Times New Roman" w:hAnsi="Times New Roman" w:eastAsia="Times New Roman"/>
          <w:sz w:val="24"/>
        </w:rPr>
        <w:t xml:space="preserve">Two representativeness concerns bear directly on how the results should be read. First, the underlying compilation is a sample of announcements rather than a verified census, with declining coverage after 2022 (§3.1); we therefore restrict the analysis window to 2017–2022 and treat the post-2022 period only as background evidence that the channel distinction is currently being narrowed by regulatory action (see §4.4). Second, because the compilation is a third-party re-transcription of official text rather than the official record itself, transcription and parsing error are a live concern for any single field. Cross-checking the parsed corpus against the original MARA announcement text for a stratified random sample of records — the step needed to report a field-by-field agreement rate in this Methods section — requires reading the primary announcements directly, which the present analysis environment could not reach (see </w:t>
      </w:r>
      <w:r>
        <w:rPr>
          <w:rFonts w:ascii="Times New Roman" w:hAnsi="Times New Roman" w:eastAsia="Times New Roman"/>
          <w:sz w:val="24"/>
        </w:rPr>
        <w:t>evidence/data/feasibility_notes.md</w:t>
      </w:r>
      <w:r>
        <w:rPr>
          <w:rFonts w:ascii="Times New Roman" w:hAnsi="Times New Roman" w:eastAsia="Times New Roman"/>
          <w:sz w:val="24"/>
        </w:rPr>
        <w:t xml:space="preserve">: the MARA announcement portal was not reachable from this session's network). This verification step remains outstanding and is disclosed as such: </w:t>
      </w:r>
      <w:r>
        <w:rPr>
          <w:rFonts w:ascii="Times New Roman" w:hAnsi="Times New Roman" w:eastAsia="Times New Roman"/>
          <w:b/>
          <w:sz w:val="24"/>
        </w:rPr>
        <w:t>the authors will complete a manual, field-by-field cross-check of a stratified random sample of parsed records against the original MARA announcements before submission, and will report the resulting agreement rate in this section; see Unresolved item P4.</w:t>
      </w:r>
      <w:r>
        <w:rPr>
          <w:rFonts w:ascii="Times New Roman" w:hAnsi="Times New Roman" w:eastAsia="Times New Roman"/>
          <w:sz w:val="24"/>
        </w:rPr>
        <w:t xml:space="preserve"> No specific agreement-rate figure is reported here, and none should be inferred or assumed, until that check is done.</w:t>
      </w:r>
    </w:p>
    <w:p>
      <w:pPr>
        <w:keepNext/>
        <w:spacing w:line="480" w:lineRule="auto" w:after="120"/>
        <w:jc w:val="left"/>
      </w:pPr>
      <w:r>
        <w:rPr>
          <w:rFonts w:ascii="Times New Roman" w:hAnsi="Times New Roman" w:eastAsia="Times New Roman"/>
          <w:b/>
          <w:sz w:val="26"/>
        </w:rPr>
        <w:t>4. Empirical strategy</w:t>
      </w:r>
    </w:p>
    <w:p>
      <w:pPr>
        <w:keepNext/>
        <w:spacing w:line="480" w:lineRule="auto" w:after="120"/>
        <w:jc w:val="left"/>
      </w:pPr>
      <w:r>
        <w:rPr>
          <w:rFonts w:ascii="Times New Roman" w:hAnsi="Times New Roman" w:eastAsia="Times New Roman"/>
          <w:b/>
          <w:sz w:val="24"/>
        </w:rPr>
        <w:t>4.1 Two difference-in-differences designs we considered and rejected</w:t>
      </w:r>
    </w:p>
    <w:p>
      <w:pPr>
        <w:spacing w:line="480" w:lineRule="auto" w:after="160"/>
        <w:jc w:val="left"/>
      </w:pPr>
      <w:r>
        <w:rPr>
          <w:rFonts w:ascii="Times New Roman" w:hAnsi="Times New Roman" w:eastAsia="Times New Roman"/>
          <w:sz w:val="24"/>
        </w:rPr>
        <w:t>Before settling on the specification below, we considered and rejected two difference-in-differences (DID) designs that would have let us speak in terms of a causal "effect of the reform," reporting the rejections rather than silently choosing the specification that worked. The first would have used the switch from provincial to national approval as a DID shock; its parallel-trends assumption fails in the pre-period for three of six candidate outcomes (chalkiness +0.515 pp/year, p = 0.006; amylose +0.212, p &lt; 0.0001; thousand-grain weight −0.130, p = 0.003, all trending differently across administrative levels well before 2016), so a post-2016 gap would conflate a genuine channel effect with a pre-existing divergence. The second would have used varying channel exposure across trial groups as a differential-intensity DID; this fails because channel penetration ranges only from about 0.33 to 0.63 across trial groups in our sample years, leaving no low-exposure comparison group to serve as a counterfactual trend. Our design is accordingly not a difference-in-differences and does not estimate a pre/post treatment effect of the 2016 reform; it is a within-cell cross-sectional comparison, described next.</w:t>
      </w:r>
    </w:p>
    <w:p>
      <w:pPr>
        <w:keepNext/>
        <w:spacing w:line="480" w:lineRule="auto" w:after="120"/>
        <w:jc w:val="left"/>
      </w:pPr>
      <w:r>
        <w:rPr>
          <w:rFonts w:ascii="Times New Roman" w:hAnsi="Times New Roman" w:eastAsia="Times New Roman"/>
          <w:b/>
          <w:sz w:val="24"/>
        </w:rPr>
        <w:t>4.2 A record-level trial-channel treatment and the collinearity problem</w:t>
      </w:r>
    </w:p>
    <w:p>
      <w:pPr>
        <w:spacing w:line="480" w:lineRule="auto" w:after="160"/>
        <w:jc w:val="left"/>
      </w:pPr>
      <w:r>
        <w:rPr>
          <w:rFonts w:ascii="Times New Roman" w:hAnsi="Times New Roman" w:eastAsia="Times New Roman"/>
          <w:sz w:val="24"/>
        </w:rPr>
        <w:t>Reconstructing the trial channel at the level of the individual approval record — rather than treating the 2016 reform as a single period indicator, as the one existing evaluation of this reform does (Xiang et al., 2025) — makes it possible to ask a sharper question: not "did the market change after the reform," but "does what enters the market differ depending on which door it came through, within the same year." A naive specification of the form Y ~ channel + year + trial_group + check + breeding_system is not estimable as written: the named check variety is nearly perfectly nested within the trial group (a given trial group in a given year is compared against only one or two checks), so entering trial group and check additively produces a rank-deficient design matrix. We resolve this not by dropping one of the two variables — which would throw away exactly the institutional structure the comparison needs to hold fixed — but by absorbing the year–trial-group–check hierarchy into a single interaction fixed effect,</w:t>
      </w:r>
    </w:p>
    <w:p>
      <w:pPr>
        <w:spacing w:line="480" w:lineRule="auto" w:after="160"/>
        <w:jc w:val="left"/>
      </w:pPr>
      <w:r>
        <w:rPr>
          <w:rFonts w:ascii="Times New Roman" w:hAnsi="Times New Roman" w:eastAsia="Times New Roman"/>
          <w:sz w:val="24"/>
        </w:rPr>
        <w:t>c(i) = Yearᵢ × TrialGroupᵢ × Checkᵢ,</w:t>
      </w:r>
    </w:p>
    <w:p>
      <w:pPr>
        <w:spacing w:line="480" w:lineRule="auto" w:after="160"/>
        <w:jc w:val="left"/>
      </w:pPr>
      <w:r>
        <w:rPr>
          <w:rFonts w:ascii="Times New Roman" w:hAnsi="Times New Roman" w:eastAsia="Times New Roman"/>
          <w:sz w:val="24"/>
        </w:rPr>
        <w:t>which both eliminates the collinearity and sharpens the interpretation of the comparison: every estimated gap is identified purely from records that were tested in the same year, in the same ecological trial group, against the same named check. Cells in which only one channel is observed contribute no identifying variation and are dropped before estimation; the resulting effective sample sizes are what is reported for each outcome in Table 3.</w:t>
      </w:r>
    </w:p>
    <w:p>
      <w:pPr>
        <w:keepNext/>
        <w:spacing w:line="480" w:lineRule="auto" w:after="120"/>
        <w:jc w:val="left"/>
      </w:pPr>
      <w:r>
        <w:rPr>
          <w:rFonts w:ascii="Times New Roman" w:hAnsi="Times New Roman" w:eastAsia="Times New Roman"/>
          <w:b/>
          <w:sz w:val="24"/>
        </w:rPr>
        <w:t>4.3 Main specification and estimator</w:t>
      </w:r>
    </w:p>
    <w:p>
      <w:pPr>
        <w:spacing w:line="480" w:lineRule="auto" w:after="160"/>
        <w:jc w:val="left"/>
      </w:pPr>
      <w:r>
        <w:rPr>
          <w:rFonts w:ascii="Times New Roman" w:hAnsi="Times New Roman" w:eastAsia="Times New Roman"/>
          <w:sz w:val="24"/>
        </w:rPr>
        <w:t>The main specification is</w:t>
      </w:r>
    </w:p>
    <w:p>
      <w:pPr>
        <w:spacing w:line="480" w:lineRule="auto" w:after="160"/>
        <w:jc w:val="left"/>
      </w:pPr>
      <w:r>
        <w:rPr>
          <w:rFonts w:ascii="Times New Roman" w:hAnsi="Times New Roman" w:eastAsia="Times New Roman"/>
          <w:sz w:val="24"/>
        </w:rPr>
        <w:t>Yᵢ = βNewChannelᵢ + γ_(c(i)) + δ_(b(i)) + εᵢ,</w:t>
      </w:r>
    </w:p>
    <w:p>
      <w:pPr>
        <w:spacing w:line="480" w:lineRule="auto" w:after="160"/>
        <w:jc w:val="left"/>
      </w:pPr>
      <w:r>
        <w:rPr>
          <w:rFonts w:ascii="Times New Roman" w:hAnsi="Times New Roman" w:eastAsia="Times New Roman"/>
          <w:sz w:val="24"/>
        </w:rPr>
        <w:t xml:space="preserve">where i indexes an approval record, γ_(c(i)) is the year × trial-group × check interaction fixed effect defined above, and δ_(b(i)) is a fixed effect for the breeding system (two-line hybrid / three-line hybrid / conventional). Standard errors are clustered at the level of c when an arm has at least five effective clusters; when it does not (Arm 2's two-trial-group stratum has only three cells), we report heteroskedasticity- robust (HC1) standard errors instead and flag this explicitly in every table. We estimate the model separately for the two channels rather than pooling them into a single "new channel" treatment, because the green channel (2017) and the consortium channel (2019–2022) are almost non-overlapping in time and, as Table 3 shows, diverge in sign on at least one outcome (the production-trial yield gain is +0.919 percentage points in the consortium arm but −1.036 in the green-channel arm). </w:t>
      </w:r>
      <w:r>
        <w:rPr>
          <w:rFonts w:ascii="Times New Roman" w:hAnsi="Times New Roman" w:eastAsia="Times New Roman"/>
          <w:b/>
          <w:sz w:val="24"/>
        </w:rPr>
        <w:t>Arm 1</w:t>
      </w:r>
      <w:r>
        <w:rPr>
          <w:rFonts w:ascii="Times New Roman" w:hAnsi="Times New Roman" w:eastAsia="Times New Roman"/>
          <w:sz w:val="24"/>
        </w:rPr>
        <w:t xml:space="preserve"> sets NewChannelᵢ = 𝟙[Consortiumᵢ] on the sample restricted to Unified and Consortium records, 2019–2022; </w:t>
      </w:r>
      <w:r>
        <w:rPr>
          <w:rFonts w:ascii="Times New Roman" w:hAnsi="Times New Roman" w:eastAsia="Times New Roman"/>
          <w:b/>
          <w:sz w:val="24"/>
        </w:rPr>
        <w:t>Arm 2</w:t>
      </w:r>
      <w:r>
        <w:rPr>
          <w:rFonts w:ascii="Times New Roman" w:hAnsi="Times New Roman" w:eastAsia="Times New Roman"/>
          <w:sz w:val="24"/>
        </w:rPr>
        <w:t xml:space="preserve"> sets NewChannelᵢ = 𝟙[Greenᵢ] on the sample restricted to Unified and Green records, 2017. A pooled specification that combines both channels into one indicator is reported only as a reference row and is never treated as the paper's headline estimate.</w:t>
      </w:r>
    </w:p>
    <w:p>
      <w:pPr>
        <w:keepNext/>
        <w:spacing w:line="480" w:lineRule="auto" w:after="120"/>
        <w:jc w:val="left"/>
      </w:pPr>
      <w:r>
        <w:rPr>
          <w:rFonts w:ascii="Times New Roman" w:hAnsi="Times New Roman" w:eastAsia="Times New Roman"/>
          <w:b/>
          <w:sz w:val="24"/>
        </w:rPr>
        <w:t>4.4 What β identifies: a composition effect, not a treatment effect</w:t>
      </w:r>
    </w:p>
    <w:p>
      <w:pPr>
        <w:spacing w:line="480" w:lineRule="auto" w:after="160"/>
        <w:jc w:val="left"/>
      </w:pPr>
      <w:r>
        <w:rPr>
          <w:rFonts w:ascii="Times New Roman" w:hAnsi="Times New Roman" w:eastAsia="Times New Roman"/>
          <w:sz w:val="24"/>
        </w:rPr>
        <w:t xml:space="preserve">β must be read as a </w:t>
      </w:r>
      <w:r>
        <w:rPr>
          <w:rFonts w:ascii="Times New Roman" w:hAnsi="Times New Roman" w:eastAsia="Times New Roman"/>
          <w:b/>
          <w:sz w:val="24"/>
        </w:rPr>
        <w:t>composition effect on the entering population</w:t>
      </w:r>
      <w:r>
        <w:rPr>
          <w:rFonts w:ascii="Times New Roman" w:hAnsi="Times New Roman" w:eastAsia="Times New Roman"/>
          <w:sz w:val="24"/>
        </w:rPr>
        <w:t xml:space="preserve">: within the same year–ecology–check cell, how much better or worse, on average, are the varieties that entered through the self-organised door than the varieties that entered through the state-run unified-trial door. It is not an estimate of what would happen if a given variety were moved from one door to the other — that quantity would require either random assignment to channel or a credible instrument for channel choice, and we have neither. This is nonetheless the quantity a regulator monitoring the entering population actually needs, and we are careful never to describe it using the language of </w:t>
      </w:r>
      <w:r>
        <w:rPr>
          <w:rFonts w:ascii="Times New Roman" w:hAnsi="Times New Roman" w:eastAsia="Times New Roman"/>
          <w:i/>
          <w:sz w:val="24"/>
        </w:rPr>
        <w:t>effect of</w:t>
      </w:r>
      <w:r>
        <w:rPr>
          <w:rFonts w:ascii="Times New Roman" w:hAnsi="Times New Roman" w:eastAsia="Times New Roman"/>
          <w:sz w:val="24"/>
        </w:rPr>
        <w:t xml:space="preserve">, </w:t>
      </w:r>
      <w:r>
        <w:rPr>
          <w:rFonts w:ascii="Times New Roman" w:hAnsi="Times New Roman" w:eastAsia="Times New Roman"/>
          <w:i/>
          <w:sz w:val="24"/>
        </w:rPr>
        <w:t>impact of</w:t>
      </w:r>
      <w:r>
        <w:rPr>
          <w:rFonts w:ascii="Times New Roman" w:hAnsi="Times New Roman" w:eastAsia="Times New Roman"/>
          <w:sz w:val="24"/>
        </w:rPr>
        <w:t xml:space="preserve">, or </w:t>
      </w:r>
      <w:r>
        <w:rPr>
          <w:rFonts w:ascii="Times New Roman" w:hAnsi="Times New Roman" w:eastAsia="Times New Roman"/>
          <w:i/>
          <w:sz w:val="24"/>
        </w:rPr>
        <w:t>caused by</w:t>
      </w:r>
      <w:r>
        <w:rPr>
          <w:rFonts w:ascii="Times New Roman" w:hAnsi="Times New Roman" w:eastAsia="Times New Roman"/>
          <w:sz w:val="24"/>
        </w:rPr>
        <w:t xml:space="preserve"> in the title, abstract, or body of the paper.</w:t>
      </w:r>
    </w:p>
    <w:p>
      <w:pPr>
        <w:keepNext/>
        <w:spacing w:line="480" w:lineRule="auto" w:after="120"/>
        <w:jc w:val="left"/>
      </w:pPr>
      <w:r>
        <w:rPr>
          <w:rFonts w:ascii="Times New Roman" w:hAnsi="Times New Roman" w:eastAsia="Times New Roman"/>
          <w:b/>
          <w:sz w:val="24"/>
        </w:rPr>
        <w:t>4.5 Identification argument: separating ability from measurement</w:t>
      </w:r>
    </w:p>
    <w:p>
      <w:pPr>
        <w:spacing w:line="480" w:lineRule="auto" w:after="160"/>
        <w:jc w:val="left"/>
      </w:pPr>
      <w:r>
        <w:rPr>
          <w:rFonts w:ascii="Times New Roman" w:hAnsi="Times New Roman" w:eastAsia="Times New Roman"/>
          <w:sz w:val="24"/>
        </w:rPr>
        <w:t>The paper's central inferential move is to compare two behaviourally distinct classes of outcome within the same specification. Let Y</w:t>
      </w:r>
      <w:r>
        <w:rPr>
          <w:rFonts w:ascii="Times New Roman" w:hAnsi="Times New Roman" w:eastAsia="Times New Roman"/>
          <w:sz w:val="24"/>
          <w:vertAlign w:val="superscript"/>
        </w:rPr>
        <w:t>(3rd) denote an outcome assayed by a ministry-designated third party (head-rice percentage, chalkiness degree, whether a quality grade is stated) and Y</w:t>
      </w:r>
      <w:r>
        <w:rPr>
          <w:rFonts w:ascii="Times New Roman" w:hAnsi="Times New Roman" w:eastAsia="Times New Roman"/>
          <w:sz w:val="24"/>
        </w:rPr>
        <w:t>(self) denote an outcome recorded from the applicant's own trial (regional-trial and production-trial yield gain over the check). Two hypotheses make different predictions about how β</w:t>
      </w:r>
      <w:r>
        <w:rPr>
          <w:rFonts w:ascii="Times New Roman" w:hAnsi="Times New Roman" w:eastAsia="Times New Roman"/>
          <w:sz w:val="24"/>
          <w:vertAlign w:val="superscript"/>
        </w:rPr>
        <w:t>(3rd) and β</w:t>
      </w:r>
      <w:r>
        <w:rPr>
          <w:rFonts w:ascii="Times New Roman" w:hAnsi="Times New Roman" w:eastAsia="Times New Roman"/>
          <w:sz w:val="24"/>
        </w:rPr>
        <w:t>(self) should relate:</w:t>
      </w:r>
    </w:p>
    <w:p>
      <w:pPr>
        <w:pStyle w:val="ListBullet"/>
        <w:spacing w:line="360" w:lineRule="auto" w:after="40"/>
      </w:pPr>
      <w:r>
        <w:rPr>
          <w:rFonts w:ascii="Times New Roman" w:hAnsi="Times New Roman" w:eastAsia="Times New Roman"/>
          <w:b/>
          <w:sz w:val="24"/>
        </w:rPr>
        <w:t>H_(ability) (pure breeding-ability difference)</w:t>
      </w:r>
      <w:r>
        <w:rPr>
          <w:rFonts w:ascii="Times New Roman" w:hAnsi="Times New Roman" w:eastAsia="Times New Roman"/>
          <w:sz w:val="24"/>
        </w:rPr>
        <w:t>: applicants who choose the</w:t>
      </w:r>
    </w:p>
    <w:p>
      <w:pPr>
        <w:spacing w:line="480" w:lineRule="auto" w:after="160"/>
        <w:jc w:val="left"/>
      </w:pPr>
      <w:r>
        <w:rPr>
          <w:rFonts w:ascii="Times New Roman" w:hAnsi="Times New Roman" w:eastAsia="Times New Roman"/>
          <w:sz w:val="24"/>
        </w:rPr>
        <w:t>self-organised channel breed systematically weaker varieties. This predicts β</w:t>
      </w:r>
      <w:r>
        <w:rPr>
          <w:rFonts w:ascii="Times New Roman" w:hAnsi="Times New Roman" w:eastAsia="Times New Roman"/>
          <w:sz w:val="24"/>
          <w:vertAlign w:val="superscript"/>
        </w:rPr>
        <w:t>(3rd) &lt; 0 **and** β</w:t>
      </w:r>
      <w:r>
        <w:rPr>
          <w:rFonts w:ascii="Times New Roman" w:hAnsi="Times New Roman" w:eastAsia="Times New Roman"/>
          <w:sz w:val="24"/>
        </w:rPr>
        <w:t>(self) &lt; 0 — both trait classes deteriorate together, because a weaker breeding programme should show up in every trait it touches, whichever party measures it.</w:t>
      </w:r>
    </w:p>
    <w:p>
      <w:pPr>
        <w:pStyle w:val="ListBullet"/>
        <w:spacing w:line="360" w:lineRule="auto" w:after="40"/>
      </w:pPr>
      <w:r>
        <w:rPr>
          <w:rFonts w:ascii="Times New Roman" w:hAnsi="Times New Roman" w:eastAsia="Times New Roman"/>
          <w:b/>
          <w:sz w:val="24"/>
        </w:rPr>
        <w:t>H_(measure) (measurement-authority allocation)</w:t>
      </w:r>
      <w:r>
        <w:rPr>
          <w:rFonts w:ascii="Times New Roman" w:hAnsi="Times New Roman" w:eastAsia="Times New Roman"/>
          <w:sz w:val="24"/>
        </w:rPr>
        <w:t>: the two trait classes are measured</w:t>
      </w:r>
    </w:p>
    <w:p>
      <w:pPr>
        <w:spacing w:line="480" w:lineRule="auto" w:after="160"/>
        <w:jc w:val="left"/>
      </w:pPr>
      <w:r>
        <w:rPr>
          <w:rFonts w:ascii="Times New Roman" w:hAnsi="Times New Roman" w:eastAsia="Times New Roman"/>
          <w:sz w:val="24"/>
        </w:rPr>
        <w:t>by different parties with different incentives. This predicts β</w:t>
      </w:r>
      <w:r>
        <w:rPr>
          <w:rFonts w:ascii="Times New Roman" w:hAnsi="Times New Roman" w:eastAsia="Times New Roman"/>
          <w:sz w:val="24"/>
          <w:vertAlign w:val="superscript"/>
        </w:rPr>
        <w:t>(3rd) &lt; 0 **while** β</w:t>
      </w:r>
      <w:r>
        <w:rPr>
          <w:rFonts w:ascii="Times New Roman" w:hAnsi="Times New Roman" w:eastAsia="Times New Roman"/>
          <w:sz w:val="24"/>
        </w:rPr>
        <w:t>(self) ≥ 0 — a sign separation, because only the third-party-assayed traits are insulated from the applicant's own reporting incentives.</w:t>
      </w:r>
    </w:p>
    <w:p>
      <w:pPr>
        <w:spacing w:line="480" w:lineRule="auto" w:after="160"/>
        <w:jc w:val="left"/>
      </w:pPr>
      <w:r>
        <w:rPr>
          <w:rFonts w:ascii="Times New Roman" w:hAnsi="Times New Roman" w:eastAsia="Times New Roman"/>
          <w:sz w:val="24"/>
        </w:rPr>
        <w:t>The estimates in Arm 1 show exactly the pattern H_(measure) predicts and H_(ability) rules out: β</w:t>
      </w:r>
      <w:r>
        <w:rPr>
          <w:rFonts w:ascii="Times New Roman" w:hAnsi="Times New Roman" w:eastAsia="Times New Roman"/>
          <w:sz w:val="24"/>
          <w:vertAlign w:val="superscript"/>
        </w:rPr>
        <w:t>(3rd) is −1.844 percentage points for head-rice percentage (p &lt; 0.0001), +1.108 for chalkiness degree (p = 0.012), and −0.122 for the probability of a stated quality grade (p = 0.008), while β</w:t>
      </w:r>
      <w:r>
        <w:rPr>
          <w:rFonts w:ascii="Times New Roman" w:hAnsi="Times New Roman" w:eastAsia="Times New Roman"/>
          <w:sz w:val="24"/>
        </w:rPr>
        <w:t>(self) is +0.554 for regional-trial yield gain (p = 0.020) and +0.919 for production-trial yield gain (p &lt; 0.0001) — the self-reported traits do not deteriorate; if anything they move in the opposite direction. A pure ability-difference story cannot generate this sign separation: it would need self-organised applicants to be simultaneously worse breeders (on quality) and better breeders, or at least not worse ones (on yield), within the same variety. Only an account in which the two trait classes pass through different measuring parties, or in which the two channels differ in the threshold they must clear, can produce it. This sign separation is reported here, in the empirical strategy, and in the abstract — not held back for the Discussion — precisely because it is the paper's identification argument, not an incidental finding.</w:t>
      </w:r>
    </w:p>
    <w:p>
      <w:pPr>
        <w:spacing w:line="480" w:lineRule="auto" w:after="160"/>
        <w:jc w:val="left"/>
      </w:pPr>
      <w:r>
        <w:rPr>
          <w:rFonts w:ascii="Times New Roman" w:hAnsi="Times New Roman" w:eastAsia="Times New Roman"/>
          <w:sz w:val="24"/>
        </w:rPr>
        <w:t xml:space="preserve">We are equally explicit about the limits of this argument. It rules out H_(ability); it does </w:t>
      </w:r>
      <w:r>
        <w:rPr>
          <w:rFonts w:ascii="Times New Roman" w:hAnsi="Times New Roman" w:eastAsia="Times New Roman"/>
          <w:b/>
          <w:sz w:val="24"/>
        </w:rPr>
        <w:t>not</w:t>
      </w:r>
      <w:r>
        <w:rPr>
          <w:rFonts w:ascii="Times New Roman" w:hAnsi="Times New Roman" w:eastAsia="Times New Roman"/>
          <w:sz w:val="24"/>
        </w:rPr>
        <w:t xml:space="preserve"> let us separate H_(measure) from a third hypothesis, H_(threshold) — that the two channels simply impose different admission thresholds on applicants, independent of how well any given applicant's variety would perform if it had gone through the other door. Both H_(measure) and H_(threshold) predict the same sign pattern in this data, and distinguishing them would require exactly the individual-level, cross-channel variation that our within-applicant robustness check (§6, R9) shows this sample cannot supply with adequate power.</w:t>
      </w:r>
    </w:p>
    <w:p>
      <w:pPr>
        <w:keepNext/>
        <w:spacing w:line="480" w:lineRule="auto" w:after="120"/>
        <w:jc w:val="left"/>
      </w:pPr>
      <w:r>
        <w:rPr>
          <w:rFonts w:ascii="Times New Roman" w:hAnsi="Times New Roman" w:eastAsia="Times New Roman"/>
          <w:b/>
          <w:sz w:val="24"/>
        </w:rPr>
        <w:t>4.6 Auxiliary specifications</w:t>
      </w:r>
    </w:p>
    <w:p>
      <w:pPr>
        <w:spacing w:line="480" w:lineRule="auto" w:after="160"/>
        <w:jc w:val="left"/>
      </w:pPr>
      <w:r>
        <w:rPr>
          <w:rFonts w:ascii="Times New Roman" w:hAnsi="Times New Roman" w:eastAsia="Times New Roman"/>
          <w:sz w:val="24"/>
        </w:rPr>
        <w:t>Three auxiliary specifications support the main argument without altering it. A descriptive specification, Yᵢ = θPublicᵢ + γ_(y × g) + δᵦ + εᵢ, restricted to years with a non-missing applicant-type field, characterizes the enterprise vs. public-institution trait division of labour; it is reported only as a directional, descriptive background fact (§4.7, Non-claim 9), not as a structural or causal comparison. A logit specification, Pr(NewChannelᵢ) = Λ(αWinallᵢ + γ_(y × g)), and a within-channel positioning specification, Yᵢ = ρWinallᵢ + γ_(c(i)) + δᵦ + εᵢ (estimated separately within the Unified and the self-organised sub-samples), support the counter-case role of a single large integrated seed enterprise in §7 and are not used to estimate the main channel gap. An unknown-breakpoint sup-Wald scan (candidate breakpoints 2009–2019, with level-shift and trend-shift specifications) is used only to test whether the quality trajectory has a structural break coincident with the 2016 reform (§4.7, Non-claim 3), not to estimate the channel gap itself.</w:t>
      </w:r>
    </w:p>
    <w:p>
      <w:pPr>
        <w:keepNext/>
        <w:spacing w:line="480" w:lineRule="auto" w:after="120"/>
        <w:jc w:val="left"/>
      </w:pPr>
      <w:r>
        <w:rPr>
          <w:rFonts w:ascii="Times New Roman" w:hAnsi="Times New Roman" w:eastAsia="Times New Roman"/>
          <w:b/>
          <w:sz w:val="24"/>
        </w:rPr>
        <w:t>4.7 What this paper does not claim</w:t>
      </w:r>
    </w:p>
    <w:p>
      <w:pPr>
        <w:spacing w:line="480" w:lineRule="auto" w:after="160"/>
        <w:jc w:val="left"/>
      </w:pPr>
      <w:r>
        <w:rPr>
          <w:rFonts w:ascii="Times New Roman" w:hAnsi="Times New Roman" w:eastAsia="Times New Roman"/>
          <w:sz w:val="24"/>
        </w:rPr>
        <w:t>This paper's estimates support a narrower and more specific set of claims than the pattern of results might suggest at first reading, and we state the boundaries explicitly here so that no reader — including the authors, in a later paper — mistakes a composition gap for something it is not.</w:t>
      </w:r>
    </w:p>
    <w:p>
      <w:pPr>
        <w:pStyle w:val="ListNumber"/>
        <w:spacing w:line="360" w:lineRule="auto" w:after="40"/>
      </w:pPr>
      <w:r>
        <w:rPr>
          <w:rFonts w:ascii="Times New Roman" w:hAnsi="Times New Roman" w:eastAsia="Times New Roman"/>
          <w:b/>
          <w:sz w:val="24"/>
        </w:rPr>
        <w:t>β is not a causal effect.</w:t>
      </w:r>
      <w:r>
        <w:rPr>
          <w:rFonts w:ascii="Times New Roman" w:hAnsi="Times New Roman" w:eastAsia="Times New Roman"/>
          <w:sz w:val="24"/>
        </w:rPr>
        <w:t xml:space="preserve"> It is a within-cell composition gap, not the effect of moving a variety between channels; the only design that could speak to the latter (within-applicant, §6.3) is underpowered by 2–3× on every headline coefficient (full numbers there), so we do not claim to have separated a genuine channel effect from applicant self-selection.</w:t>
      </w:r>
    </w:p>
    <w:p>
      <w:pPr>
        <w:pStyle w:val="ListNumber"/>
        <w:spacing w:line="360" w:lineRule="auto" w:after="40"/>
      </w:pPr>
      <w:r>
        <w:rPr>
          <w:rFonts w:ascii="Times New Roman" w:hAnsi="Times New Roman" w:eastAsia="Times New Roman"/>
          <w:b/>
          <w:sz w:val="24"/>
        </w:rPr>
        <w:t>We do not use language of fabrication or manipulation.</w:t>
      </w:r>
      <w:r>
        <w:rPr>
          <w:rFonts w:ascii="Times New Roman" w:hAnsi="Times New Roman" w:eastAsia="Times New Roman"/>
          <w:sz w:val="24"/>
        </w:rPr>
        <w:t xml:space="preserve"> Every measurement-authority claim is phrased as </w:t>
      </w:r>
      <w:r>
        <w:rPr>
          <w:rFonts w:ascii="Times New Roman" w:hAnsi="Times New Roman" w:eastAsia="Times New Roman"/>
          <w:i/>
          <w:sz w:val="24"/>
        </w:rPr>
        <w:t>consistent with measurement discretion, though channel self-selection cannot be ruled out</w:t>
      </w:r>
      <w:r>
        <w:rPr>
          <w:rFonts w:ascii="Times New Roman" w:hAnsi="Times New Roman" w:eastAsia="Times New Roman"/>
          <w:sz w:val="24"/>
        </w:rPr>
        <w:t>.</w:t>
      </w:r>
    </w:p>
    <w:p>
      <w:pPr>
        <w:pStyle w:val="ListNumber"/>
        <w:spacing w:line="360" w:lineRule="auto" w:after="40"/>
      </w:pPr>
      <w:r>
        <w:rPr>
          <w:rFonts w:ascii="Times New Roman" w:hAnsi="Times New Roman" w:eastAsia="Times New Roman"/>
          <w:b/>
          <w:sz w:val="24"/>
        </w:rPr>
        <w:t>We do not claim the 2016 reform caused the quality gap or any quality decline.</w:t>
      </w:r>
      <w:r>
        <w:rPr>
          <w:rFonts w:ascii="Times New Roman" w:hAnsi="Times New Roman" w:eastAsia="Times New Roman"/>
          <w:sz w:val="24"/>
        </w:rPr>
        <w:t xml:space="preserve"> The structural-break scan (§5.6) dates the main quality breaks to 2009–2015, before the reform; what we estimate is a same-year channel gap, not a before/after effect.</w:t>
      </w:r>
    </w:p>
    <w:p>
      <w:pPr>
        <w:pStyle w:val="ListNumber"/>
        <w:spacing w:line="360" w:lineRule="auto" w:after="40"/>
      </w:pPr>
      <w:r>
        <w:rPr>
          <w:rFonts w:ascii="Times New Roman" w:hAnsi="Times New Roman" w:eastAsia="Times New Roman"/>
          <w:b/>
          <w:sz w:val="24"/>
        </w:rPr>
        <w:t>We do not claim third-party-assayed traits are uniformly worse among self-organised entrants.</w:t>
      </w:r>
      <w:r>
        <w:rPr>
          <w:rFonts w:ascii="Times New Roman" w:hAnsi="Times New Roman" w:eastAsia="Times New Roman"/>
          <w:sz w:val="24"/>
        </w:rPr>
        <w:t xml:space="preserve"> Bacterial-blight grade moves the opposite way (§5.2); the headline claim is confined to grain-processing and appearance quality.</w:t>
      </w:r>
    </w:p>
    <w:p>
      <w:pPr>
        <w:pStyle w:val="ListNumber"/>
        <w:spacing w:line="360" w:lineRule="auto" w:after="40"/>
      </w:pPr>
      <w:r>
        <w:rPr>
          <w:rFonts w:ascii="Times New Roman" w:hAnsi="Times New Roman" w:eastAsia="Times New Roman"/>
          <w:b/>
          <w:sz w:val="24"/>
        </w:rPr>
        <w:t>We do not claim the self-reported yield advantage is an established finding.</w:t>
      </w:r>
      <w:r>
        <w:rPr>
          <w:rFonts w:ascii="Times New Roman" w:hAnsi="Times New Roman" w:eastAsia="Times New Roman"/>
          <w:sz w:val="24"/>
        </w:rPr>
        <w:t xml:space="preserve"> It reverses sign between arms and its Manski lower bound sits near zero (§5.3, §6.2); the abstract accordingly calls it "suggestive only."</w:t>
      </w:r>
    </w:p>
    <w:p>
      <w:pPr>
        <w:pStyle w:val="ListNumber"/>
        <w:spacing w:line="360" w:lineRule="auto" w:after="40"/>
      </w:pPr>
      <w:r>
        <w:rPr>
          <w:rFonts w:ascii="Times New Roman" w:hAnsi="Times New Roman" w:eastAsia="Times New Roman"/>
          <w:b/>
          <w:sz w:val="24"/>
        </w:rPr>
        <w:t>We make no welfare claim.</w:t>
      </w:r>
      <w:r>
        <w:rPr>
          <w:rFonts w:ascii="Times New Roman" w:hAnsi="Times New Roman" w:eastAsia="Times New Roman"/>
          <w:sz w:val="24"/>
        </w:rPr>
        <w:t xml:space="preserve"> No data on adoption, prices, or consumption exists in this study to support one.</w:t>
      </w:r>
    </w:p>
    <w:p>
      <w:pPr>
        <w:pStyle w:val="ListNumber"/>
        <w:spacing w:line="360" w:lineRule="auto" w:after="40"/>
      </w:pPr>
      <w:r>
        <w:rPr>
          <w:rFonts w:ascii="Times New Roman" w:hAnsi="Times New Roman" w:eastAsia="Times New Roman"/>
          <w:b/>
          <w:sz w:val="24"/>
        </w:rPr>
        <w:t>Approval counts are never used as an outcome variable</w:t>
      </w:r>
      <w:r>
        <w:rPr>
          <w:rFonts w:ascii="Times New Roman" w:hAnsi="Times New Roman" w:eastAsia="Times New Roman"/>
          <w:sz w:val="24"/>
        </w:rPr>
        <w:t>, only as descriptive background, because underlying compilation coverage declines sharply after 2022 (§3.1).</w:t>
      </w:r>
    </w:p>
    <w:p>
      <w:pPr>
        <w:pStyle w:val="ListNumber"/>
        <w:spacing w:line="360" w:lineRule="auto" w:after="40"/>
      </w:pPr>
      <w:r>
        <w:rPr>
          <w:rFonts w:ascii="Times New Roman" w:hAnsi="Times New Roman" w:eastAsia="Times New Roman"/>
          <w:b/>
          <w:sz w:val="24"/>
        </w:rPr>
        <w:t>We do not claim this paper's findings replicate at the provincial level.</w:t>
      </w:r>
      <w:r>
        <w:rPr>
          <w:rFonts w:ascii="Times New Roman" w:hAnsi="Times New Roman" w:eastAsia="Times New Roman"/>
          <w:sz w:val="24"/>
        </w:rPr>
        <w:t xml:space="preserve"> The provincial re-estimation is non-significant for three of four headline outcomes and adequately powered and corroborating for the fourth (stated grade); see §6.4 for the full, two-part reading and its own disclosed n discrepancy against an earlier planning-stage run.</w:t>
      </w:r>
    </w:p>
    <w:p>
      <w:pPr>
        <w:pStyle w:val="ListNumber"/>
        <w:spacing w:line="360" w:lineRule="auto" w:after="40"/>
      </w:pPr>
      <w:r>
        <w:rPr>
          <w:rFonts w:ascii="Times New Roman" w:hAnsi="Times New Roman" w:eastAsia="Times New Roman"/>
          <w:b/>
          <w:sz w:val="24"/>
        </w:rPr>
        <w:t>We do not claim enterprises are generally better or worse breeders than public institutions.</w:t>
      </w:r>
      <w:r>
        <w:rPr>
          <w:rFonts w:ascii="Times New Roman" w:hAnsi="Times New Roman" w:eastAsia="Times New Roman"/>
          <w:sz w:val="24"/>
        </w:rPr>
        <w:t xml:space="preserve"> The enterprise-vs-institution comparison (Table 7, §7) is descriptive background only, not least because the applicant-type field is entirely missing for four approval years.</w:t>
      </w:r>
    </w:p>
    <w:p>
      <w:pPr>
        <w:pStyle w:val="ListNumber"/>
        <w:spacing w:line="360" w:lineRule="auto" w:after="40"/>
      </w:pPr>
      <w:r>
        <w:rPr>
          <w:rFonts w:ascii="Times New Roman" w:hAnsi="Times New Roman" w:eastAsia="Times New Roman"/>
          <w:b/>
          <w:sz w:val="24"/>
        </w:rPr>
        <w:t>We do not claim Winall's quality-oriented positioning has been a financial success.</w:t>
      </w:r>
      <w:r>
        <w:rPr>
          <w:rFonts w:ascii="Times New Roman" w:hAnsi="Times New Roman" w:eastAsia="Times New Roman"/>
          <w:sz w:val="24"/>
        </w:rPr>
        <w:t xml:space="preserve"> §7 reports its negative order-grain margin, 2025 loss, qualified audit opinion and 2026 penalty in the same discussion as its quality advantage; financial sustainability is treated as open.</w:t>
      </w:r>
    </w:p>
    <w:p>
      <w:pPr>
        <w:pStyle w:val="ListNumber"/>
        <w:spacing w:line="360" w:lineRule="auto" w:after="40"/>
      </w:pPr>
      <w:r>
        <w:rPr>
          <w:rFonts w:ascii="Times New Roman" w:hAnsi="Times New Roman" w:eastAsia="Times New Roman"/>
          <w:b/>
          <w:sz w:val="24"/>
        </w:rPr>
        <w:t>We do not claim varietal homogenization is increasing or decreasing.</w:t>
      </w:r>
      <w:r>
        <w:rPr>
          <w:rFonts w:ascii="Times New Roman" w:hAnsi="Times New Roman" w:eastAsia="Times New Roman"/>
          <w:sz w:val="24"/>
        </w:rPr>
        <w:t xml:space="preserve"> The parentage-diversity and trait-space checks both return null results, reported only as evidence against a common industry narrative.</w:t>
      </w:r>
    </w:p>
    <w:p>
      <w:pPr>
        <w:pStyle w:val="ListNumber"/>
        <w:spacing w:line="360" w:lineRule="auto" w:after="40"/>
      </w:pPr>
      <w:r>
        <w:rPr>
          <w:rFonts w:ascii="Times New Roman" w:hAnsi="Times New Roman" w:eastAsia="Times New Roman"/>
          <w:b/>
          <w:sz w:val="24"/>
        </w:rPr>
        <w:t>We do not treat the parsed compilation as an official, complete registry.</w:t>
      </w:r>
      <w:r>
        <w:rPr>
          <w:rFonts w:ascii="Times New Roman" w:hAnsi="Times New Roman" w:eastAsia="Times New Roman"/>
          <w:sz w:val="24"/>
        </w:rPr>
        <w:t xml:space="preserve"> Our access is mediated by a third-party compilation whose field-level agreement with original MARA text remains an open verification step (§3.4, Unresolved item P4), not yet an established data-quality guarantee.</w:t>
      </w:r>
    </w:p>
    <w:p>
      <w:pPr>
        <w:keepNext/>
        <w:spacing w:line="480" w:lineRule="auto" w:after="120"/>
        <w:jc w:val="left"/>
      </w:pPr>
      <w:r>
        <w:rPr>
          <w:rFonts w:ascii="Times New Roman" w:hAnsi="Times New Roman" w:eastAsia="Times New Roman"/>
          <w:b/>
          <w:sz w:val="26"/>
        </w:rPr>
        <w:t>5. Results</w:t>
      </w:r>
    </w:p>
    <w:p>
      <w:pPr>
        <w:keepNext/>
        <w:spacing w:line="480" w:lineRule="auto" w:after="120"/>
        <w:jc w:val="left"/>
      </w:pPr>
      <w:r>
        <w:rPr>
          <w:rFonts w:ascii="Times New Roman" w:hAnsi="Times New Roman" w:eastAsia="Times New Roman"/>
          <w:b/>
          <w:sz w:val="24"/>
        </w:rPr>
        <w:t>5.1 Sample and strata</w:t>
      </w:r>
    </w:p>
    <w:p>
      <w:pPr>
        <w:spacing w:line="480" w:lineRule="auto" w:after="160"/>
        <w:jc w:val="left"/>
      </w:pPr>
      <w:r>
        <w:rPr>
          <w:rFonts w:ascii="Times New Roman" w:hAnsi="Times New Roman" w:eastAsia="Times New Roman"/>
          <w:sz w:val="24"/>
        </w:rPr>
        <w:t xml:space="preserve">The main analysis layer restricts the record-level approval data to national-level (国审) approvals in the two dominant indica trial groups (middle-and-lower-Yangtze mid-season indica; upper-Yangtze mid-season indica) in the years in which the channel variable actually varies — 2017 and 2019–2022 — yielding </w:t>
      </w:r>
      <w:r>
        <w:rPr>
          <w:rFonts w:ascii="Times New Roman" w:hAnsi="Times New Roman" w:eastAsia="Times New Roman"/>
          <w:b/>
          <w:sz w:val="24"/>
        </w:rPr>
        <w:t>n = 878</w:t>
      </w:r>
      <w:r>
        <w:rPr>
          <w:rFonts w:ascii="Times New Roman" w:hAnsi="Times New Roman" w:eastAsia="Times New Roman"/>
          <w:sz w:val="24"/>
        </w:rPr>
        <w:t xml:space="preserve"> records (Unified 406, Consortium 405, Green 67). Because the green channel (2017) and consortium trials (2019–2022) do not overlap in time, we estimate them as two separate arms rather than pooling them into one "new channel" treatment (Section 4.3): </w:t>
      </w:r>
      <w:r>
        <w:rPr>
          <w:rFonts w:ascii="Times New Roman" w:hAnsi="Times New Roman" w:eastAsia="Times New Roman"/>
          <w:b/>
          <w:sz w:val="24"/>
        </w:rPr>
        <w:t>Arm 1</w:t>
      </w:r>
      <w:r>
        <w:rPr>
          <w:rFonts w:ascii="Times New Roman" w:hAnsi="Times New Roman" w:eastAsia="Times New Roman"/>
          <w:sz w:val="24"/>
        </w:rPr>
        <w:t xml:space="preserve"> compares Consortium (n = 405) with Unified (n = 354) entrants within 2019–2022 (pre-outcome-drop n = 759, later outcomes ranging n = 520–759 depending on missingness); </w:t>
      </w:r>
      <w:r>
        <w:rPr>
          <w:rFonts w:ascii="Times New Roman" w:hAnsi="Times New Roman" w:eastAsia="Times New Roman"/>
          <w:b/>
          <w:sz w:val="24"/>
        </w:rPr>
        <w:t>Arm 2</w:t>
      </w:r>
      <w:r>
        <w:rPr>
          <w:rFonts w:ascii="Times New Roman" w:hAnsi="Times New Roman" w:eastAsia="Times New Roman"/>
          <w:sz w:val="24"/>
        </w:rPr>
        <w:t xml:space="preserve"> compares Green (n = 67) with Unified (n = 52) entrants within 2017 (n = 119, 2–3 identifying cells). Table 3 reports both arms for all 17 outcome variables, split into third-party-assayed (grain-processing and appearance quality, resistance) and applicant-self-reported (yield, agronomic) blocks; Fig. 2 plots the same 34 estimates as a two-panel forest plot, colour-coded by measuring party.</w:t>
      </w:r>
    </w:p>
    <w:p>
      <w:pPr>
        <w:keepNext/>
        <w:spacing w:line="480" w:lineRule="auto" w:after="120"/>
        <w:jc w:val="left"/>
      </w:pPr>
      <w:r>
        <w:rPr>
          <w:rFonts w:ascii="Times New Roman" w:hAnsi="Times New Roman" w:eastAsia="Times New Roman"/>
          <w:b/>
          <w:sz w:val="24"/>
        </w:rPr>
        <w:t>5.2 Arm 1: Consortium versus Unified, 2019–2022</w:t>
      </w:r>
    </w:p>
    <w:p>
      <w:pPr>
        <w:spacing w:line="480" w:lineRule="auto" w:after="160"/>
        <w:jc w:val="left"/>
      </w:pPr>
      <w:r>
        <w:rPr>
          <w:rFonts w:ascii="Times New Roman" w:hAnsi="Times New Roman" w:eastAsia="Times New Roman"/>
          <w:sz w:val="24"/>
        </w:rPr>
        <w:t>Consortium entrants show a consistent, statistically robust deficit on every third-party-assayed grain-processing and appearance trait carried in the main quality block (Table 3; Fig. 2, left panel, blue markers). Head-rice percentage is 1.844 percentage points (pp) lower (95% CI [−2.636, −1.052], p = 5.1 × 10⁻⁶, n = 742); chalkiness degree is 1.108 pp higher, i.e. worse appearance quality (95% CI [0.248, 1.969], p = 0.012, n = 739); and the probability that the announcement states a national/industry-standard quality grade at all (</w:t>
      </w:r>
      <w:r>
        <w:rPr>
          <w:rFonts w:ascii="Times New Roman" w:hAnsi="Times New Roman" w:eastAsia="Times New Roman"/>
          <w:sz w:val="24"/>
        </w:rPr>
        <w:t>quality_stated</w:t>
      </w:r>
      <w:r>
        <w:rPr>
          <w:rFonts w:ascii="Times New Roman" w:hAnsi="Times New Roman" w:eastAsia="Times New Roman"/>
          <w:sz w:val="24"/>
        </w:rPr>
        <w:t>) is 12.2 pp lower (β = −0.122, 95% CI [−0.211, −0.033], p = 0.008, n = 750). A secondary quality measure restricted to graded records — the probability of being graded 1 or 2, the top two national quality tiers (</w:t>
      </w:r>
      <w:r>
        <w:rPr>
          <w:rFonts w:ascii="Times New Roman" w:hAnsi="Times New Roman" w:eastAsia="Times New Roman"/>
          <w:sz w:val="24"/>
        </w:rPr>
        <w:t>quality_top2</w:t>
      </w:r>
      <w:r>
        <w:rPr>
          <w:rFonts w:ascii="Times New Roman" w:hAnsi="Times New Roman" w:eastAsia="Times New Roman"/>
          <w:sz w:val="24"/>
        </w:rPr>
        <w:t>) — is also lower by 9.1 pp (p = 0.009, n = 618), though we flag below (Section 6.2) that this coefficient does not survive Manski worst-case bounds and is therefore treated as secondary rather than headline evidence. Gel consistency, a third assayed grain-eating-quality trait not previously highlighted, moves in the same direction (β = −1.814 mm, p = 0.015, n = 728), consistent with the broader pattern of worse third-party-assayed eating and appearance quality among consortium entrants. Amylose content and grain length–width ratio show no significant difference (Table 3), and neck-blast resistance is not estimable for Arm 2 (100% missing in 2017 records; see Section 5.3) but shows no significant Arm 1 gap either (p = 0.28).</w:t>
      </w:r>
    </w:p>
    <w:p>
      <w:pPr>
        <w:spacing w:line="480" w:lineRule="auto" w:after="160"/>
        <w:jc w:val="left"/>
      </w:pPr>
      <w:r>
        <w:rPr>
          <w:rFonts w:ascii="Times New Roman" w:hAnsi="Times New Roman" w:eastAsia="Times New Roman"/>
          <w:sz w:val="24"/>
        </w:rPr>
        <w:t xml:space="preserve">Against this, the applicant-self-reported yield-performance traits move in the opposite direction. The two-year regional-trial yield gain over the named check is 0.554 pp </w:t>
      </w:r>
      <w:r>
        <w:rPr>
          <w:rFonts w:ascii="Times New Roman" w:hAnsi="Times New Roman" w:eastAsia="Times New Roman"/>
          <w:i/>
          <w:sz w:val="24"/>
        </w:rPr>
        <w:t>higher</w:t>
      </w:r>
      <w:r>
        <w:rPr>
          <w:rFonts w:ascii="Times New Roman" w:hAnsi="Times New Roman" w:eastAsia="Times New Roman"/>
          <w:sz w:val="24"/>
        </w:rPr>
        <w:t xml:space="preserve"> for Consortium entrants (95% CI [0.091, 1.016], p = 0.019, n = 708), and the production-trial (生产试验) yield gain over check is 0.919 pp higher (95% CI [0.505, 1.333], p &lt; 0.0001, n = 578). Raw two-year trial yield in kg/mu (1 kg/mu ≈ 15 kg/hm²; 1 亩 = 1/15 hm²) shows no significant difference (β = +1.43, p = 0.61, n = 716) — consistent with the gain-over-check measures capturing a comparison-scale effect rather than raw yield levels. Two of the three pre-registered placebo traits, seed-setting percentage (β = −0.202, p = 0.43) and 1000-grain weight (β = +0.138, p = 0.59), are both non-significant, as required by the pre-declared design (Section 4, Non-claims). Plant height is 0.952 cm higher (p = 0.044); per the pre-registered methods statement, this is </w:t>
      </w:r>
      <w:r>
        <w:rPr>
          <w:rFonts w:ascii="Times New Roman" w:hAnsi="Times New Roman" w:eastAsia="Times New Roman"/>
          <w:b/>
          <w:sz w:val="24"/>
        </w:rPr>
        <w:t>not</w:t>
      </w:r>
      <w:r>
        <w:rPr>
          <w:rFonts w:ascii="Times New Roman" w:hAnsi="Times New Roman" w:eastAsia="Times New Roman"/>
          <w:sz w:val="24"/>
        </w:rPr>
        <w:t xml:space="preserve"> treated as a placebo result but reported as auxiliary evidence consistent with a taller, larger-panicle selection type declared before the analysis was run (Section 6.1, R12, gives the full treatment).</w:t>
      </w:r>
    </w:p>
    <w:p>
      <w:pPr>
        <w:spacing w:line="480" w:lineRule="auto" w:after="160"/>
        <w:jc w:val="left"/>
      </w:pPr>
      <w:r>
        <w:rPr>
          <w:rFonts w:ascii="Times New Roman" w:hAnsi="Times New Roman" w:eastAsia="Times New Roman"/>
          <w:sz w:val="24"/>
        </w:rPr>
        <w:t xml:space="preserve">One trait falls outside the sign-separation pattern in a way that itself supports the paper's identification argument rather than undermining it: bacterial-blight grade, also third-party assayed, is 0.190 grades </w:t>
      </w:r>
      <w:r>
        <w:rPr>
          <w:rFonts w:ascii="Times New Roman" w:hAnsi="Times New Roman" w:eastAsia="Times New Roman"/>
          <w:i/>
          <w:sz w:val="24"/>
        </w:rPr>
        <w:t>lower</w:t>
      </w:r>
      <w:r>
        <w:rPr>
          <w:rFonts w:ascii="Times New Roman" w:hAnsi="Times New Roman" w:eastAsia="Times New Roman"/>
          <w:sz w:val="24"/>
        </w:rPr>
        <w:t xml:space="preserve"> (i.e. </w:t>
      </w:r>
      <w:r>
        <w:rPr>
          <w:rFonts w:ascii="Times New Roman" w:hAnsi="Times New Roman" w:eastAsia="Times New Roman"/>
          <w:i/>
          <w:sz w:val="24"/>
        </w:rPr>
        <w:t>more</w:t>
      </w:r>
      <w:r>
        <w:rPr>
          <w:rFonts w:ascii="Times New Roman" w:hAnsi="Times New Roman" w:eastAsia="Times New Roman"/>
          <w:sz w:val="24"/>
        </w:rPr>
        <w:t xml:space="preserve"> resistant) among Consortium entrants (95% CI [−0.278, −0.102], p &lt; 0.0001, n = 520). This is reported prominently, not hidden, because the paper's claim is deliberately scoped to grain-processing and appearance quality, not to "third-party-measured traits deteriorate uniformly" — a claim the bacterial-blight result would falsify if made (Sections 4.4, 6.2).</w:t>
      </w:r>
    </w:p>
    <w:p>
      <w:pPr>
        <w:keepNext/>
        <w:spacing w:line="480" w:lineRule="auto" w:after="120"/>
        <w:jc w:val="left"/>
      </w:pPr>
      <w:r>
        <w:rPr>
          <w:rFonts w:ascii="Times New Roman" w:hAnsi="Times New Roman" w:eastAsia="Times New Roman"/>
          <w:b/>
          <w:sz w:val="24"/>
        </w:rPr>
        <w:t>5.3 Arm 2: Green channel versus Unified, 2017</w:t>
      </w:r>
    </w:p>
    <w:p>
      <w:pPr>
        <w:spacing w:line="480" w:lineRule="auto" w:after="160"/>
        <w:jc w:val="left"/>
      </w:pPr>
      <w:r>
        <w:rPr>
          <w:rFonts w:ascii="Times New Roman" w:hAnsi="Times New Roman" w:eastAsia="Times New Roman"/>
          <w:sz w:val="24"/>
        </w:rPr>
        <w:t xml:space="preserve">Green-channel entrants in 2017 (n = 119, HC1 standard errors, 2–3 identifying cells) reproduce the same direction on appearance and grading traits, at larger magnitude: chalkiness degree is 2.809 pp higher (95% CI [1.874, 3.744], p &lt; 0.0001, n = 110) and the probability of a stated quality grade is 34.4 pp lower (β = −0.344, p &lt; 0.0001, n = 112). Head-rice percentage, by contrast, is </w:t>
      </w:r>
      <w:r>
        <w:rPr>
          <w:rFonts w:ascii="Times New Roman" w:hAnsi="Times New Roman" w:eastAsia="Times New Roman"/>
          <w:i/>
          <w:sz w:val="24"/>
        </w:rPr>
        <w:t>not</w:t>
      </w:r>
      <w:r>
        <w:rPr>
          <w:rFonts w:ascii="Times New Roman" w:hAnsi="Times New Roman" w:eastAsia="Times New Roman"/>
          <w:sz w:val="24"/>
        </w:rPr>
        <w:t xml:space="preserve"> significantly different in this arm (β = −0.391, p = 0.55, n = 106) — a genuine cross-arm inconsistency that we report rather than smooth over, and one reason the two arms are kept separate.</w:t>
      </w:r>
    </w:p>
    <w:p>
      <w:pPr>
        <w:spacing w:line="480" w:lineRule="auto" w:after="160"/>
        <w:jc w:val="left"/>
      </w:pPr>
      <w:r>
        <w:rPr>
          <w:rFonts w:ascii="Times New Roman" w:hAnsi="Times New Roman" w:eastAsia="Times New Roman"/>
          <w:sz w:val="24"/>
        </w:rPr>
        <w:t xml:space="preserve">Two results in Arm 2 diverge from the Arm 1 narrative and are reported here as required, not deferred to a robustness appendix. First, the production-trial yield gain over check is 1.036 pp </w:t>
      </w:r>
      <w:r>
        <w:rPr>
          <w:rFonts w:ascii="Times New Roman" w:hAnsi="Times New Roman" w:eastAsia="Times New Roman"/>
          <w:i/>
          <w:sz w:val="24"/>
        </w:rPr>
        <w:t>lower</w:t>
      </w:r>
      <w:r>
        <w:rPr>
          <w:rFonts w:ascii="Times New Roman" w:hAnsi="Times New Roman" w:eastAsia="Times New Roman"/>
          <w:sz w:val="24"/>
        </w:rPr>
        <w:t xml:space="preserve"> for Green-channel entrants (β = −1.036, 95% CI [−1.860, −0.213], p = 0.014, n = 112) — the opposite sign from Arm 1's +0.919 pp. Second, the regional-trial yield gain over check cannot be meaningfully estimated in this arm at all: only 21 of 119 records carry a non-missing value, driven almost entirely by the Unified sub-arm, whose regional-trial-gain coverage in the 2017 stratum is only 1.9% (1 of 52 records; Table 3 reports n = 21, β = −0.994, p = 0.17, but this coefficient should not be interpreted as informative about the underlying population). We flag this explicitly as </w:t>
      </w:r>
      <w:r>
        <w:rPr>
          <w:rFonts w:ascii="Times New Roman" w:hAnsi="Times New Roman" w:eastAsia="Times New Roman"/>
          <w:i/>
          <w:sz w:val="24"/>
        </w:rPr>
        <w:t>not estimable</w:t>
      </w:r>
      <w:r>
        <w:rPr>
          <w:rFonts w:ascii="Times New Roman" w:hAnsi="Times New Roman" w:eastAsia="Times New Roman"/>
          <w:sz w:val="24"/>
        </w:rPr>
        <w:t xml:space="preserve"> rather than reporting the numerically available but data-starved coefficient as if it answered the same question as Arm 1's analogous estimate; Fig. 2's right panel marks the corresponding neck-blast row "not estimable" for the same reason (the field is 100% missing for all 119 Arm-2 records). Together, these two results mean that Arm 2 does </w:t>
      </w:r>
      <w:r>
        <w:rPr>
          <w:rFonts w:ascii="Times New Roman" w:hAnsi="Times New Roman" w:eastAsia="Times New Roman"/>
          <w:i/>
          <w:sz w:val="24"/>
        </w:rPr>
        <w:t>not</w:t>
      </w:r>
      <w:r>
        <w:rPr>
          <w:rFonts w:ascii="Times New Roman" w:hAnsi="Times New Roman" w:eastAsia="Times New Roman"/>
          <w:sz w:val="24"/>
        </w:rPr>
        <w:t xml:space="preserve"> replicate Arm 1's suggestive yield-advantage pattern, and the paper does not claim that it does.</w:t>
      </w:r>
    </w:p>
    <w:p>
      <w:pPr>
        <w:keepNext/>
        <w:spacing w:line="480" w:lineRule="auto" w:after="120"/>
        <w:jc w:val="left"/>
      </w:pPr>
      <w:r>
        <w:rPr>
          <w:rFonts w:ascii="Times New Roman" w:hAnsi="Times New Roman" w:eastAsia="Times New Roman"/>
          <w:b/>
          <w:sz w:val="24"/>
        </w:rPr>
        <w:t>5.4 Identification argument: sign separation against the ability hypothesis</w:t>
      </w:r>
    </w:p>
    <w:p>
      <w:pPr>
        <w:spacing w:line="480" w:lineRule="auto" w:after="160"/>
        <w:jc w:val="left"/>
      </w:pPr>
      <w:r>
        <w:rPr>
          <w:rFonts w:ascii="Times New Roman" w:hAnsi="Times New Roman" w:eastAsia="Times New Roman"/>
          <w:sz w:val="24"/>
        </w:rPr>
        <w:t>Let Y</w:t>
      </w:r>
      <w:r>
        <w:rPr>
          <w:rFonts w:ascii="Times New Roman" w:hAnsi="Times New Roman" w:eastAsia="Times New Roman"/>
          <w:sz w:val="24"/>
          <w:vertAlign w:val="superscript"/>
        </w:rPr>
        <w:t>(3rd) denote third-party-assayed traits and Y</w:t>
      </w:r>
      <w:r>
        <w:rPr>
          <w:rFonts w:ascii="Times New Roman" w:hAnsi="Times New Roman" w:eastAsia="Times New Roman"/>
          <w:sz w:val="24"/>
        </w:rPr>
        <w:t>(self) applicant-measured traits. A pure breeding-ability account of channel choice (H_ability: self-organised-channel applicants simply breed weaker varieties) predicts that both trait classes deteriorate together, β</w:t>
      </w:r>
      <w:r>
        <w:rPr>
          <w:rFonts w:ascii="Times New Roman" w:hAnsi="Times New Roman" w:eastAsia="Times New Roman"/>
          <w:sz w:val="24"/>
          <w:vertAlign w:val="superscript"/>
        </w:rPr>
        <w:t>(3rd) &lt; 0 *and* β</w:t>
      </w:r>
      <w:r>
        <w:rPr>
          <w:rFonts w:ascii="Times New Roman" w:hAnsi="Times New Roman" w:eastAsia="Times New Roman"/>
          <w:sz w:val="24"/>
        </w:rPr>
        <w:t>(self) &lt; 0. The alternative, that measurement authority itself differs across channels (H_measure), predicts sign separation: β</w:t>
      </w:r>
      <w:r>
        <w:rPr>
          <w:rFonts w:ascii="Times New Roman" w:hAnsi="Times New Roman" w:eastAsia="Times New Roman"/>
          <w:sz w:val="24"/>
          <w:vertAlign w:val="superscript"/>
        </w:rPr>
        <w:t>(3rd) &lt; 0 while β</w:t>
      </w:r>
      <w:r>
        <w:rPr>
          <w:rFonts w:ascii="Times New Roman" w:hAnsi="Times New Roman" w:eastAsia="Times New Roman"/>
          <w:sz w:val="24"/>
        </w:rPr>
        <w:t xml:space="preserve">(self) ≥ 0. Arm 1's results match the second pattern exactly — third-party head-rice, chalkiness and stated-grade coefficients are negative and highly significant, while self-reported regional- and production-trial yield gains are positive and significant — and H_ability is therefore rejected as the sole explanation. We are explicit, however, that this design cannot distinguish H_measure from a third possibility, that the two channels apply different </w:t>
      </w:r>
      <w:r>
        <w:rPr>
          <w:rFonts w:ascii="Times New Roman" w:hAnsi="Times New Roman" w:eastAsia="Times New Roman"/>
          <w:i/>
          <w:sz w:val="24"/>
        </w:rPr>
        <w:t>entry thresholds</w:t>
      </w:r>
      <w:r>
        <w:rPr>
          <w:rFonts w:ascii="Times New Roman" w:hAnsi="Times New Roman" w:eastAsia="Times New Roman"/>
          <w:sz w:val="24"/>
        </w:rPr>
        <w:t xml:space="preserve"> to applicants (H_threshold): both predict the same sign pattern, and separating them would require observing the same variety tested through both channels, which the within-applicant subsample (Section 6.3) is too small to do with any power.</w:t>
      </w:r>
    </w:p>
    <w:p>
      <w:pPr>
        <w:keepNext/>
        <w:spacing w:line="480" w:lineRule="auto" w:after="120"/>
        <w:jc w:val="left"/>
      </w:pPr>
      <w:r>
        <w:rPr>
          <w:rFonts w:ascii="Times New Roman" w:hAnsi="Times New Roman" w:eastAsia="Times New Roman"/>
          <w:b/>
          <w:sz w:val="24"/>
        </w:rPr>
        <w:t>5.5 Channel composition and convergence over time</w:t>
      </w:r>
    </w:p>
    <w:p>
      <w:pPr>
        <w:spacing w:line="480" w:lineRule="auto" w:after="160"/>
        <w:jc w:val="left"/>
      </w:pPr>
      <w:r>
        <w:rPr>
          <w:rFonts w:ascii="Times New Roman" w:hAnsi="Times New Roman" w:eastAsia="Times New Roman"/>
          <w:sz w:val="24"/>
        </w:rPr>
        <w:t xml:space="preserve">A year-by-year re-estimation of the Arm-1-style channel gap (new channel vs Unified, within </w:t>
      </w:r>
      <w:r>
        <w:rPr>
          <w:rFonts w:ascii="Times New Roman" w:hAnsi="Times New Roman" w:eastAsia="Times New Roman"/>
          <w:sz w:val="24"/>
        </w:rPr>
        <w:t>trial_group × check</w:t>
      </w:r>
      <w:r>
        <w:rPr>
          <w:rFonts w:ascii="Times New Roman" w:hAnsi="Times New Roman" w:eastAsia="Times New Roman"/>
          <w:sz w:val="24"/>
        </w:rPr>
        <w:t xml:space="preserve"> cells, HC1 standard errors, years in which both channels co-exist: 2017 and 2019–2022; 2018 is excluded because only 1 of 234 national records that year carries a green/consortium label, a parsing default rather than a genuine channel assignment) shows two distinct patterns that must be reported separately rather than summarised as a single "gap is narrowing" story. Chalkiness degree narrows monotonically from +2.71 pp in 2017 (p = 1.1 × 10⁻⁸) to +1.63 (2019, p = 0.004), +0.92 (2020, p = 0.004), +0.89 (2021, p = 0.002) and +0.77 pp in 2022 (p = 0.038) — a genuine, monotonic convergence in this one trait. The stated-quality-grade gap also weakens on balance (from −0.327 in 2017 to −0.052 in 2022) but non-monotonically, with 2020 and 2022 not significant. Head-rice percentage, by contrast, shows </w:t>
      </w:r>
      <w:r>
        <w:rPr>
          <w:rFonts w:ascii="Times New Roman" w:hAnsi="Times New Roman" w:eastAsia="Times New Roman"/>
          <w:b/>
          <w:sz w:val="24"/>
        </w:rPr>
        <w:t>no convergence</w:t>
      </w:r>
      <w:r>
        <w:rPr>
          <w:rFonts w:ascii="Times New Roman" w:hAnsi="Times New Roman" w:eastAsia="Times New Roman"/>
          <w:sz w:val="24"/>
        </w:rPr>
        <w:t xml:space="preserve">: the gap is −0.61 pp in 2017 (not significant) and widens to −2.63 (2020, p = 0.0003), −1.48 (2021, p = 0.021) and −3.03 pp (2022, p = 0.006) — its largest, most significant values occur in the </w:t>
      </w:r>
      <w:r>
        <w:rPr>
          <w:rFonts w:ascii="Times New Roman" w:hAnsi="Times New Roman" w:eastAsia="Times New Roman"/>
          <w:i/>
          <w:sz w:val="24"/>
        </w:rPr>
        <w:t>most recent</w:t>
      </w:r>
      <w:r>
        <w:rPr>
          <w:rFonts w:ascii="Times New Roman" w:hAnsi="Times New Roman" w:eastAsia="Times New Roman"/>
          <w:sz w:val="24"/>
        </w:rPr>
        <w:t xml:space="preserve"> years of the sample. The regional-trial yield-gain-over-check coefficient fluctuates around +0.3 to +0.9 pp with no clear convergence or divergence pattern (Fig. 3; full year-by-year coefficients in </w:t>
      </w:r>
      <w:r>
        <w:rPr>
          <w:rFonts w:ascii="Times New Roman" w:hAnsi="Times New Roman" w:eastAsia="Times New Roman"/>
          <w:sz w:val="24"/>
        </w:rPr>
        <w:t>table_event_study_by_year.csv</w:t>
      </w:r>
      <w:r>
        <w:rPr>
          <w:rFonts w:ascii="Times New Roman" w:hAnsi="Times New Roman" w:eastAsia="Times New Roman"/>
          <w:sz w:val="24"/>
        </w:rPr>
        <w:t>). We therefore do not claim that "the quality gap between channels is closing" as a general statement; only chalkiness, and more weakly the stated-grade indicator, show convergence, while head-rice — arguably the more economically material processing-quality trait — does not.</w:t>
      </w:r>
    </w:p>
    <w:p>
      <w:pPr>
        <w:keepNext/>
        <w:spacing w:line="480" w:lineRule="auto" w:after="120"/>
        <w:jc w:val="left"/>
      </w:pPr>
      <w:r>
        <w:rPr>
          <w:rFonts w:ascii="Times New Roman" w:hAnsi="Times New Roman" w:eastAsia="Times New Roman"/>
          <w:b/>
          <w:sz w:val="24"/>
        </w:rPr>
        <w:t>5.6 Structural breakpoints predate the 2016 reform</w:t>
      </w:r>
    </w:p>
    <w:p>
      <w:pPr>
        <w:spacing w:line="480" w:lineRule="auto" w:after="160"/>
        <w:jc w:val="left"/>
      </w:pPr>
      <w:r>
        <w:rPr>
          <w:rFonts w:ascii="Times New Roman" w:hAnsi="Times New Roman" w:eastAsia="Times New Roman"/>
          <w:sz w:val="24"/>
        </w:rPr>
        <w:t xml:space="preserve">An unknown-breakpoint (sup-Wald / Quandt) scan over candidate years 2009–2019, run on the full 2005–2022 national two-trial-group layer (n up to 1,204 records depending on trait non-missingness), asks whether the quality traits behind Arm 1's headline result show a structural break coinciding with the 2016 reform that created the consortium and green-channel pathways. They do not. Regional-trial yield per mu shows a clear break at </w:t>
      </w:r>
      <w:r>
        <w:rPr>
          <w:rFonts w:ascii="Times New Roman" w:hAnsi="Times New Roman" w:eastAsia="Times New Roman"/>
          <w:b/>
          <w:sz w:val="24"/>
        </w:rPr>
        <w:t>2017</w:t>
      </w:r>
      <w:r>
        <w:rPr>
          <w:rFonts w:ascii="Times New Roman" w:hAnsi="Times New Roman" w:eastAsia="Times New Roman"/>
          <w:sz w:val="24"/>
        </w:rPr>
        <w:t xml:space="preserve"> (peak Wald = 230.3, p &lt; 10⁻⁵⁰, n = 1,167; Fig. 4), consistent with a level shift in absolute yields around when the new channels opened. But the three quality traits central to this paper's argument break </w:t>
      </w:r>
      <w:r>
        <w:rPr>
          <w:rFonts w:ascii="Times New Roman" w:hAnsi="Times New Roman" w:eastAsia="Times New Roman"/>
          <w:i/>
          <w:sz w:val="24"/>
        </w:rPr>
        <w:t>earlier</w:t>
      </w:r>
      <w:r>
        <w:rPr>
          <w:rFonts w:ascii="Times New Roman" w:hAnsi="Times New Roman" w:eastAsia="Times New Roman"/>
          <w:sz w:val="24"/>
        </w:rPr>
        <w:t xml:space="preserve">: head-rice percentage at </w:t>
      </w:r>
      <w:r>
        <w:rPr>
          <w:rFonts w:ascii="Times New Roman" w:hAnsi="Times New Roman" w:eastAsia="Times New Roman"/>
          <w:b/>
          <w:sz w:val="24"/>
        </w:rPr>
        <w:t>2015</w:t>
      </w:r>
      <w:r>
        <w:rPr>
          <w:rFonts w:ascii="Times New Roman" w:hAnsi="Times New Roman" w:eastAsia="Times New Roman"/>
          <w:sz w:val="24"/>
        </w:rPr>
        <w:t xml:space="preserve"> (Wald = 73.9, p &lt; 10⁻¹⁶, n = 1,186), chalkiness degree at </w:t>
      </w:r>
      <w:r>
        <w:rPr>
          <w:rFonts w:ascii="Times New Roman" w:hAnsi="Times New Roman" w:eastAsia="Times New Roman"/>
          <w:b/>
          <w:sz w:val="24"/>
        </w:rPr>
        <w:t>2009</w:t>
      </w:r>
      <w:r>
        <w:rPr>
          <w:rFonts w:ascii="Times New Roman" w:hAnsi="Times New Roman" w:eastAsia="Times New Roman"/>
          <w:sz w:val="24"/>
        </w:rPr>
        <w:t xml:space="preserve"> (Wald = 22.9, p = 1.1 × 10⁻⁵, n = 1,187), and the top-two quality-grade indicator at </w:t>
      </w:r>
      <w:r>
        <w:rPr>
          <w:rFonts w:ascii="Times New Roman" w:hAnsi="Times New Roman" w:eastAsia="Times New Roman"/>
          <w:b/>
          <w:sz w:val="24"/>
        </w:rPr>
        <w:t>2015</w:t>
      </w:r>
      <w:r>
        <w:rPr>
          <w:rFonts w:ascii="Times New Roman" w:hAnsi="Times New Roman" w:eastAsia="Times New Roman"/>
          <w:sz w:val="24"/>
        </w:rPr>
        <w:t xml:space="preserve"> (Wald = 45.5, p = 1.3 × 10⁻¹⁰, n = 845). All three precede the 2016 institutional reform by one to seven years. Yield gain over check shows no robust break: under the paper's default heteroskedasticity-robust (HC1) covariance, the candidate break at 2018 is marginally significant (Wald = 6.55, p = 0.038), but under classical (homoskedastic) standard errors the same candidate year is not significant (Wald = 5.40, p = 0.067), and a diagnostic check shows the non-missing rate of this variable jumps from 21–22% in 2016–2017 to 100% in 2018 — i.e., the 2018 "break" in Wald statistics is confounded with a sudden change in reporting completeness rather than a real trend discontinuity in the underlying trait. We therefore report yield-gain-over-check as showing </w:t>
      </w:r>
      <w:r>
        <w:rPr>
          <w:rFonts w:ascii="Times New Roman" w:hAnsi="Times New Roman" w:eastAsia="Times New Roman"/>
          <w:b/>
          <w:sz w:val="24"/>
        </w:rPr>
        <w:t>no robust structural break</w:t>
      </w:r>
      <w:r>
        <w:rPr>
          <w:rFonts w:ascii="Times New Roman" w:hAnsi="Times New Roman" w:eastAsia="Times New Roman"/>
          <w:sz w:val="24"/>
        </w:rPr>
        <w:t xml:space="preserve">, consistent with a companion finding using classical standard errors, and flag the HC1 result's sensitivity to this covariance choice explicitly rather than reporting only the marginally significant version (Fig. 4; full year-by-year values in </w:t>
      </w:r>
      <w:r>
        <w:rPr>
          <w:rFonts w:ascii="Times New Roman" w:hAnsi="Times New Roman" w:eastAsia="Times New Roman"/>
          <w:sz w:val="24"/>
        </w:rPr>
        <w:t>table_breakpoint_scan_full.csv</w:t>
      </w:r>
      <w:r>
        <w:rPr>
          <w:rFonts w:ascii="Times New Roman" w:hAnsi="Times New Roman" w:eastAsia="Times New Roman"/>
          <w:sz w:val="24"/>
        </w:rPr>
        <w:t xml:space="preserve">). Fig. 4 also plots growth duration, a trait we do not otherwise analyse in this paper; its scan peaks at </w:t>
      </w:r>
      <w:r>
        <w:rPr>
          <w:rFonts w:ascii="Times New Roman" w:hAnsi="Times New Roman" w:eastAsia="Times New Roman"/>
          <w:b/>
          <w:sz w:val="24"/>
        </w:rPr>
        <w:t>2018</w:t>
      </w:r>
      <w:r>
        <w:rPr>
          <w:rFonts w:ascii="Times New Roman" w:hAnsi="Times New Roman" w:eastAsia="Times New Roman"/>
          <w:sz w:val="24"/>
        </w:rPr>
        <w:t xml:space="preserve"> (Wald = 226.8, p &lt; 10⁻⁴⁹, n = 1,196), close to the absolute-yield break but one year later, and we report this only as background context for the figure rather than as part of the paper's argument, since growth duration is not one of the third-party-assayed quality traits this section is built to falsify a reform-timing story for.</w:t>
      </w:r>
    </w:p>
    <w:p>
      <w:pPr>
        <w:spacing w:line="480" w:lineRule="auto" w:after="160"/>
        <w:jc w:val="left"/>
      </w:pPr>
      <w:r>
        <w:rPr>
          <w:rFonts w:ascii="Times New Roman" w:hAnsi="Times New Roman" w:eastAsia="Times New Roman"/>
          <w:sz w:val="24"/>
        </w:rPr>
        <w:t xml:space="preserve">Taken together, these results support a falsification claim rather than a positive dating claim: whatever quality improvement trend is visible in the pre-2016 data was already underway before the reform, so attributing the level of grain-processing and appearance quality in this period to the 2016 reform itself — as opposed to reading the </w:t>
      </w:r>
      <w:r>
        <w:rPr>
          <w:rFonts w:ascii="Times New Roman" w:hAnsi="Times New Roman" w:eastAsia="Times New Roman"/>
          <w:i/>
          <w:sz w:val="24"/>
        </w:rPr>
        <w:t>channel gap conditional on year</w:t>
      </w:r>
      <w:r>
        <w:rPr>
          <w:rFonts w:ascii="Times New Roman" w:hAnsi="Times New Roman" w:eastAsia="Times New Roman"/>
          <w:sz w:val="24"/>
        </w:rPr>
        <w:t xml:space="preserve"> reported in Sections 5.2–5.3 — would be a mistaken inference. This paper's estimand is explicitly the latter (the same-year channel gap), and the breakpoint evidence is reported to pre-empt the former misreading. This falsification result also bears on a year-indexed reading of the same corpus: Lu et al. (2024) and Hang et al. (2024) both document long-run quality- and yield-trait trends in Chinese variety-approval records using calendar year as the explanatory variable, without a channel distinction; our break-year estimates (head-rice 2015, chalkiness 2009) sit inside the window their national trend series cover, which is consistent with, though not a direct test of, their finding that these trait trajectories are gradual rather than reform-triggered. The two approaches are complementary rather than competing: a channel-conditional design like ours cannot itself characterise the decades-long trend that a year-indexed design is built to describe, and neither of those papers can distinguish (as this paper's Arm 1/Arm 2 comparison does) whether varieties entering through a given channel in a given year look different from their contemporaries in another channel.</w:t>
      </w:r>
    </w:p>
    <w:p>
      <w:pPr>
        <w:keepNext/>
        <w:spacing w:line="480" w:lineRule="auto" w:after="120"/>
        <w:jc w:val="left"/>
      </w:pPr>
      <w:r>
        <w:rPr>
          <w:rFonts w:ascii="Times New Roman" w:hAnsi="Times New Roman" w:eastAsia="Times New Roman"/>
          <w:b/>
          <w:sz w:val="24"/>
        </w:rPr>
        <w:t>5.7 Summary</w:t>
      </w:r>
    </w:p>
    <w:p>
      <w:pPr>
        <w:spacing w:line="276" w:lineRule="auto" w:after="160"/>
        <w:jc w:val="left"/>
      </w:pPr>
      <w:r>
        <w:rPr>
          <w:rFonts w:ascii="Times New Roman" w:hAnsi="Times New Roman" w:eastAsia="Times New Roman"/>
          <w:sz w:val="24"/>
        </w:rPr>
        <w:t>Table 3 and Fig. 2 present the full set of 17 outcome variables for both arms, including the outcomes that run against the paper's central narrative (bacterial-blight resistance, Arm 2's reversed production-trial yield gain, Arm 2's non-estimable regional-trial yield gain). The pattern that survives across both arms is a consistent, third-party-assayed grain-processing and appearance-quality deficit among self-organised-trial entrants, paired with an applicant-measured yield performance that is, if anything, higher — a sign separation inconsistent with a pure breeding-ability account, but not by itself sufficient to rule out differing entry thresholds across channels. Section 6 subjects this pattern to sixteen pre-registered and one additional robustness checks, several of which qualify or fail to replicate parts of the headline result, and reports all of them.</w:t>
      </w:r>
    </w:p>
    <w:p>
      <w:pPr>
        <w:keepNext/>
        <w:spacing w:line="480" w:lineRule="auto" w:after="120"/>
        <w:jc w:val="left"/>
      </w:pPr>
      <w:r>
        <w:rPr>
          <w:rFonts w:ascii="Times New Roman" w:hAnsi="Times New Roman" w:eastAsia="Times New Roman"/>
          <w:b/>
          <w:sz w:val="26"/>
        </w:rPr>
        <w:t>6. Robustness, placebos and bounds</w:t>
      </w:r>
    </w:p>
    <w:p>
      <w:pPr>
        <w:spacing w:line="480" w:lineRule="auto" w:after="160"/>
        <w:jc w:val="left"/>
      </w:pPr>
      <w:r>
        <w:rPr>
          <w:rFonts w:ascii="Times New Roman" w:hAnsi="Times New Roman" w:eastAsia="Times New Roman"/>
          <w:sz w:val="24"/>
        </w:rPr>
        <w:t>This section reports sixteen robustness checks (R1–R16) against the Arm-1 headline results of Section 5 (head-rice −1.844 pp, chalkiness +1.108 pp, stated quality grade −0.122, regional-trial yield gain +0.554 pp, production-trial yield gain +0.919 pp, bacterial-blight grade −0.190; see Table 3 and §5.2 for full CIs, p-values and n). None is moved to an appendix or omitted; where a check does not support the main result, we say so and report the number. Checks that leave the headline pattern essentially unchanged (R1–R6, R8, R10, R12–R14) are reported briefly, with full statistics left in Table 3/Table 4 rather than repeated in prose; checks that qualify or complicate the headline pattern (R7, R9, R11, R15) are given full treatment, since these are the ones a reader needs explained rather than tabulated.</w:t>
      </w:r>
    </w:p>
    <w:p>
      <w:pPr>
        <w:keepNext/>
        <w:spacing w:line="480" w:lineRule="auto" w:after="120"/>
        <w:jc w:val="left"/>
      </w:pPr>
      <w:r>
        <w:rPr>
          <w:rFonts w:ascii="Times New Roman" w:hAnsi="Times New Roman" w:eastAsia="Times New Roman"/>
          <w:b/>
          <w:sz w:val="24"/>
        </w:rPr>
        <w:t>6.1 Checks that leave the headline pattern unchanged (R1–R6, R8, R10, R12–R14)</w:t>
      </w:r>
    </w:p>
    <w:p>
      <w:pPr>
        <w:pStyle w:val="ListBullet"/>
        <w:spacing w:line="360" w:lineRule="auto" w:after="40"/>
      </w:pPr>
      <w:r>
        <w:rPr>
          <w:rFonts w:ascii="Times New Roman" w:hAnsi="Times New Roman" w:eastAsia="Times New Roman"/>
          <w:b/>
          <w:sz w:val="24"/>
        </w:rPr>
        <w:t>R1 (two channels never pooled).</w:t>
      </w:r>
      <w:r>
        <w:rPr>
          <w:rFonts w:ascii="Times New Roman" w:hAnsi="Times New Roman" w:eastAsia="Times New Roman"/>
          <w:sz w:val="24"/>
        </w:rPr>
        <w:t xml:space="preserve"> Already established in §5.1–5.3: pooling Arm 1 and Arm 2 would average a +0.919 pp production-trial yield-gain coefficient with a −1.036 pp one, manufacturing a sign that never occurred. Reported only as a reference row (Table 3), never as the headline estimate.</w:t>
      </w:r>
    </w:p>
    <w:p>
      <w:pPr>
        <w:pStyle w:val="ListBullet"/>
        <w:spacing w:line="360" w:lineRule="auto" w:after="40"/>
      </w:pPr>
      <w:r>
        <w:rPr>
          <w:rFonts w:ascii="Times New Roman" w:hAnsi="Times New Roman" w:eastAsia="Times New Roman"/>
          <w:b/>
          <w:sz w:val="24"/>
        </w:rPr>
        <w:t>R2 (fixed-effects specification).</w:t>
      </w:r>
      <w:r>
        <w:rPr>
          <w:rFonts w:ascii="Times New Roman" w:hAnsi="Times New Roman" w:eastAsia="Times New Roman"/>
          <w:sz w:val="24"/>
        </w:rPr>
        <w:t xml:space="preserve"> Re-estimating on the additive, collinearity-prone year + trial-group + check specification (rather than the interaction cell used throughout) reproduces the same signs and comparable magnitudes for all four cross-checked coefficients. Conclusion: the choice of fixed-effects structure is not what drives the result (full numbers: </w:t>
      </w:r>
      <w:r>
        <w:rPr>
          <w:rFonts w:ascii="Times New Roman" w:hAnsi="Times New Roman" w:eastAsia="Times New Roman"/>
          <w:sz w:val="24"/>
        </w:rPr>
        <w:t>results_notes_main.md</w:t>
      </w:r>
      <w:r>
        <w:rPr>
          <w:rFonts w:ascii="Times New Roman" w:hAnsi="Times New Roman" w:eastAsia="Times New Roman"/>
          <w:sz w:val="24"/>
        </w:rPr>
        <w:t>).</w:t>
      </w:r>
    </w:p>
    <w:p>
      <w:pPr>
        <w:pStyle w:val="ListBullet"/>
        <w:spacing w:line="360" w:lineRule="auto" w:after="40"/>
      </w:pPr>
      <w:r>
        <w:rPr>
          <w:rFonts w:ascii="Times New Roman" w:hAnsi="Times New Roman" w:eastAsia="Times New Roman"/>
          <w:b/>
          <w:sz w:val="24"/>
        </w:rPr>
        <w:t>R3 (extend to all national trial groups).</w:t>
      </w:r>
      <w:r>
        <w:rPr>
          <w:rFonts w:ascii="Times New Roman" w:hAnsi="Times New Roman" w:eastAsia="Times New Roman"/>
          <w:sz w:val="24"/>
        </w:rPr>
        <w:t xml:space="preserve"> Extending from the two dominant indica trial groups to all national trial groups leaves direction and significance essentially unchanged in both arms. Conclusion: not an artefact of the two-trial-group restriction.</w:t>
      </w:r>
    </w:p>
    <w:p>
      <w:pPr>
        <w:pStyle w:val="ListBullet"/>
        <w:spacing w:line="360" w:lineRule="auto" w:after="40"/>
      </w:pPr>
      <w:r>
        <w:rPr>
          <w:rFonts w:ascii="Times New Roman" w:hAnsi="Times New Roman" w:eastAsia="Times New Roman"/>
          <w:b/>
          <w:sz w:val="24"/>
        </w:rPr>
        <w:t>R4 (2018 treatment).</w:t>
      </w:r>
      <w:r>
        <w:rPr>
          <w:rFonts w:ascii="Times New Roman" w:hAnsi="Times New Roman" w:eastAsia="Times New Roman"/>
          <w:sz w:val="24"/>
        </w:rPr>
        <w:t xml:space="preserve"> Coding the 233 unlabelled 2018 records as Unified, instead of excluding them, produces numerically identical point estimates, SEs and p-values to the main design, because every 2018 cell in this stratum is a Unified-only (or one Green-only) singleton carrying no identifying variation either way. Conclusion: the 2018-coding choice is provably immaterial.</w:t>
      </w:r>
    </w:p>
    <w:p>
      <w:pPr>
        <w:pStyle w:val="ListBullet"/>
        <w:spacing w:line="360" w:lineRule="auto" w:after="40"/>
      </w:pPr>
      <w:r>
        <w:rPr>
          <w:rFonts w:ascii="Times New Roman" w:hAnsi="Times New Roman" w:eastAsia="Times New Roman"/>
          <w:b/>
          <w:sz w:val="24"/>
        </w:rPr>
        <w:t>R5 (Benjamini–Hochberg FDR).</w:t>
      </w:r>
      <w:r>
        <w:rPr>
          <w:rFonts w:ascii="Times New Roman" w:hAnsi="Times New Roman" w:eastAsia="Times New Roman"/>
          <w:sz w:val="24"/>
        </w:rPr>
        <w:t xml:space="preserve"> Of 17 Arm-1 outcomes, 8 retain q &lt; 0.05 after BH correction across all 17 tests, including all six headline coefficients; only the top-two quality-grade indicator is borderline (see R7). Conclusion: the sign-separation pattern does not depend on uncorrected multiple testing.</w:t>
      </w:r>
    </w:p>
    <w:p>
      <w:pPr>
        <w:pStyle w:val="ListBullet"/>
        <w:spacing w:line="360" w:lineRule="auto" w:after="40"/>
      </w:pPr>
      <w:r>
        <w:rPr>
          <w:rFonts w:ascii="Times New Roman" w:hAnsi="Times New Roman" w:eastAsia="Times New Roman"/>
          <w:b/>
          <w:sz w:val="24"/>
        </w:rPr>
        <w:t>R6 (randomisation inference).</w:t>
      </w:r>
      <w:r>
        <w:rPr>
          <w:rFonts w:ascii="Times New Roman" w:hAnsi="Times New Roman" w:eastAsia="Times New Roman"/>
          <w:sz w:val="24"/>
        </w:rPr>
        <w:t xml:space="preserve"> Exact permutation p-values (500 draws within each year × trial-group × check cell; Fig. 5) place head-rice, chalkiness and regional-trial yield gain in the extreme tail of their null distributions (RI p = 0.002 each). Conclusion: corroborates the headline results independently of cluster-asymptotic assumptions.</w:t>
      </w:r>
    </w:p>
    <w:p>
      <w:pPr>
        <w:pStyle w:val="ListBullet"/>
        <w:spacing w:line="360" w:lineRule="auto" w:after="40"/>
      </w:pPr>
      <w:r>
        <w:rPr>
          <w:rFonts w:ascii="Times New Roman" w:hAnsi="Times New Roman" w:eastAsia="Times New Roman"/>
          <w:b/>
          <w:sz w:val="24"/>
        </w:rPr>
        <w:t>R8 (missingness balance).</w:t>
      </w:r>
      <w:r>
        <w:rPr>
          <w:rFonts w:ascii="Times New Roman" w:hAnsi="Times New Roman" w:eastAsia="Times New Roman"/>
          <w:sz w:val="24"/>
        </w:rPr>
        <w:t xml:space="preserve"> Fig. 6 shows most of the 17 outcomes balanced within ~2 pp of non-missing rate across arms; the three exceptions (top-two grade, regional-trial yield gain, two-year kg/mu yield) are exactly the three that motivate the Manski-bounds exercise (R7, below).</w:t>
      </w:r>
    </w:p>
    <w:p>
      <w:pPr>
        <w:pStyle w:val="ListBullet"/>
        <w:spacing w:line="360" w:lineRule="auto" w:after="40"/>
      </w:pPr>
      <w:r>
        <w:rPr>
          <w:rFonts w:ascii="Times New Roman" w:hAnsi="Times New Roman" w:eastAsia="Times New Roman"/>
          <w:b/>
          <w:sz w:val="24"/>
        </w:rPr>
        <w:t>R10 (drop the focal firm).</w:t>
      </w:r>
      <w:r>
        <w:rPr>
          <w:rFonts w:ascii="Times New Roman" w:hAnsi="Times New Roman" w:eastAsia="Times New Roman"/>
          <w:sz w:val="24"/>
        </w:rPr>
        <w:t xml:space="preserve"> Dropping all Winall-linked records leaves the headline result significant with the same sign: head-rice −1.368 pp (p = 0.006, n = 602), chalkiness +0.940 pp (p = 0.034, n = 599), stated grade −0.104 (p = 0.011, n = 609) (</w:t>
      </w:r>
      <w:r>
        <w:rPr>
          <w:rFonts w:ascii="Times New Roman" w:hAnsi="Times New Roman" w:eastAsia="Times New Roman"/>
          <w:sz w:val="24"/>
        </w:rPr>
        <w:t>table_r10_drop_winall_robustness.csv</w:t>
      </w:r>
      <w:r>
        <w:rPr>
          <w:rFonts w:ascii="Times New Roman" w:hAnsi="Times New Roman" w:eastAsia="Times New Roman"/>
          <w:sz w:val="24"/>
        </w:rPr>
        <w:t>). Conclusion: the result does not depend on this single firm; see also §7.</w:t>
      </w:r>
    </w:p>
    <w:p>
      <w:pPr>
        <w:pStyle w:val="ListBullet"/>
        <w:spacing w:line="360" w:lineRule="auto" w:after="40"/>
      </w:pPr>
      <w:r>
        <w:rPr>
          <w:rFonts w:ascii="Times New Roman" w:hAnsi="Times New Roman" w:eastAsia="Times New Roman"/>
          <w:b/>
          <w:sz w:val="24"/>
        </w:rPr>
        <w:t>R12 (pre-declared placebos).</w:t>
      </w:r>
      <w:r>
        <w:rPr>
          <w:rFonts w:ascii="Times New Roman" w:hAnsi="Times New Roman" w:eastAsia="Times New Roman"/>
          <w:sz w:val="24"/>
        </w:rPr>
        <w:t xml:space="preserve"> Seed-setting percentage and thousand-grain weight, declared as placebos before estimation, are both non-significant. Plant height was pre-declared </w:t>
      </w:r>
      <w:r>
        <w:rPr>
          <w:rFonts w:ascii="Times New Roman" w:hAnsi="Times New Roman" w:eastAsia="Times New Roman"/>
          <w:i/>
          <w:sz w:val="24"/>
        </w:rPr>
        <w:t>outside</w:t>
      </w:r>
      <w:r>
        <w:rPr>
          <w:rFonts w:ascii="Times New Roman" w:hAnsi="Times New Roman" w:eastAsia="Times New Roman"/>
          <w:sz w:val="24"/>
        </w:rPr>
        <w:t xml:space="preserve"> the placebo set and is significantly higher among Consortium entrants (β = +0.952 cm, p = 0.044); this is reported as auxiliary agronomic evidence, not a failed placebo, per the pre-registered design.</w:t>
      </w:r>
    </w:p>
    <w:p>
      <w:pPr>
        <w:pStyle w:val="ListBullet"/>
        <w:spacing w:line="360" w:lineRule="auto" w:after="40"/>
      </w:pPr>
      <w:r>
        <w:rPr>
          <w:rFonts w:ascii="Times New Roman" w:hAnsi="Times New Roman" w:eastAsia="Times New Roman"/>
          <w:b/>
          <w:sz w:val="24"/>
        </w:rPr>
        <w:t>R13 (pre-reform time placebo).</w:t>
      </w:r>
      <w:r>
        <w:rPr>
          <w:rFonts w:ascii="Times New Roman" w:hAnsi="Times New Roman" w:eastAsia="Times New Roman"/>
          <w:sz w:val="24"/>
        </w:rPr>
        <w:t xml:space="preserve"> A pseudo-treatment built the same way in 2005–2016, before any channel existed (using </w:t>
      </w:r>
      <w:r>
        <w:rPr>
          <w:rFonts w:ascii="Times New Roman" w:hAnsi="Times New Roman" w:eastAsia="Times New Roman"/>
          <w:sz w:val="24"/>
        </w:rPr>
        <w:t>applicant_type == Enterprise</w:t>
      </w:r>
      <w:r>
        <w:rPr>
          <w:rFonts w:ascii="Times New Roman" w:hAnsi="Times New Roman" w:eastAsia="Times New Roman"/>
          <w:sz w:val="24"/>
        </w:rPr>
        <w:t xml:space="preserve"> as the closest available proxy, n = 153, 13 cells), returns no significant coefficient on any of the six outcomes, and the sign is opposite the real design's for both headline quality traits. Conclusion: enterprise-versus-public composition alone, absent real channel variation, does not reproduce the quality-deficit pattern — though this only weakens one specific confound and does not by itself rule out H_(threshold) (§5.4).</w:t>
      </w:r>
    </w:p>
    <w:p>
      <w:pPr>
        <w:pStyle w:val="ListBullet"/>
        <w:spacing w:line="360" w:lineRule="auto" w:after="40"/>
      </w:pPr>
      <w:r>
        <w:rPr>
          <w:rFonts w:ascii="Times New Roman" w:hAnsi="Times New Roman" w:eastAsia="Times New Roman"/>
          <w:b/>
          <w:sz w:val="24"/>
        </w:rPr>
        <w:t>R14 (cluster by variety).</w:t>
      </w:r>
      <w:r>
        <w:rPr>
          <w:rFonts w:ascii="Times New Roman" w:hAnsi="Times New Roman" w:eastAsia="Times New Roman"/>
          <w:sz w:val="24"/>
        </w:rPr>
        <w:t xml:space="preserve"> Re-clustering standard errors at the variety level (36 varieties, 72 records approved in multiple ecological zones) leaves all headline coefficients significant at p ≤ 0.0014. Conclusion: this source of non-independence does not threaten the main inference.</w:t>
      </w:r>
    </w:p>
    <w:p>
      <w:pPr>
        <w:keepNext/>
        <w:spacing w:line="480" w:lineRule="auto" w:after="120"/>
        <w:jc w:val="left"/>
      </w:pPr>
      <w:r>
        <w:rPr>
          <w:rFonts w:ascii="Times New Roman" w:hAnsi="Times New Roman" w:eastAsia="Times New Roman"/>
          <w:b/>
          <w:sz w:val="24"/>
        </w:rPr>
        <w:t>6.2 Manski worst-case bounds (R7)</w:t>
      </w:r>
    </w:p>
    <w:p>
      <w:pPr>
        <w:spacing w:line="480" w:lineRule="auto" w:after="160"/>
        <w:jc w:val="left"/>
      </w:pPr>
      <w:r>
        <w:rPr>
          <w:rFonts w:ascii="Times New Roman" w:hAnsi="Times New Roman" w:eastAsia="Times New Roman"/>
          <w:sz w:val="24"/>
        </w:rPr>
        <w:t xml:space="preserve">Because four outcome variables show meaningfully unbalanced missingness between arms — the top-two quality grade (23.0% missing in the Consortium arm vs 11.3% in Unified), regional-trial yield gain (0.2% vs 11.9%, and separately the 2017 Unified sub-arm at 1.9%), production-trial yield gain, and two-year trial yield in kg/mu (Fig. 6; imbalances ≥ 8 percentage points flagged in orange) — we compute Manski worst-case bounds by filling missing values at the 5th/95th percentile extremes appropriate to each arm. Head-rice percentage and chalkiness degree, whose missingness is balanced (~1–2 pp gap across arms), have narrow, sign-stable bounds ([−2.001, −1.623] and [+0.976, +1.203] respectively) and are treated as the paper's most secure headline results. The top-two quality-grade indicator does </w:t>
      </w:r>
      <w:r>
        <w:rPr>
          <w:rFonts w:ascii="Times New Roman" w:hAnsi="Times New Roman" w:eastAsia="Times New Roman"/>
          <w:b/>
          <w:sz w:val="24"/>
        </w:rPr>
        <w:t>not</w:t>
      </w:r>
      <w:r>
        <w:rPr>
          <w:rFonts w:ascii="Times New Roman" w:hAnsi="Times New Roman" w:eastAsia="Times New Roman"/>
          <w:sz w:val="24"/>
        </w:rPr>
        <w:t xml:space="preserve"> survive this test: its worst-case bound is [−0.253, +0.088], which crosses zero — the sign is unstable under worst-case imputation. We therefore explicitly downgrade this variable to a secondary result and rely on the fully defined (0% missing by construction) stated-quality-grade indicator as the primary grading-related headline result (Table 3; Section 5.2). Regional-trial yield gain's worst-case bound is [+0.049, +0.912] — the lower bound is close to zero (p = 0.91 at that bound) — so this coefficient is downgraded from "suggestive support for a positive self-reported advantage" to "directionally positive but not robustly bounded away from zero." No headline third-party-quality result other than the top-two grade indicator changes sign under worst-case bounds.</w:t>
      </w:r>
    </w:p>
    <w:p>
      <w:pPr>
        <w:keepNext/>
        <w:spacing w:line="480" w:lineRule="auto" w:after="120"/>
        <w:jc w:val="left"/>
      </w:pPr>
      <w:r>
        <w:rPr>
          <w:rFonts w:ascii="Times New Roman" w:hAnsi="Times New Roman" w:eastAsia="Times New Roman"/>
          <w:b/>
          <w:sz w:val="24"/>
        </w:rPr>
        <w:t>6.3 Within-applicant subsample and its minimum detectable effect (R9)</w:t>
      </w:r>
    </w:p>
    <w:p>
      <w:pPr>
        <w:spacing w:line="480" w:lineRule="auto" w:after="160"/>
        <w:jc w:val="left"/>
      </w:pPr>
      <w:r>
        <w:rPr>
          <w:rFonts w:ascii="Times New Roman" w:hAnsi="Times New Roman" w:eastAsia="Times New Roman"/>
          <w:sz w:val="24"/>
        </w:rPr>
        <w:t>The most direct test of self-selection versus a genuine channel effect compares the same applicant's own varieties across channels. This subsample is small: 10 applicants, 51 records (26 Consortium, 25 Unified) within the Arm-1 window, estimated with applicant fixed effects (rather than the main year × group × check cell, which is too fine for a sample this size) and HC1 standard errors. None of the six headline coefficients is significant in this subsample, and three (head-rice, chalkiness, stated grade) flip sign relative to the main design (Table: head-rice +0.780, p = 0.61; chalkiness +0.846, p = 0.21; stated grade +0.118, p = 0.40; regional-trial yield gain +0.100, p = 0.86; production-trial yield gain −0.126, p = 0.82; bacterial-blight grade −0.421, p = 0.38).</w:t>
      </w:r>
    </w:p>
    <w:p>
      <w:pPr>
        <w:spacing w:line="480" w:lineRule="auto" w:after="160"/>
        <w:jc w:val="left"/>
      </w:pPr>
      <w:r>
        <w:rPr>
          <w:rFonts w:ascii="Times New Roman" w:hAnsi="Times New Roman" w:eastAsia="Times New Roman"/>
          <w:sz w:val="24"/>
        </w:rPr>
        <w:t xml:space="preserve">Rather than reading this as evidence against the main result, we compute the minimum detectable effect (MDE) this subsample could reliably distinguish from zero at 80% power for each outcome: head-rice 4.37 pp, chalkiness 1.96 pp, stated grade 0.41, regional-trial yield gain 1.66 pp, production-trial yield gain 1.56 pp, bacterial-blight grade 1.41. In every case, the MDE exceeds the magnitude of the corresponding main-design coefficient — for head-rice by roughly 2.4×, for regional-trial yield gain by roughly 3×. This converts a qualitative "underpowered" claim into a quantitative one: </w:t>
      </w:r>
      <w:r>
        <w:rPr>
          <w:rFonts w:ascii="Times New Roman" w:hAnsi="Times New Roman" w:eastAsia="Times New Roman"/>
          <w:b/>
          <w:sz w:val="24"/>
        </w:rPr>
        <w:t>this design cannot statistically distinguish "no channel effect once self-selection is removed" from "the channel effect exists, but this subsample is too small to detect it."</w:t>
      </w:r>
      <w:r>
        <w:rPr>
          <w:rFonts w:ascii="Times New Roman" w:hAnsi="Times New Roman" w:eastAsia="Times New Roman"/>
          <w:sz w:val="24"/>
        </w:rPr>
        <w:t xml:space="preserve"> The sign flips are consistent with a severely underpowered, noisy estimate rather than a credible contradiction of the main design, but we do not claim the within-applicant test confirms the main effect either — it simply lacks the power to adjudicate the question (Section 4, Non-claims 1).</w:t>
      </w:r>
    </w:p>
    <w:p>
      <w:pPr>
        <w:keepNext/>
        <w:spacing w:line="480" w:lineRule="auto" w:after="120"/>
        <w:jc w:val="left"/>
      </w:pPr>
      <w:r>
        <w:rPr>
          <w:rFonts w:ascii="Times New Roman" w:hAnsi="Times New Roman" w:eastAsia="Times New Roman"/>
          <w:b/>
          <w:sz w:val="24"/>
        </w:rPr>
        <w:t>6.4 Provincial replication and its minimum detectable effect (R11)</w:t>
      </w:r>
    </w:p>
    <w:p>
      <w:pPr>
        <w:spacing w:line="480" w:lineRule="auto" w:after="160"/>
        <w:jc w:val="left"/>
      </w:pPr>
      <w:r>
        <w:rPr>
          <w:rFonts w:ascii="Times New Roman" w:hAnsi="Times New Roman" w:eastAsia="Times New Roman"/>
          <w:sz w:val="24"/>
        </w:rPr>
        <w:t>Provincial-level approvals (省审) in 2021–2022, pooling Consortium and Green under a single new-channel indicator against Unified (cell fixed effect: year × trial group, without the check dimension, because provincial trial-group labels are far more heterogeneous), give a raw sample of n = 495 (new-channel 143, Unified 352). None of the four headline outcomes replicates as significant in the same direction and comparable magnitude as the national result, with one important exception. Head-rice percentage: β = −3.354, p = 0.53, n = 280, MDE = 14.99 pp against a national effect of −1.844 pp — severely underpowered. Chalkiness degree: β = −0.549, p = 0.24, n = 256, MDE = 1.31 pp against a national effect of +1.108 pp — underpowered (and the point estimate's sign is even reversed, though the MDE analysis shows this reversal is not informative). Regional-trial yield gain: β = −0.994, p = 0.62, n = 205, MDE = 5.62 pp against +0.554 pp nationally — underpowered.</w:t>
      </w:r>
    </w:p>
    <w:p>
      <w:pPr>
        <w:spacing w:line="480" w:lineRule="auto" w:after="160"/>
        <w:jc w:val="left"/>
      </w:pPr>
      <w:r>
        <w:rPr>
          <w:rFonts w:ascii="Times New Roman" w:hAnsi="Times New Roman" w:eastAsia="Times New Roman"/>
          <w:b/>
          <w:sz w:val="24"/>
        </w:rPr>
        <w:t>The stated-quality-grade coefficient is the one exception, and it is a new finding from this session's analysis that must be reported rather than omitted:</w:t>
      </w:r>
      <w:r>
        <w:rPr>
          <w:rFonts w:ascii="Times New Roman" w:hAnsi="Times New Roman" w:eastAsia="Times New Roman"/>
          <w:sz w:val="24"/>
        </w:rPr>
        <w:t xml:space="preserve"> at n = 495 the provincial sample is adequately powered for this outcome (MDE = 0.41, smaller than the national coefficient's magnitude), and it returns a significant, larger-magnitude, same-direction (negative) coefficient: β = −0.468, p = 0.001. This is the one provincial result that is not simply underpowered, and it is read as strengthening, rather than qualifying, the stated-grade half of the headline result — provincial-level approvals show the same self-organised-channel deficit in whether a quality grade is stated at all, and here the sample has the power to say so with confidence. The correct overall reading of R11 is therefore two-part: for head-rice, chalkiness and yield gain, the national-level effect size is </w:t>
      </w:r>
      <w:r>
        <w:rPr>
          <w:rFonts w:ascii="Times New Roman" w:hAnsi="Times New Roman" w:eastAsia="Times New Roman"/>
          <w:b/>
          <w:sz w:val="24"/>
        </w:rPr>
        <w:t>statistically undecidable</w:t>
      </w:r>
      <w:r>
        <w:rPr>
          <w:rFonts w:ascii="Times New Roman" w:hAnsi="Times New Roman" w:eastAsia="Times New Roman"/>
          <w:sz w:val="24"/>
        </w:rPr>
        <w:t xml:space="preserve"> at the provincial level, not disproved by it; for the stated-grade indicator, the provincial result is adequately powered and corroborates the national finding.</w:t>
      </w:r>
    </w:p>
    <w:p>
      <w:pPr>
        <w:spacing w:line="480" w:lineRule="auto" w:after="160"/>
        <w:jc w:val="left"/>
      </w:pPr>
      <w:r>
        <w:rPr>
          <w:rFonts w:ascii="Times New Roman" w:hAnsi="Times New Roman" w:eastAsia="Times New Roman"/>
          <w:sz w:val="24"/>
        </w:rPr>
        <w:t>We also note, in the interest of full transparency, that the provincial sample size and coefficient values obtained in this run (n = 495, Unified 352) differ from an n = 452 (Unified 318) figure and an earlier head-rice coefficient of −0.134 (p = 0.93) recorded in prior planning notes. The "143" new-channel count matches exactly across both runs; we were unable to exactly reconstruct the earlier run's cell or filter specification from the planning documentation alone. The direction of the finding — provincial-level non-significance for head-rice, chalkiness and yield gain — is identical in both runs, which is what matters for this check's role in the argument, but the discrepancy in point estimates is reported here as an open item rather than silently reconciled.</w:t>
      </w:r>
    </w:p>
    <w:p>
      <w:pPr>
        <w:keepNext/>
        <w:spacing w:line="480" w:lineRule="auto" w:after="120"/>
        <w:jc w:val="left"/>
      </w:pPr>
      <w:r>
        <w:rPr>
          <w:rFonts w:ascii="Times New Roman" w:hAnsi="Times New Roman" w:eastAsia="Times New Roman"/>
          <w:b/>
          <w:sz w:val="24"/>
        </w:rPr>
        <w:t>6.5 A chained-check genetic-gain scale as an alternative yield metric (R15)</w:t>
      </w:r>
    </w:p>
    <w:p>
      <w:pPr>
        <w:spacing w:line="480" w:lineRule="auto" w:after="160"/>
        <w:jc w:val="left"/>
      </w:pPr>
      <w:r>
        <w:rPr>
          <w:rFonts w:ascii="Times New Roman" w:hAnsi="Times New Roman" w:eastAsia="Times New Roman"/>
          <w:sz w:val="24"/>
        </w:rPr>
        <w:t>The reported "percentage gain over the named check" (Section 5.2–5.3) is comparable only within the same trial-year-check cell, so it cannot on its own establish whether the self-reported yield advantage reflects a stable feature of the underlying entrants or an artefact of a shifting comparison scale across years. As a robustness check only, we construct a chained-check index in the spirit of the established genetic-gain literature that separates genetic from non-genetic sources of trend in official variety trials (Piepho et al., 2014; Laidig et al., 2014; Mackay et al., 2011). From the structure of China's approval announcements — mean yield, the named check variety, and the percentage gain over it — we back-solve an implied check-variety yield for each record and link records sharing the same check across adjacent approval years into a step-wise check ladder; where the same check recurs, the discrepancy between independently back-solved yields is our internal-consistency diagnostic, and the year-to-year change along the ladder is our chained estimate of realised genetic gain (Piepho and Laidig, 2024).</w:t>
      </w:r>
    </w:p>
    <w:p>
      <w:pPr>
        <w:spacing w:line="480" w:lineRule="auto" w:after="160"/>
        <w:jc w:val="left"/>
      </w:pPr>
      <w:r>
        <w:rPr>
          <w:rFonts w:ascii="Times New Roman" w:hAnsi="Times New Roman" w:eastAsia="Times New Roman"/>
          <w:sz w:val="24"/>
        </w:rPr>
        <w:t>We report the diagnostics in full, including those that argue against over-reading this method on Chinese approval-bulletin data. Within the main analysis layer, the coefficient of variation (CV) of the back-solved check yield across records sharing the same check-year cell has a median of 1.56% (90th percentile 3.32%, maximum 5.40%). An independent re-verification using only the fields available in the national rice dataset (</w:t>
      </w:r>
      <w:r>
        <w:rPr>
          <w:rFonts w:ascii="Times New Roman" w:hAnsi="Times New Roman" w:eastAsia="Times New Roman"/>
          <w:sz w:val="24"/>
        </w:rPr>
        <w:t>yield_2yr_kg_mu</w:t>
      </w:r>
      <w:r>
        <w:rPr>
          <w:rFonts w:ascii="Times New Roman" w:hAnsi="Times New Roman" w:eastAsia="Times New Roman"/>
          <w:sz w:val="24"/>
        </w:rPr>
        <w:t xml:space="preserve">, </w:t>
      </w:r>
      <w:r>
        <w:rPr>
          <w:rFonts w:ascii="Times New Roman" w:hAnsi="Times New Roman" w:eastAsia="Times New Roman"/>
          <w:sz w:val="24"/>
        </w:rPr>
        <w:t>yield_gain_pct</w:t>
      </w:r>
      <w:r>
        <w:rPr>
          <w:rFonts w:ascii="Times New Roman" w:hAnsi="Times New Roman" w:eastAsia="Times New Roman"/>
          <w:sz w:val="24"/>
        </w:rPr>
        <w:t xml:space="preserve">, </w:t>
      </w:r>
      <w:r>
        <w:rPr>
          <w:rFonts w:ascii="Times New Roman" w:hAnsi="Times New Roman" w:eastAsia="Times New Roman"/>
          <w:sz w:val="24"/>
        </w:rPr>
        <w:t>ck</w:t>
      </w:r>
      <w:r>
        <w:rPr>
          <w:rFonts w:ascii="Times New Roman" w:hAnsi="Times New Roman" w:eastAsia="Times New Roman"/>
          <w:sz w:val="24"/>
        </w:rPr>
        <w:t xml:space="preserve">, </w:t>
      </w:r>
      <w:r>
        <w:rPr>
          <w:rFonts w:ascii="Times New Roman" w:hAnsi="Times New Roman" w:eastAsia="Times New Roman"/>
          <w:sz w:val="24"/>
        </w:rPr>
        <w:t>approval_year</w:t>
      </w:r>
      <w:r>
        <w:rPr>
          <w:rFonts w:ascii="Times New Roman" w:hAnsi="Times New Roman" w:eastAsia="Times New Roman"/>
          <w:sz w:val="24"/>
        </w:rPr>
        <w:t xml:space="preserve">, </w:t>
      </w:r>
      <w:r>
        <w:rPr>
          <w:rFonts w:ascii="Times New Roman" w:hAnsi="Times New Roman" w:eastAsia="Times New Roman"/>
          <w:sz w:val="24"/>
        </w:rPr>
        <w:t>region_group</w:t>
      </w:r>
      <w:r>
        <w:rPr>
          <w:rFonts w:ascii="Times New Roman" w:hAnsi="Times New Roman" w:eastAsia="Times New Roman"/>
          <w:sz w:val="24"/>
        </w:rPr>
        <w:t>) reproduces the same order of magnitude — median CV of 0.9%–2.4%, 90th percentile roughly 3%–3.6% — but not the reported figures digit-for-digit, since the exact cell construction and backfilled gain variable of the original pipeline cannot be fully recovered from this table alone; we report this discrepancy rather than silently adopting the closer-looking number. A key step in the chain, checked directly against the underlying records, moves by +3.14%, not the +7.04% implied by the decomposition's structural identity — a gap large enough to discourage taking the point estimate at face value. Depending on which years and checks enter the chain, the implied genetic-gain rate swings between 0.25% and 0.50% per year — a two-fold range from a method whose appeal is supposed to be a single defensible number. Finally, because the chain rests on only six distinct check varieties (G = 6), clustering standard errors at the check level yields an effective degrees of freedom of about 3, inflating the standard errors roughly six-fold relative to the naive, unclustered calculation.</w:t>
      </w:r>
    </w:p>
    <w:p>
      <w:pPr>
        <w:spacing w:line="480" w:lineRule="auto" w:after="160"/>
        <w:jc w:val="left"/>
      </w:pPr>
      <w:r>
        <w:rPr>
          <w:rFonts w:ascii="Times New Roman" w:hAnsi="Times New Roman" w:eastAsia="Times New Roman"/>
          <w:sz w:val="24"/>
        </w:rPr>
        <w:t>Each of these four problems is a known property of check-based genetic-gain estimation, not a defect specific to this dataset: Mackay et al. (2011) and Laidig et al. (2014) both document that estimates are sensitive to the trial series used; Raymond et al. (2023) show directly that check-variety yields are not stable over time and that genetic-gain estimates are highly sensitive to which long-term checks are chosen; and Piepho and Laidig (2024) formalise why a low check-replacement rate and multiple checks per cycle are needed for the chain to be informative — conditions that Chinese approval bulletins, with their small number of checks and irregular replacement, do not meet. Given this, we draw only the following conclusion: even when yield performance is re-expressed on a chained, cross-year check scale rather than the raw within-year percentage-over-check figure, the direction of the applicant-self-reported yield advantage does not reverse, but the resulting interval is too wide to support any precise claim about its magnitude — the chained-scale evidence is inconclusive, not confirmatory or disconfirmatory, of the point estimate reported in Section 5.</w:t>
      </w:r>
    </w:p>
    <w:p>
      <w:pPr>
        <w:keepNext/>
        <w:spacing w:line="480" w:lineRule="auto" w:after="120"/>
        <w:jc w:val="left"/>
      </w:pPr>
      <w:r>
        <w:rPr>
          <w:rFonts w:ascii="Times New Roman" w:hAnsi="Times New Roman" w:eastAsia="Times New Roman"/>
          <w:b/>
          <w:sz w:val="24"/>
        </w:rPr>
        <w:t xml:space="preserve">6.6 </w:t>
      </w:r>
      <w:r>
        <w:rPr>
          <w:rFonts w:ascii="Times New Roman" w:hAnsi="Times New Roman" w:eastAsia="Times New Roman"/>
          <w:b/>
          <w:sz w:val="24"/>
        </w:rPr>
        <w:t>quality_stated</w:t>
      </w:r>
      <w:r>
        <w:rPr>
          <w:rFonts w:ascii="Times New Roman" w:hAnsi="Times New Roman" w:eastAsia="Times New Roman"/>
          <w:b/>
          <w:sz w:val="24"/>
        </w:rPr>
        <w:t xml:space="preserve"> under disclosure-behaviour controls (R16)</w:t>
      </w:r>
    </w:p>
    <w:p>
      <w:pPr>
        <w:spacing w:line="480" w:lineRule="auto" w:after="160"/>
        <w:jc w:val="left"/>
      </w:pPr>
      <w:r>
        <w:rPr>
          <w:rFonts w:ascii="Times New Roman" w:hAnsi="Times New Roman" w:eastAsia="Times New Roman"/>
          <w:sz w:val="24"/>
        </w:rPr>
        <w:t xml:space="preserve">Section 3.3 flags </w:t>
      </w:r>
      <w:r>
        <w:rPr>
          <w:rFonts w:ascii="Times New Roman" w:hAnsi="Times New Roman" w:eastAsia="Times New Roman"/>
          <w:sz w:val="24"/>
        </w:rPr>
        <w:t>quality_stated</w:t>
      </w:r>
      <w:r>
        <w:rPr>
          <w:rFonts w:ascii="Times New Roman" w:hAnsi="Times New Roman" w:eastAsia="Times New Roman"/>
          <w:sz w:val="24"/>
        </w:rPr>
        <w:t xml:space="preserve"> as mechanically close to a missingness indicator for the underlying grade field, and states that we report it as measuring </w:t>
      </w:r>
      <w:r>
        <w:rPr>
          <w:rFonts w:ascii="Times New Roman" w:hAnsi="Times New Roman" w:eastAsia="Times New Roman"/>
          <w:i/>
          <w:sz w:val="24"/>
        </w:rPr>
        <w:t>announcement disclosure behaviour</w:t>
      </w:r>
      <w:r>
        <w:rPr>
          <w:rFonts w:ascii="Times New Roman" w:hAnsi="Times New Roman" w:eastAsia="Times New Roman"/>
          <w:sz w:val="24"/>
        </w:rPr>
        <w:t xml:space="preserve"> rather than grain quality itself. This check asks directly whether the Arm-1 coefficient on </w:t>
      </w:r>
      <w:r>
        <w:rPr>
          <w:rFonts w:ascii="Times New Roman" w:hAnsi="Times New Roman" w:eastAsia="Times New Roman"/>
          <w:sz w:val="24"/>
        </w:rPr>
        <w:t>quality_stated</w:t>
      </w:r>
      <w:r>
        <w:rPr>
          <w:rFonts w:ascii="Times New Roman" w:hAnsi="Times New Roman" w:eastAsia="Times New Roman"/>
          <w:sz w:val="24"/>
        </w:rPr>
        <w:t xml:space="preserve"> is an artefact of some announcements simply being shorter or thinner on detail: we re-estimate the main Arm-1 specification adding two controls, the announcement's raw text length (</w:t>
      </w:r>
      <w:r>
        <w:rPr>
          <w:rFonts w:ascii="Times New Roman" w:hAnsi="Times New Roman" w:eastAsia="Times New Roman"/>
          <w:sz w:val="24"/>
        </w:rPr>
        <w:t>source_text_len</w:t>
      </w:r>
      <w:r>
        <w:rPr>
          <w:rFonts w:ascii="Times New Roman" w:hAnsi="Times New Roman" w:eastAsia="Times New Roman"/>
          <w:sz w:val="24"/>
        </w:rPr>
        <w:t xml:space="preserve">) and the count of non-missing fields among the paper's other 16 outcome variables, on the same sample (n = 750, cluster(cell, G = 10)). The baseline coefficient is β = −0.122 (p = 0.0075); with both controls added it is β = −0.146 (p = 0.0005) — the coefficient survives and strengthens in both magnitude and significance, consistent with the direction anticipated in §3.3, though the specific magnitude realised here (−0.146) differs from a −0.169 figure recorded in an earlier planning-stage note and should be read as the number this check actually produces on the data, not as confirmation of that earlier figure (script: </w:t>
      </w:r>
      <w:r>
        <w:rPr>
          <w:rFonts w:ascii="Times New Roman" w:hAnsi="Times New Roman" w:eastAsia="Times New Roman"/>
          <w:sz w:val="24"/>
        </w:rPr>
        <w:t>scripts/analysis/robustness_quality_stated_controls.py</w:t>
      </w:r>
      <w:r>
        <w:rPr>
          <w:rFonts w:ascii="Times New Roman" w:hAnsi="Times New Roman" w:eastAsia="Times New Roman"/>
          <w:sz w:val="24"/>
        </w:rPr>
        <w:t>). This rules out the simplest version of the "shorter announcements just say less" alternative account of the stated-grade gap.</w:t>
      </w:r>
    </w:p>
    <w:p>
      <w:pPr>
        <w:keepNext/>
        <w:spacing w:line="480" w:lineRule="auto" w:after="120"/>
        <w:jc w:val="left"/>
      </w:pPr>
      <w:r>
        <w:rPr>
          <w:rFonts w:ascii="Times New Roman" w:hAnsi="Times New Roman" w:eastAsia="Times New Roman"/>
          <w:b/>
          <w:sz w:val="24"/>
        </w:rPr>
        <w:t>6.7 Robustness matrix</w:t>
      </w:r>
    </w:p>
    <w:p>
      <w:pPr>
        <w:spacing w:line="276" w:lineRule="auto" w:after="160"/>
        <w:jc w:val="left"/>
      </w:pPr>
      <w:r>
        <w:rPr>
          <w:rFonts w:ascii="Times New Roman" w:hAnsi="Times New Roman" w:eastAsia="Times New Roman"/>
          <w:sz w:val="24"/>
        </w:rPr>
        <w:t>Table 4 collects all sixteen checks (R1–R16) in a single matrix, including the two that qualify a headline result (R7's Manski bound on the top-two quality grade; R11's mostly-underpowered but partly-corroborating provincial replication) and the one that is genuinely underpowered rather than informative either way (R9's within-applicant subsample). Read together with the year-by-year evidence in Section 5.5, this paper's central identification claim — a third-party-assayed grain-quality deficit paired with an unchanged or higher applicant-measured yield performance among self-organised-trial entrants — survives every check that has adequate statistical power to test it (R1–R6, R8, R10, R12–R14, R16), is not reproduced by a pre-reform placebo that shares no real channel variation (R13), and is qualified rather than contradicted by the two checks with genuinely limited power (R9, and three of four outcomes in R11). The one secondary result that does not survive worst-case bounds (top-two quality grade, R7) is explicitly downgraded rather than retained as headline evidence, and the one alternative yield metric explored as an additional check (the chained-check ladder, R15) returns an inconclusive, wide-interval result that neither strengthens nor weakens the main yield-side finding.</w:t>
      </w:r>
    </w:p>
    <w:p>
      <w:pPr>
        <w:keepNext/>
        <w:spacing w:line="480" w:lineRule="auto" w:after="120"/>
        <w:jc w:val="left"/>
      </w:pPr>
      <w:r>
        <w:rPr>
          <w:rFonts w:ascii="Times New Roman" w:hAnsi="Times New Roman" w:eastAsia="Times New Roman"/>
          <w:b/>
          <w:sz w:val="26"/>
        </w:rPr>
        <w:t>7. Mechanism: Winall Hi-Tech Seed as a counter-case</w:t>
      </w:r>
    </w:p>
    <w:p>
      <w:pPr>
        <w:spacing w:line="480" w:lineRule="auto" w:after="160"/>
        <w:jc w:val="left"/>
      </w:pPr>
      <w:r>
        <w:rPr>
          <w:rFonts w:ascii="Times New Roman" w:hAnsi="Times New Roman" w:eastAsia="Times New Roman"/>
          <w:i/>
          <w:sz w:val="24"/>
        </w:rPr>
        <w:t>Winall enters this paper as a counter-case that rules out an alternative explanation, not as a source of the main result.</w:t>
      </w:r>
    </w:p>
    <w:p>
      <w:pPr>
        <w:spacing w:line="480" w:lineRule="auto" w:after="160"/>
        <w:jc w:val="left"/>
      </w:pPr>
      <w:r>
        <w:rPr>
          <w:rFonts w:ascii="Times New Roman" w:hAnsi="Times New Roman" w:eastAsia="Times New Roman"/>
          <w:sz w:val="24"/>
        </w:rPr>
        <w:t xml:space="preserve">The sign separation reported in Sections 5–6 is consistent with measurement discretion in self-organised trials, but it is equally consistent with a cruder alternative: perhaps seed-marketing enterprises are simply less careful breeders than public research institutes, and the new channels happen to be where enterprises concentrate. If so, the quality gap would reflect </w:t>
      </w:r>
      <w:r>
        <w:rPr>
          <w:rFonts w:ascii="Times New Roman" w:hAnsi="Times New Roman" w:eastAsia="Times New Roman"/>
          <w:i/>
          <w:sz w:val="24"/>
        </w:rPr>
        <w:t>who</w:t>
      </w:r>
      <w:r>
        <w:rPr>
          <w:rFonts w:ascii="Times New Roman" w:hAnsi="Times New Roman" w:eastAsia="Times New Roman"/>
          <w:sz w:val="24"/>
        </w:rPr>
        <w:t xml:space="preserve"> enters through each door, not </w:t>
      </w:r>
      <w:r>
        <w:rPr>
          <w:rFonts w:ascii="Times New Roman" w:hAnsi="Times New Roman" w:eastAsia="Times New Roman"/>
          <w:i/>
          <w:sz w:val="24"/>
        </w:rPr>
        <w:t>how</w:t>
      </w:r>
      <w:r>
        <w:rPr>
          <w:rFonts w:ascii="Times New Roman" w:hAnsi="Times New Roman" w:eastAsia="Times New Roman"/>
          <w:sz w:val="24"/>
        </w:rPr>
        <w:t xml:space="preserve"> the door is measured. Anhui Winall Hi-Tech Seed Co. lets us test this alternative directly. Winall is the single largest beneficiary of the reform period among integrated seed enterprises — its share of national approvals in the two major indica trial groups rose from 0–12% in 2005–2015 to 23–31% in 2022–2024 — and it is a certified breeding-production-extension enterprise and a Ministry of Agriculture and Rural Affairs "strong-advantage" seed company, the profile the green channel was designed to serve. If enterprises are simply the more careless applicants, Winall should be the entrant that looks </w:t>
      </w:r>
      <w:r>
        <w:rPr>
          <w:rFonts w:ascii="Times New Roman" w:hAnsi="Times New Roman" w:eastAsia="Times New Roman"/>
          <w:i/>
          <w:sz w:val="24"/>
        </w:rPr>
        <w:t>most</w:t>
      </w:r>
      <w:r>
        <w:rPr>
          <w:rFonts w:ascii="Times New Roman" w:hAnsi="Times New Roman" w:eastAsia="Times New Roman"/>
          <w:sz w:val="24"/>
        </w:rPr>
        <w:t xml:space="preserve"> like the new channel. Winall's own contract-farming business is separately the subject of Xie et al. (2023), which models the seed enterprise's choice of contract design for its order-grain quality incentives with a three-tier supply-chain game and a numerical example, but at the firm level and without any variety-level data; the order-grain revenue-share and gross-margin figures for 2018 and 2021 reported below (Table 6) are drawn from that paper's data rather than from Winall's own disclosures for those two years, and we flag the distinction explicitly here so that this section's variety-level empirical claim is not conflated with Xie et al.'s firm-level contract-theoretic one.</w:t>
      </w:r>
    </w:p>
    <w:p>
      <w:pPr>
        <w:spacing w:line="480" w:lineRule="auto" w:after="160"/>
        <w:jc w:val="left"/>
      </w:pPr>
      <w:r>
        <w:rPr>
          <w:rFonts w:ascii="Times New Roman" w:hAnsi="Times New Roman" w:eastAsia="Times New Roman"/>
          <w:sz w:val="24"/>
        </w:rPr>
        <w:t>It is not. Restricting to national approvals in 2017 and 2019–2022, Winall-linked records (n = 166) used the unified channel 60.2% of the time, against 47.5% for all other applicants (n = 1,101) (Table 5; Fig. 7a). A logit for channel choice, conditioning on year×trial-group fixed effects, confirms this is not an artefact of when or where Winall applied: being Winall-linked is associated with roughly half the odds of entering through a new channel (α = −0.728, SE = 0.182, p &lt; 0.0001, odds ratio 0.483; robust in magnitude and sign, though somewhat attenuated, under a no-fixed-effects specification and a two-major-trial-group-only sample). Within the unified channel, Winall's own entrants also outperform other unified entrants on the same third-party-assayed traits that define the main result: head-rice percentage +2.212 points, probability of a stated quality grade +9.8 points, chalkiness −0.692 points (all p &lt; 0.001) (Table 5; Fig. 7b). This within-channel advantage is not a general Winall effect, however: repeating the same comparison inside the new-channel subsample, all three coefficients lose significance (p &gt; 0.18 throughout), and the point estimates move toward zero or reverse sign (Fig. 7b). A firm that were simply better at breeding across the board should retain some of this edge wherever its varieties enter; Winall's edge is specific to the channel in which quality is measured by the same third party as everyone else.</w:t>
      </w:r>
    </w:p>
    <w:p>
      <w:pPr>
        <w:spacing w:line="480" w:lineRule="auto" w:after="160"/>
        <w:jc w:val="left"/>
      </w:pPr>
      <w:r>
        <w:rPr>
          <w:rFonts w:ascii="Times New Roman" w:hAnsi="Times New Roman" w:eastAsia="Times New Roman"/>
          <w:sz w:val="24"/>
        </w:rPr>
        <w:t>This pattern must be read alongside, not instead of, a set of financial facts that are unrelated to which trial channel Winall used but are directly relevant to how the company's overall business should be judged (Table 6; Fig. 7c). Winall's order-grain trading segment — its channel for monetising the grain-quality differentiation documented above — ran a gross margin of approximately 2.66% in 2024, falling to about −0.09% in the first half of 2025 and to −1.31% for full-year 2025. The company's 2025 attributable net profit was −212 million CNY, a swing from profit to loss (down 317.91% year on year). Its 2024 annual report received a qualified (非无保留) audit opinion tied to receivables and inventory audit-scope limitations, and in 2026 the company was fined 3,000,000 CNY (RMB 3 million) for under-provisioning credit-impairment losses in that report (10.86% of disclosed profit) and had its stock short name changed to ST Winall, effective 2026-06-30. China Seed Group's partial tender offer for Winall — first announced 2025-11-20, with the tender period running 2025-12-04 to 2026-01-05 and the resulting 40.51% stake reached only after the tender closed, around 2026-01 — places the company's future ownership in flux at the same time. That Winall's varieties measure better on third-party grain-quality traits inside the unified channel, and that its order-grain business is financially troubled, are two separate and simultaneously true facts about the same firm; neither offsets the other, and this section does not convert the quality-grade coefficients above into any implied revenue, processing value, or cost saving for Winall or its comparators.</w:t>
      </w:r>
    </w:p>
    <w:p>
      <w:pPr>
        <w:spacing w:line="480" w:lineRule="auto" w:after="160"/>
        <w:jc w:val="left"/>
      </w:pPr>
      <w:r>
        <w:rPr>
          <w:rFonts w:ascii="Times New Roman" w:hAnsi="Times New Roman" w:eastAsia="Times New Roman"/>
          <w:sz w:val="24"/>
        </w:rPr>
        <w:t>Dropping every Winall-linked record from the main consortium-versus-unified comparison leaves the headline result intact (Section 6.1, R10; Table 4): head-rice percentage −1.368 pp (p = 0.006, n = 602), chalkiness degree +0.940 pp (p = 0.034, n = 599), and stated quality grade −0.104 (p = 0.011, n = 609). The main result does not depend on this firm.</w:t>
      </w:r>
    </w:p>
    <w:p>
      <w:pPr>
        <w:spacing w:line="480" w:lineRule="auto" w:after="160"/>
        <w:jc w:val="left"/>
      </w:pPr>
      <w:r>
        <w:rPr>
          <w:rFonts w:ascii="Times New Roman" w:hAnsi="Times New Roman" w:eastAsia="Times New Roman"/>
          <w:sz w:val="24"/>
        </w:rPr>
        <w:t xml:space="preserve">As descriptive background — not as a conclusion about which type of institution breeds better rice — applicants labelled "public research institute" show higher regional-trial yield (+4.179 kg/mu, SE 1.893, p = 0.027, n = 408) and thousand-grain weight (+1.193 g, SE 0.402, p = 0.003, n = 411) than enterprise applicants, alongside directionally higher chalkiness (+1.010, SE 0.614, p = 0.100, n = 411) and lower head-rice percentage (−1.220, SE 0.673, p = 0.070, n = 411) (Table 7). This division of labour runs in the opposite direction from what an "enterprises are careless" account would predict for chalkiness and head-rice, and is silent on causation in either direction; it is reported here only as a background fact, not evidence for or against either institution type. We flag one open item rather than resolving it silently: an earlier planning-stage note for this comparison anticipated a sample of n = 632 records, whereas the regression actually run on </w:t>
      </w:r>
      <w:r>
        <w:rPr>
          <w:rFonts w:ascii="Times New Roman" w:hAnsi="Times New Roman" w:eastAsia="Times New Roman"/>
          <w:sz w:val="24"/>
        </w:rPr>
        <w:t>analysis_rice_channel.pkl</w:t>
      </w:r>
      <w:r>
        <w:rPr>
          <w:rFonts w:ascii="Times New Roman" w:hAnsi="Times New Roman" w:eastAsia="Times New Roman"/>
          <w:sz w:val="24"/>
        </w:rPr>
        <w:t xml:space="preserve"> for Table 7 returns n = 408–411 depending on outcome; we were unable to reconstruct the exact filter or sample-construction choice behind the n = 632 figure from the materials available, and record this as an item for the author team to verify against the original coding before submission, rather than adjusting the reported n to match the earlier planning note.</w:t>
      </w:r>
    </w:p>
    <w:p>
      <w:pPr>
        <w:spacing w:line="480" w:lineRule="auto" w:after="160"/>
        <w:jc w:val="left"/>
      </w:pPr>
      <w:r>
        <w:rPr>
          <w:rFonts w:ascii="Times New Roman" w:hAnsi="Times New Roman" w:eastAsia="Times New Roman"/>
          <w:sz w:val="24"/>
        </w:rPr>
        <w:t xml:space="preserve">Two scope limits bound what this section argues. First, the comparison is Winall against </w:t>
      </w:r>
      <w:r>
        <w:rPr>
          <w:rFonts w:ascii="Times New Roman" w:hAnsi="Times New Roman" w:eastAsia="Times New Roman"/>
          <w:i/>
          <w:sz w:val="24"/>
        </w:rPr>
        <w:t>all</w:t>
      </w:r>
      <w:r>
        <w:rPr>
          <w:rFonts w:ascii="Times New Roman" w:hAnsi="Times New Roman" w:eastAsia="Times New Roman"/>
          <w:sz w:val="24"/>
        </w:rPr>
        <w:t xml:space="preserve"> other applicants pooled together, not against other vertically integrated enterprises specifically; it makes no claim, and should not be read as making one, about how firms rank by degree of integration. Second, "identification argument" is the operative phrase throughout: Winall's channel choice and within-channel positioning rule out one alternative explanation for the sign separation reported elsewhere in the paper — they are not evidence of a causal mechanism linking integration, channel choice, or trial outcome.</w:t>
      </w:r>
    </w:p>
    <w:p>
      <w:pPr>
        <w:keepNext/>
        <w:spacing w:line="480" w:lineRule="auto" w:after="120"/>
        <w:jc w:val="left"/>
      </w:pPr>
      <w:r>
        <w:rPr>
          <w:rFonts w:ascii="Times New Roman" w:hAnsi="Times New Roman" w:eastAsia="Times New Roman"/>
          <w:b/>
          <w:sz w:val="26"/>
        </w:rPr>
        <w:t>8. Discussion</w:t>
      </w:r>
    </w:p>
    <w:p>
      <w:pPr>
        <w:keepNext/>
        <w:spacing w:line="480" w:lineRule="auto" w:after="120"/>
        <w:jc w:val="left"/>
      </w:pPr>
      <w:r>
        <w:rPr>
          <w:rFonts w:ascii="Times New Roman" w:hAnsi="Times New Roman" w:eastAsia="Times New Roman"/>
          <w:b/>
          <w:sz w:val="24"/>
        </w:rPr>
        <w:t>8.1 Contribution to the self-certification literature</w:t>
      </w:r>
    </w:p>
    <w:p>
      <w:pPr>
        <w:spacing w:line="480" w:lineRule="auto" w:after="160"/>
        <w:jc w:val="left"/>
      </w:pPr>
      <w:r>
        <w:rPr>
          <w:rFonts w:ascii="Times New Roman" w:hAnsi="Times New Roman" w:eastAsia="Times New Roman"/>
          <w:sz w:val="24"/>
        </w:rPr>
        <w:t xml:space="preserve">Duflo et al. (2013) randomly assigned polluting Indian plants to regulator-paid versus plant-paid auditors and observed the </w:t>
      </w:r>
      <w:r>
        <w:rPr>
          <w:rFonts w:ascii="Times New Roman" w:hAnsi="Times New Roman" w:eastAsia="Times New Roman"/>
          <w:i/>
          <w:sz w:val="24"/>
        </w:rPr>
        <w:t>same</w:t>
      </w:r>
      <w:r>
        <w:rPr>
          <w:rFonts w:ascii="Times New Roman" w:hAnsi="Times New Roman" w:eastAsia="Times New Roman"/>
          <w:sz w:val="24"/>
        </w:rPr>
        <w:t xml:space="preserve"> pollution readings diverge systematically — a randomised, same-attribute design this paper cannot match. We observe no randomisation of channel assignment and have no same-attribute comparison; we instead have two </w:t>
      </w:r>
      <w:r>
        <w:rPr>
          <w:rFonts w:ascii="Times New Roman" w:hAnsi="Times New Roman" w:eastAsia="Times New Roman"/>
          <w:i/>
          <w:sz w:val="24"/>
        </w:rPr>
        <w:t>different</w:t>
      </w:r>
      <w:r>
        <w:rPr>
          <w:rFonts w:ascii="Times New Roman" w:hAnsi="Times New Roman" w:eastAsia="Times New Roman"/>
          <w:sz w:val="24"/>
        </w:rPr>
        <w:t xml:space="preserve"> attributes, third-party-assayed grain quality and applicant-measured agronomic performance, coexisting in the same approval file. This is a weaker design for the same underlying question — does control over measurement shape what gets reported — but it offers scale and duration a bespoke audit experiment cannot: every one of 2,386 national approval records over six years carries this same self-organised/third-party split.</w:t>
      </w:r>
    </w:p>
    <w:p>
      <w:pPr>
        <w:spacing w:line="480" w:lineRule="auto" w:after="160"/>
        <w:jc w:val="left"/>
      </w:pPr>
      <w:r>
        <w:rPr>
          <w:rFonts w:ascii="Times New Roman" w:hAnsi="Times New Roman" w:eastAsia="Times New Roman"/>
          <w:sz w:val="24"/>
        </w:rPr>
        <w:t>Bar and Zheng (2019) show that firms endogenously choose certifiers on the basis of geographic proximity and a certifier's history of lenient grading — a self-selection channel our design cannot close off, and the closest existing analogue to the "channel self-selection" alternative flagged throughout this paper (§4; R9/R11), which our within-applicant test lacks the power to rule out. Qiu et al. (2016) offer the theoretical framework closest to this paper's own "who measures what" question, from the demand side: Chinese maize farmers' seed choices are shaped by asymmetric information between sellers and buyers, who rely on imperfect quality signals because they cannot observe quality directly. Our paper documents an analogous asymmetry one stage upstream, at variety approval rather than farmer purchase — the two papers describe the same information problem recurring at different links of the same seed-supply chain.</w:t>
      </w:r>
    </w:p>
    <w:p>
      <w:pPr>
        <w:spacing w:line="480" w:lineRule="auto" w:after="160"/>
        <w:jc w:val="left"/>
      </w:pPr>
      <w:r>
        <w:rPr>
          <w:rFonts w:ascii="Times New Roman" w:hAnsi="Times New Roman" w:eastAsia="Times New Roman"/>
          <w:sz w:val="24"/>
        </w:rPr>
        <w:t xml:space="preserve">Grennan and Town (2020) compare medical-device outcomes </w:t>
      </w:r>
      <w:r>
        <w:rPr>
          <w:rFonts w:ascii="Times New Roman" w:hAnsi="Times New Roman" w:eastAsia="Times New Roman"/>
          <w:i/>
          <w:sz w:val="24"/>
        </w:rPr>
        <w:t>across</w:t>
      </w:r>
      <w:r>
        <w:rPr>
          <w:rFonts w:ascii="Times New Roman" w:hAnsi="Times New Roman" w:eastAsia="Times New Roman"/>
          <w:sz w:val="24"/>
        </w:rPr>
        <w:t xml:space="preserve"> two regulatory systems (EU, US); our comparison is </w:t>
      </w:r>
      <w:r>
        <w:rPr>
          <w:rFonts w:ascii="Times New Roman" w:hAnsi="Times New Roman" w:eastAsia="Times New Roman"/>
          <w:i/>
          <w:sz w:val="24"/>
        </w:rPr>
        <w:t>within</w:t>
      </w:r>
      <w:r>
        <w:rPr>
          <w:rFonts w:ascii="Times New Roman" w:hAnsi="Times New Roman" w:eastAsia="Times New Roman"/>
          <w:sz w:val="24"/>
        </w:rPr>
        <w:t xml:space="preserve"> one system, across two trial pathways a single reform created side by side — narrower but more tightly controlled, since year, ecology and check are held fixed by construction. Renckens and Auld (2022) show private regulatory audits vary in efficiency with auditor incentives and monitoring intensity, a mechanism consistent with, though not directly tested by, our finding that the identification argument rests on where the third party sits relative to the applicant, not on auditor effort per se.</w:t>
      </w:r>
    </w:p>
    <w:p>
      <w:pPr>
        <w:keepNext/>
        <w:spacing w:line="480" w:lineRule="auto" w:after="120"/>
        <w:jc w:val="left"/>
      </w:pPr>
      <w:r>
        <w:rPr>
          <w:rFonts w:ascii="Times New Roman" w:hAnsi="Times New Roman" w:eastAsia="Times New Roman"/>
          <w:b/>
          <w:sz w:val="24"/>
        </w:rPr>
        <w:t>8.2 Is the identified variation disappearing? A qualified answer</w:t>
      </w:r>
    </w:p>
    <w:p>
      <w:pPr>
        <w:spacing w:line="480" w:lineRule="auto" w:after="160"/>
        <w:jc w:val="left"/>
      </w:pPr>
      <w:r>
        <w:rPr>
          <w:rFonts w:ascii="Times New Roman" w:hAnsi="Times New Roman" w:eastAsia="Times New Roman"/>
          <w:sz w:val="24"/>
        </w:rPr>
        <w:t>The Ministry of Agriculture and Rural Affairs has, since 2022, conducted a special rectification campaign targeting the green channel and consortium trials, and this raises the question of whether the gap this paper documents is a closing window rather than a stable feature of the system. The answer is outcome-specific, not uniform, and the two must not be conflated. For chalkiness, a year-by-year re-estimation of the channel gap shows a clear, roughly monotonic decline — from +2.71 percentage points in 2017 to +0.77 in 2022, falling through +1.63, +0.92 and +0.89 in the intervening years — consistent with the gap narrowing as the reform matures and regulatory attention increases. The probability of a stated quality grade shows a weaker, noisier version of the same pattern (largest gap in 2017, smaller and non-monotonic thereafter, non-significant in two of the four post-2017 years). Head-rice percentage does not follow this pattern at all: the year-by-year gap does not narrow over 2019–2022 and if anything widens in the years with the largest samples (−2.63, −1.48 and −3.03 points in 2020, 2021 and 2022), remaining negative and mostly significant throughout. We therefore do not claim that "the identified variation is disappearing" as a blanket statement about the paper's outcomes; that claim holds for chalkiness, holds more weakly for the stated-grade indicator, and does not hold for head-rice percentage, the outcome with the cleanest and most consistent estimate in the paper. Whatever a closing window means for policy, it does not yet mean the head-rice gap has closed, and coverage of official announcements falls sharply after 2022 (85 of an expected 409 records in 2023, 61 of 405 in 2024), so this paper cannot verify whether any of the three outcomes converges further after the window it observes. This outcome-specific pattern is worth reading against the calendar-year trend evidence in Lu et al. (2024) and Hang et al. (2024): where their year-indexed series show gradual, decades-long trait change, our channel-conditional gap shows a mix of convergence (chalkiness) and non-convergence (head-rice) within a six-year window, which suggests the two kinds of trend — the long-run trajectory their design measures and the channel-specific gap ours measures — are not the same object and need not move together.</w:t>
      </w:r>
    </w:p>
    <w:p>
      <w:pPr>
        <w:spacing w:line="480" w:lineRule="auto" w:after="160"/>
        <w:jc w:val="left"/>
      </w:pPr>
      <w:r>
        <w:rPr>
          <w:rFonts w:ascii="Times New Roman" w:hAnsi="Times New Roman" w:eastAsia="Times New Roman"/>
          <w:sz w:val="24"/>
        </w:rPr>
        <w:t>One further result belongs in this discussion rather than in the robustness section proper. A province-level replication (Section 6) is statistically underpowered, relative to the national-level effect sizes, for head-rice percentage, chalkiness and self-reported yield gain — the minimum detectable effect at 80% power exceeds the national coefficient for all three, so their non-significance at the provincial level should be read as "undetermined," not as evidence against the national result. The stated-quality-grade indicator is the exception: the provincial sample is adequately powered for this outcome, and it returns a coefficient that is significant (β = −0.468, p = 0.001), larger in magnitude than, and in the same direction as, the national result. We report this because it runs against a common but incorrect reading of provincial null results in this literature, and because Non-claim 8 in the design stage of this project anticipated only a null and did not anticipate a significant, adequately powered result on this one outcome; the provincial evidence should be described precisely — one outcome significant and adequately powered, three underpowered — not summarised as either "confirms" or "does not replicate."</w:t>
      </w:r>
    </w:p>
    <w:p>
      <w:pPr>
        <w:keepNext/>
        <w:spacing w:line="480" w:lineRule="auto" w:after="120"/>
        <w:jc w:val="left"/>
      </w:pPr>
      <w:r>
        <w:rPr>
          <w:rFonts w:ascii="Times New Roman" w:hAnsi="Times New Roman" w:eastAsia="Times New Roman"/>
          <w:b/>
          <w:sz w:val="24"/>
        </w:rPr>
        <w:t>8.3 Policy implications</w:t>
      </w:r>
    </w:p>
    <w:p>
      <w:pPr>
        <w:spacing w:line="480" w:lineRule="auto" w:after="160"/>
        <w:jc w:val="left"/>
      </w:pPr>
      <w:r>
        <w:rPr>
          <w:rFonts w:ascii="Times New Roman" w:hAnsi="Times New Roman" w:eastAsia="Times New Roman"/>
          <w:sz w:val="24"/>
        </w:rPr>
        <w:t>Three implications follow without extending beyond what the data show. First, the identification argument rests on an asymmetry: third-party assay covers grain-processing and appearance quality but not the agronomic-performance traits measured in the applicant's own regional and production trials. Extending independent, ministry-designated measurement to a subset of yield and performance traits — even a periodic spot-check rather than universal coverage — would let regulators test directly whether the sign separation this paper documents in observational data also appears when performance itself is measured by an independent party. Second, an audit-style re-verification of a random sample of self-organised trial results, analogous in spirit to the spot-checks the Ministry has run against the green channel and consortium trials since 2022, would generate exactly the kind of within-attribute comparison that Duflo et al. (2013) had and this paper does not; such spot-checks are already the Ministry's own initiative, and this paper's finding is best read as an independent, quantitative corroboration of the direction that 2022-08-31 rectification notice already took, not as a claim that regulators were unaware of the pattern. Third, the channel-of-entry information already exists inside every approval announcement but is not compiled or published as a standalone field; publishing it directly, rather than leaving it to be reconstructed by text-parsing as this paper did, would let downstream users of the seed catalogue — processors, distributors, other researchers — condition on it themselves.</w:t>
      </w:r>
    </w:p>
    <w:p>
      <w:pPr>
        <w:keepNext/>
        <w:spacing w:line="480" w:lineRule="auto" w:after="120"/>
        <w:jc w:val="left"/>
      </w:pPr>
      <w:r>
        <w:rPr>
          <w:rFonts w:ascii="Times New Roman" w:hAnsi="Times New Roman" w:eastAsia="Times New Roman"/>
          <w:b/>
          <w:sz w:val="24"/>
        </w:rPr>
        <w:t>8.4 Limitations</w:t>
      </w:r>
    </w:p>
    <w:p>
      <w:pPr>
        <w:spacing w:line="480" w:lineRule="auto" w:after="160"/>
        <w:jc w:val="left"/>
      </w:pPr>
      <w:r>
        <w:rPr>
          <w:rFonts w:ascii="Times New Roman" w:hAnsi="Times New Roman" w:eastAsia="Times New Roman"/>
          <w:sz w:val="24"/>
        </w:rPr>
        <w:t xml:space="preserve">Five limitations bound this paper's scope. The evidence covers a single country and a single crop (rice); whether the same channel-measurement asymmetry appears in other crops or seed-regulation regimes is untested here. Channel self-selection cannot be fully separated from measurement discretion with the data at hand — the within-applicant comparison in Section 6 is directionally uninformative because it is underpowered, not because it rules out self-selection. The </w:t>
      </w:r>
      <w:r>
        <w:rPr>
          <w:rFonts w:ascii="Times New Roman" w:hAnsi="Times New Roman" w:eastAsia="Times New Roman"/>
          <w:sz w:val="24"/>
        </w:rPr>
        <w:t>applicant_type</w:t>
      </w:r>
      <w:r>
        <w:rPr>
          <w:rFonts w:ascii="Times New Roman" w:hAnsi="Times New Roman" w:eastAsia="Times New Roman"/>
          <w:sz w:val="24"/>
        </w:rPr>
        <w:t xml:space="preserve"> field needed for the enterprise-versus-institute comparison in Section 7 is entirely missing for the 2016, 2017, 2018 and 2021 approval cohorts, which limits that comparison to years with non-missing labels and to the two major trial groups. The underlying announcement compilation is not an official, complete registry of all approvals; it is a secondary compilation of Ministry announcements, and its completeness was checked against a 50-record manual audit rather than assumed. Finally, the analysis window runs through 2022 because compiled announcement coverage falls sharply afterward; this paper accordingly cannot speak to whether the convergence trends documented in Section 8.2, or the divergent trend in head-rice percentage, continue, reverse, or stabilise after 2022.</w:t>
      </w:r>
    </w:p>
    <w:p>
      <w:pPr>
        <w:keepNext/>
        <w:spacing w:line="480" w:lineRule="auto" w:after="120"/>
        <w:jc w:val="left"/>
      </w:pPr>
      <w:r>
        <w:rPr>
          <w:rFonts w:ascii="Times New Roman" w:hAnsi="Times New Roman" w:eastAsia="Times New Roman"/>
          <w:b/>
          <w:sz w:val="26"/>
        </w:rPr>
        <w:t>9. Conclusion</w:t>
      </w:r>
    </w:p>
    <w:p>
      <w:pPr>
        <w:spacing w:line="480" w:lineRule="auto" w:after="160"/>
        <w:jc w:val="left"/>
      </w:pPr>
      <w:r>
        <w:rPr>
          <w:rFonts w:ascii="Times New Roman" w:hAnsi="Times New Roman" w:eastAsia="Times New Roman"/>
          <w:sz w:val="24"/>
        </w:rPr>
        <w:t>China's 2016 reform of variety approval did not just change how many rice varieties reach the market through self-organised trials; by parsing which trial each variety actually passed through, we show it changed what those varieties look like on the traits that a third party, rather than the applicant, measures — worse third-party-assayed grain-processing and appearance quality among self-organised entrants, alongside applicant-measured performance that is unchanged or higher, a sign separation that a simple breeding-ability story cannot produce and that survives dropping the single largest beneficiary firm from the sample.</w:t>
      </w:r>
    </w:p>
    <w:p>
      <w:pPr>
        <w:spacing w:line="480" w:lineRule="auto" w:after="160"/>
        <w:jc w:val="left"/>
      </w:pPr>
      <w:r>
        <w:rPr>
          <w:rFonts w:ascii="Times New Roman" w:hAnsi="Times New Roman" w:eastAsia="Times New Roman"/>
          <w:sz w:val="24"/>
        </w:rPr>
        <w:t>This finding is a composition effect on the population of varieties entering under each trial pathway, not a causal effect of channel assignment on any individual variety, and should not be read more broadly. It does not speak to farmer welfare, extension outcomes, or seed prices; it does not allege fabrication or manipulation of any applicant's trial results, a possibility the data cannot distinguish from channel self-selection or differing admission thresholds; and it does not extend to every third-party-measured trait or every level of government, since disease-resistance grading moves the other way and the provincial replication is conclusive for only one of four outcomes. Within these bounds, the contribution is narrow: a record-level channel variable, built from the text of approval announcements rather than a before/after indicator, that lets who measures what be observed directly — and shows that this, not only the volume of entrants, changed after 2016.</w:t>
      </w:r>
    </w:p>
    <w:p>
      <w:pPr>
        <w:keepNext/>
        <w:spacing w:line="480" w:lineRule="auto" w:after="120"/>
        <w:jc w:val="left"/>
      </w:pPr>
      <w:r>
        <w:rPr>
          <w:rFonts w:ascii="Times New Roman" w:hAnsi="Times New Roman" w:eastAsia="Times New Roman"/>
          <w:b/>
          <w:sz w:val="24"/>
        </w:rPr>
        <w:t>Acknowledgements</w:t>
      </w:r>
    </w:p>
    <w:p>
      <w:pPr>
        <w:spacing w:line="480" w:lineRule="auto" w:after="160"/>
        <w:jc w:val="left"/>
      </w:pPr>
      <w:r>
        <w:rPr>
          <w:rFonts w:ascii="Times New Roman" w:hAnsi="Times New Roman" w:eastAsia="Times New Roman"/>
          <w:sz w:val="24"/>
        </w:rPr>
        <w:t>[Author to complete: funding sources, reviewer thanks, etc.]</w:t>
      </w:r>
    </w:p>
    <w:p>
      <w:pPr>
        <w:keepNext/>
        <w:spacing w:line="480" w:lineRule="auto" w:after="120"/>
        <w:jc w:val="left"/>
      </w:pPr>
      <w:r>
        <w:rPr>
          <w:rFonts w:ascii="Times New Roman" w:hAnsi="Times New Roman" w:eastAsia="Times New Roman"/>
          <w:b/>
          <w:sz w:val="24"/>
        </w:rPr>
        <w:t>Conflict of interest</w:t>
      </w:r>
    </w:p>
    <w:p>
      <w:pPr>
        <w:spacing w:line="480" w:lineRule="auto" w:after="160"/>
        <w:jc w:val="left"/>
      </w:pPr>
      <w:r>
        <w:rPr>
          <w:rFonts w:ascii="Times New Roman" w:hAnsi="Times New Roman" w:eastAsia="Times New Roman"/>
          <w:sz w:val="24"/>
        </w:rPr>
        <w:t>The authors declare no conflict of interest.</w:t>
      </w:r>
    </w:p>
    <w:p>
      <w:pPr>
        <w:keepNext/>
        <w:spacing w:line="480" w:lineRule="auto" w:after="120"/>
        <w:jc w:val="left"/>
      </w:pPr>
      <w:r>
        <w:rPr>
          <w:rFonts w:ascii="Times New Roman" w:hAnsi="Times New Roman" w:eastAsia="Times New Roman"/>
          <w:b/>
          <w:sz w:val="24"/>
        </w:rPr>
        <w:t>Data availability statement</w:t>
      </w:r>
    </w:p>
    <w:p>
      <w:pPr>
        <w:spacing w:line="480" w:lineRule="auto" w:after="160"/>
        <w:jc w:val="left"/>
      </w:pPr>
      <w:r>
        <w:rPr>
          <w:rFonts w:ascii="Times New Roman" w:hAnsi="Times New Roman" w:eastAsia="Times New Roman"/>
          <w:sz w:val="24"/>
        </w:rPr>
        <w:t>The variety-approval text corpus underlying this study was compiled from publicly available Ministry of Agriculture and Rural Affairs announcements via a third-party aggregation (see Methods). Parsing scripts, the field dictionary, and the list of approval-record identifiers used in the analysis are available at [repository link]. Due to the unresolved licensing status of the upstream aggregation, the full parsed dataset is not redistributed; researchers can reconstruct it from the cited public announcements using the provided scripts.</w:t>
      </w:r>
    </w:p>
    <w:p>
      <w:pPr>
        <w:keepNext/>
        <w:spacing w:line="480" w:lineRule="auto" w:after="120"/>
        <w:jc w:val="left"/>
      </w:pPr>
      <w:r>
        <w:rPr>
          <w:rFonts w:ascii="Times New Roman" w:hAnsi="Times New Roman" w:eastAsia="Times New Roman"/>
          <w:b/>
          <w:sz w:val="24"/>
        </w:rPr>
        <w:t>CRediT author contributions</w:t>
      </w:r>
    </w:p>
    <w:p>
      <w:pPr>
        <w:spacing w:line="480" w:lineRule="auto" w:after="160"/>
        <w:jc w:val="left"/>
      </w:pPr>
      <w:r>
        <w:rPr>
          <w:rFonts w:ascii="Times New Roman" w:hAnsi="Times New Roman" w:eastAsia="Times New Roman"/>
          <w:i/>
          <w:sz w:val="24"/>
        </w:rPr>
        <w:t>(Placeholder — to be completed by the author team before submission. List each named author against the CRediT roles that apply; a role may be shared by more than one author.)</w:t>
      </w:r>
    </w:p>
    <w:p>
      <w:pPr>
        <w:pStyle w:val="ListBullet"/>
        <w:spacing w:line="360" w:lineRule="auto" w:after="40"/>
      </w:pPr>
      <w:r>
        <w:rPr>
          <w:rFonts w:ascii="Times New Roman" w:hAnsi="Times New Roman" w:eastAsia="Times New Roman"/>
          <w:b/>
          <w:sz w:val="24"/>
        </w:rPr>
        <w:t>Conceptualization</w:t>
      </w:r>
      <w:r>
        <w:rPr>
          <w:rFonts w:ascii="Times New Roman" w:hAnsi="Times New Roman" w:eastAsia="Times New Roman"/>
          <w:sz w:val="24"/>
        </w:rPr>
        <w:t>: [Author(s) to complete]</w:t>
      </w:r>
    </w:p>
    <w:p>
      <w:pPr>
        <w:pStyle w:val="ListBullet"/>
        <w:spacing w:line="360" w:lineRule="auto" w:after="40"/>
      </w:pPr>
      <w:r>
        <w:rPr>
          <w:rFonts w:ascii="Times New Roman" w:hAnsi="Times New Roman" w:eastAsia="Times New Roman"/>
          <w:b/>
          <w:sz w:val="24"/>
        </w:rPr>
        <w:t>Methodology</w:t>
      </w:r>
      <w:r>
        <w:rPr>
          <w:rFonts w:ascii="Times New Roman" w:hAnsi="Times New Roman" w:eastAsia="Times New Roman"/>
          <w:sz w:val="24"/>
        </w:rPr>
        <w:t>: [Author(s) to complete]</w:t>
      </w:r>
    </w:p>
    <w:p>
      <w:pPr>
        <w:pStyle w:val="ListBullet"/>
        <w:spacing w:line="360" w:lineRule="auto" w:after="40"/>
      </w:pPr>
      <w:r>
        <w:rPr>
          <w:rFonts w:ascii="Times New Roman" w:hAnsi="Times New Roman" w:eastAsia="Times New Roman"/>
          <w:b/>
          <w:sz w:val="24"/>
        </w:rPr>
        <w:t>Formal analysis</w:t>
      </w:r>
      <w:r>
        <w:rPr>
          <w:rFonts w:ascii="Times New Roman" w:hAnsi="Times New Roman" w:eastAsia="Times New Roman"/>
          <w:sz w:val="24"/>
        </w:rPr>
        <w:t>: [Author(s) to complete]</w:t>
      </w:r>
    </w:p>
    <w:p>
      <w:pPr>
        <w:pStyle w:val="ListBullet"/>
        <w:spacing w:line="360" w:lineRule="auto" w:after="40"/>
      </w:pPr>
      <w:r>
        <w:rPr>
          <w:rFonts w:ascii="Times New Roman" w:hAnsi="Times New Roman" w:eastAsia="Times New Roman"/>
          <w:b/>
          <w:sz w:val="24"/>
        </w:rPr>
        <w:t>Investigation</w:t>
      </w:r>
      <w:r>
        <w:rPr>
          <w:rFonts w:ascii="Times New Roman" w:hAnsi="Times New Roman" w:eastAsia="Times New Roman"/>
          <w:sz w:val="24"/>
        </w:rPr>
        <w:t>: [Author(s) to complete]</w:t>
      </w:r>
    </w:p>
    <w:p>
      <w:pPr>
        <w:pStyle w:val="ListBullet"/>
        <w:spacing w:line="360" w:lineRule="auto" w:after="40"/>
      </w:pPr>
      <w:r>
        <w:rPr>
          <w:rFonts w:ascii="Times New Roman" w:hAnsi="Times New Roman" w:eastAsia="Times New Roman"/>
          <w:b/>
          <w:sz w:val="24"/>
        </w:rPr>
        <w:t>Data curation</w:t>
      </w:r>
      <w:r>
        <w:rPr>
          <w:rFonts w:ascii="Times New Roman" w:hAnsi="Times New Roman" w:eastAsia="Times New Roman"/>
          <w:sz w:val="24"/>
        </w:rPr>
        <w:t>: [Author(s) to complete]</w:t>
      </w:r>
    </w:p>
    <w:p>
      <w:pPr>
        <w:pStyle w:val="ListBullet"/>
        <w:spacing w:line="360" w:lineRule="auto" w:after="40"/>
      </w:pPr>
      <w:r>
        <w:rPr>
          <w:rFonts w:ascii="Times New Roman" w:hAnsi="Times New Roman" w:eastAsia="Times New Roman"/>
          <w:b/>
          <w:sz w:val="24"/>
        </w:rPr>
        <w:t>Writing – original draft</w:t>
      </w:r>
      <w:r>
        <w:rPr>
          <w:rFonts w:ascii="Times New Roman" w:hAnsi="Times New Roman" w:eastAsia="Times New Roman"/>
          <w:sz w:val="24"/>
        </w:rPr>
        <w:t>: [Author(s) to complete]</w:t>
      </w:r>
    </w:p>
    <w:p>
      <w:pPr>
        <w:pStyle w:val="ListBullet"/>
        <w:spacing w:line="360" w:lineRule="auto" w:after="40"/>
      </w:pPr>
      <w:r>
        <w:rPr>
          <w:rFonts w:ascii="Times New Roman" w:hAnsi="Times New Roman" w:eastAsia="Times New Roman"/>
          <w:b/>
          <w:sz w:val="24"/>
        </w:rPr>
        <w:t>Writing – review &amp; editing</w:t>
      </w:r>
      <w:r>
        <w:rPr>
          <w:rFonts w:ascii="Times New Roman" w:hAnsi="Times New Roman" w:eastAsia="Times New Roman"/>
          <w:sz w:val="24"/>
        </w:rPr>
        <w:t>: [Author(s) to complete]</w:t>
      </w:r>
    </w:p>
    <w:p>
      <w:pPr>
        <w:pStyle w:val="ListBullet"/>
        <w:spacing w:line="360" w:lineRule="auto" w:after="40"/>
      </w:pPr>
      <w:r>
        <w:rPr>
          <w:rFonts w:ascii="Times New Roman" w:hAnsi="Times New Roman" w:eastAsia="Times New Roman"/>
          <w:b/>
          <w:sz w:val="24"/>
        </w:rPr>
        <w:t>Visualization</w:t>
      </w:r>
      <w:r>
        <w:rPr>
          <w:rFonts w:ascii="Times New Roman" w:hAnsi="Times New Roman" w:eastAsia="Times New Roman"/>
          <w:sz w:val="24"/>
        </w:rPr>
        <w:t>: [Author(s) to complete]</w:t>
      </w:r>
    </w:p>
    <w:p>
      <w:pPr>
        <w:pStyle w:val="ListBullet"/>
        <w:spacing w:line="360" w:lineRule="auto" w:after="40"/>
      </w:pPr>
      <w:r>
        <w:rPr>
          <w:rFonts w:ascii="Times New Roman" w:hAnsi="Times New Roman" w:eastAsia="Times New Roman"/>
          <w:b/>
          <w:sz w:val="24"/>
        </w:rPr>
        <w:t>Supervision</w:t>
      </w:r>
      <w:r>
        <w:rPr>
          <w:rFonts w:ascii="Times New Roman" w:hAnsi="Times New Roman" w:eastAsia="Times New Roman"/>
          <w:sz w:val="24"/>
        </w:rPr>
        <w:t>: [Author(s) to complete]</w:t>
      </w:r>
    </w:p>
    <w:p>
      <w:pPr>
        <w:keepNext/>
        <w:spacing w:line="480" w:lineRule="auto" w:after="120"/>
        <w:jc w:val="left"/>
      </w:pPr>
      <w:r>
        <w:rPr>
          <w:rFonts w:ascii="Times New Roman" w:hAnsi="Times New Roman" w:eastAsia="Times New Roman"/>
          <w:b/>
          <w:sz w:val="24"/>
        </w:rPr>
        <w:t>Ethical approval</w:t>
      </w:r>
    </w:p>
    <w:p>
      <w:pPr>
        <w:spacing w:line="480" w:lineRule="auto" w:after="160"/>
        <w:jc w:val="left"/>
      </w:pPr>
      <w:r>
        <w:rPr>
          <w:rFonts w:ascii="Times New Roman" w:hAnsi="Times New Roman" w:eastAsia="Times New Roman"/>
          <w:sz w:val="24"/>
        </w:rPr>
        <w:t>Not applicable. This study did not involve human participants or animal experiments; it uses only publicly available government variety-approval announcements and publicly disclosed company financial filings.</w:t>
      </w:r>
    </w:p>
    <w:p>
      <w:pPr>
        <w:keepNext/>
        <w:spacing w:line="480" w:lineRule="auto" w:after="120"/>
        <w:jc w:val="left"/>
      </w:pPr>
      <w:r>
        <w:rPr>
          <w:rFonts w:ascii="Times New Roman" w:hAnsi="Times New Roman" w:eastAsia="Times New Roman"/>
          <w:b/>
          <w:sz w:val="26"/>
        </w:rPr>
        <w:t>References</w:t>
      </w:r>
    </w:p>
    <w:p>
      <w:pPr>
        <w:spacing w:line="480" w:lineRule="auto" w:after="160"/>
        <w:jc w:val="left"/>
      </w:pPr>
      <w:r>
        <w:rPr>
          <w:rFonts w:ascii="Times New Roman" w:hAnsi="Times New Roman" w:eastAsia="Times New Roman"/>
          <w:sz w:val="24"/>
        </w:rPr>
        <w:t>Bar T, Zheng Y. 2019. Choosing certifiers: Evidence from the British Retail Consortium food safety standard. American Journal of Agricultural Economics, 101, 74–88.</w:t>
      </w:r>
    </w:p>
    <w:p>
      <w:pPr>
        <w:spacing w:line="480" w:lineRule="auto" w:after="160"/>
        <w:jc w:val="left"/>
      </w:pPr>
      <w:r>
        <w:rPr>
          <w:rFonts w:ascii="Times New Roman" w:hAnsi="Times New Roman" w:eastAsia="Times New Roman"/>
          <w:sz w:val="24"/>
        </w:rPr>
        <w:t>Duflo E, Greenstone M, Pande R, Ryan N. 2013. Truth-telling by third-party auditors and the response of polluting firms: Experimental evidence from India. Quarterly Journal of Economics, 128, 1499–1545.</w:t>
      </w:r>
    </w:p>
    <w:p>
      <w:pPr>
        <w:spacing w:line="480" w:lineRule="auto" w:after="160"/>
        <w:jc w:val="left"/>
      </w:pPr>
      <w:r>
        <w:rPr>
          <w:rFonts w:ascii="Times New Roman" w:hAnsi="Times New Roman" w:eastAsia="Times New Roman"/>
          <w:sz w:val="24"/>
        </w:rPr>
        <w:t>Gong J, Zhang X, Zhang J, Zeng B, Zhang X, Xu X, Xie H A. 2026. Three-line hybrid rice in China: sustained improvements in yield, quality, and resistance over fifty years. Rice Science. (title-level citation only; full text not accessible at time of writing, no specific figures attributed)</w:t>
      </w:r>
    </w:p>
    <w:p>
      <w:pPr>
        <w:spacing w:line="480" w:lineRule="auto" w:after="160"/>
        <w:jc w:val="left"/>
      </w:pPr>
      <w:r>
        <w:rPr>
          <w:rFonts w:ascii="Times New Roman" w:hAnsi="Times New Roman" w:eastAsia="Times New Roman"/>
          <w:sz w:val="24"/>
        </w:rPr>
        <w:t>Grennan M, Town R J. 2020. Regulating innovation with uncertain quality: Information, risk, and access in medical devices. American Economic Review, 110, 120–161.</w:t>
      </w:r>
    </w:p>
    <w:p>
      <w:pPr>
        <w:spacing w:line="480" w:lineRule="auto" w:after="160"/>
        <w:jc w:val="left"/>
      </w:pPr>
      <w:r>
        <w:rPr>
          <w:rFonts w:ascii="Times New Roman" w:hAnsi="Times New Roman" w:eastAsia="Times New Roman"/>
          <w:sz w:val="24"/>
        </w:rPr>
        <w:t>Hang S, Wang Q, Wang Y, Xiang H. 2024. Evolution of rice cultivar performance across China: A multi-dimensional study on yield and agronomic characteristics over three decades. Agronomy, 14, 2780.</w:t>
      </w:r>
    </w:p>
    <w:p>
      <w:pPr>
        <w:spacing w:line="480" w:lineRule="auto" w:after="160"/>
        <w:jc w:val="left"/>
      </w:pPr>
      <w:r>
        <w:rPr>
          <w:rFonts w:ascii="Times New Roman" w:hAnsi="Times New Roman" w:eastAsia="Times New Roman"/>
          <w:sz w:val="24"/>
        </w:rPr>
        <w:t>Huang Z Y, Xu Y, Zeng D, Wang C, Wang J M. 2018. One size fits all? Contract farming among broiler producers in China. Journal of Integrative Agriculture, 17, 473–482.</w:t>
      </w:r>
    </w:p>
    <w:p>
      <w:pPr>
        <w:spacing w:line="480" w:lineRule="auto" w:after="160"/>
        <w:jc w:val="left"/>
      </w:pPr>
      <w:r>
        <w:rPr>
          <w:rFonts w:ascii="Times New Roman" w:hAnsi="Times New Roman" w:eastAsia="Times New Roman"/>
          <w:sz w:val="24"/>
        </w:rPr>
        <w:t>Laidig F, Piepho H-P, Drobek T, Meyer U. 2014. Genetic and non-genetic long-term trends of 12 different crops in German official variety performance trials and on-farm yield trends. Theoretical and Applied Genetics, 127, 2599–2617.</w:t>
      </w:r>
    </w:p>
    <w:p>
      <w:pPr>
        <w:spacing w:line="480" w:lineRule="auto" w:after="160"/>
        <w:jc w:val="left"/>
      </w:pPr>
      <w:r>
        <w:rPr>
          <w:rFonts w:ascii="Times New Roman" w:hAnsi="Times New Roman" w:eastAsia="Times New Roman"/>
          <w:sz w:val="24"/>
        </w:rPr>
        <w:t>Lu Y, Tang Y, Zhang J, Liu S, Liang X, Li M, Li R. 2024. Variations and trends in rice quality across different types of approved varieties in China, 1978–2022. Agronomy, 14, 1234.</w:t>
      </w:r>
    </w:p>
    <w:p>
      <w:pPr>
        <w:spacing w:line="480" w:lineRule="auto" w:after="160"/>
        <w:jc w:val="left"/>
      </w:pPr>
      <w:r>
        <w:rPr>
          <w:rFonts w:ascii="Times New Roman" w:hAnsi="Times New Roman" w:eastAsia="Times New Roman"/>
          <w:sz w:val="24"/>
        </w:rPr>
        <w:t>Mackay I, Horwell A, Garner J, White J, McKee J, Philpott H. 2011. Reanalyses of the historical series of UK variety trials to quantify the contributions of genetic and environmental factors to trends and variability in yield over time. Theoretical and Applied Genetics, 122, 225–238.</w:t>
      </w:r>
    </w:p>
    <w:p>
      <w:pPr>
        <w:spacing w:line="480" w:lineRule="auto" w:after="160"/>
        <w:jc w:val="left"/>
      </w:pPr>
      <w:r>
        <w:rPr>
          <w:rFonts w:ascii="Times New Roman" w:hAnsi="Times New Roman" w:eastAsia="Times New Roman"/>
          <w:sz w:val="24"/>
        </w:rPr>
        <w:t>Piepho H-P, Laidig F. 2024. How many checks are needed per cycle in a plant breeding or variety testing programme? Plant Breeding.</w:t>
      </w:r>
    </w:p>
    <w:p>
      <w:pPr>
        <w:spacing w:line="480" w:lineRule="auto" w:after="160"/>
        <w:jc w:val="left"/>
      </w:pPr>
      <w:r>
        <w:rPr>
          <w:rFonts w:ascii="Times New Roman" w:hAnsi="Times New Roman" w:eastAsia="Times New Roman"/>
          <w:sz w:val="24"/>
        </w:rPr>
        <w:t>Piepho H-P, Laidig F, Drobek T, Meyer U. 2014. Dissecting genetic and non-genetic sources of long-term yield trend in German official variety trials. Theoretical and Applied Genetics, 127, 1009–1018.</w:t>
      </w:r>
    </w:p>
    <w:p>
      <w:pPr>
        <w:spacing w:line="480" w:lineRule="auto" w:after="160"/>
        <w:jc w:val="left"/>
      </w:pPr>
      <w:r>
        <w:rPr>
          <w:rFonts w:ascii="Times New Roman" w:hAnsi="Times New Roman" w:eastAsia="Times New Roman"/>
          <w:sz w:val="24"/>
        </w:rPr>
        <w:t>Qiu H G, Wang X B, Zhang C P, Xu Z G. 2016. Farmers' seed choice behaviors under asymmetrical information: Evidence from maize farming in China. Journal of Integrative Agriculture, 15, 1915–1923.</w:t>
      </w:r>
    </w:p>
    <w:p>
      <w:pPr>
        <w:spacing w:line="480" w:lineRule="auto" w:after="160"/>
        <w:jc w:val="left"/>
      </w:pPr>
      <w:r>
        <w:rPr>
          <w:rFonts w:ascii="Times New Roman" w:hAnsi="Times New Roman" w:eastAsia="Times New Roman"/>
          <w:sz w:val="24"/>
        </w:rPr>
        <w:t>Raymond J, Mackay I, Penfield S, Lovett A, Philpott H, Dorling S. 2023. Continuing genetic improvement and biases in genetic gain estimates revealed in historical UK variety trials data. Field Crops Research, 303, 109086.</w:t>
      </w:r>
    </w:p>
    <w:p>
      <w:pPr>
        <w:spacing w:line="480" w:lineRule="auto" w:after="160"/>
        <w:jc w:val="left"/>
      </w:pPr>
      <w:r>
        <w:rPr>
          <w:rFonts w:ascii="Times New Roman" w:hAnsi="Times New Roman" w:eastAsia="Times New Roman"/>
          <w:sz w:val="24"/>
        </w:rPr>
        <w:t>Renckens S, Auld G. 2022. Time to certify: Explaining varying efficiency of private regulatory audits. Regulation &amp; Governance, 16, 500–518.</w:t>
      </w:r>
    </w:p>
    <w:p>
      <w:pPr>
        <w:spacing w:line="480" w:lineRule="auto" w:after="160"/>
        <w:jc w:val="left"/>
      </w:pPr>
      <w:r>
        <w:rPr>
          <w:rFonts w:ascii="Times New Roman" w:hAnsi="Times New Roman" w:eastAsia="Times New Roman"/>
          <w:sz w:val="24"/>
        </w:rPr>
        <w:t>Shi X, Hu R. 2017. Rice variety improvement and the contribution of foreign germplasms in China. Journal of Integrative Agriculture, 16, 2337–2345.</w:t>
      </w:r>
    </w:p>
    <w:p>
      <w:pPr>
        <w:spacing w:line="480" w:lineRule="auto" w:after="160"/>
        <w:jc w:val="left"/>
      </w:pPr>
      <w:r>
        <w:rPr>
          <w:rFonts w:ascii="Times New Roman" w:hAnsi="Times New Roman" w:eastAsia="Times New Roman"/>
          <w:sz w:val="24"/>
        </w:rPr>
        <w:t>Xiang C, Yang R, Wang X, Huang J. 2025. Impact of seed regulation reform on licensing fees of varieties in China. Agribusiness.</w:t>
      </w:r>
    </w:p>
    <w:p>
      <w:pPr>
        <w:spacing w:line="480" w:lineRule="auto" w:after="160"/>
        <w:jc w:val="left"/>
      </w:pPr>
      <w:r>
        <w:rPr>
          <w:rFonts w:ascii="Times New Roman" w:hAnsi="Times New Roman" w:eastAsia="Times New Roman"/>
          <w:sz w:val="24"/>
        </w:rPr>
        <w:t>Xie Z, Yuan S, Zhu J, Li W. 2023. Contract farming led by a seed enterprise and incentives to produce high quality: Which contract design performs best? Agribusiness, 39, 1173–1198.</w:t>
      </w:r>
    </w:p>
    <w:p>
      <w:pPr>
        <w:spacing w:line="480" w:lineRule="auto" w:after="160"/>
        <w:jc w:val="left"/>
      </w:pPr>
      <w:r>
        <w:rPr>
          <w:rFonts w:ascii="Times New Roman" w:hAnsi="Times New Roman" w:eastAsia="Times New Roman"/>
          <w:sz w:val="24"/>
        </w:rPr>
        <w:t>Zhao Y, Deng H, Hu R, Xiong C. 2022. Impact of government policies on seed innovation in China. Agronomy, 12, 917.</w:t>
      </w:r>
    </w:p>
    <w:sectPr w:rsidR="00FC693F" w:rsidRPr="0006063C" w:rsidSect="00034616">
      <w:pgSz w:w="11906" w:h="16838"/>
      <w:pgMar w:top="1417" w:right="1417" w:bottom="1417" w:left="1417"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