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line="360" w:lineRule="auto"/>
        <w:ind/>
        <w:jc w:val="center"/>
      </w:pPr>
      <w:r>
        <w:rPr>
          <w:rFonts w:ascii="Times New Roman" w:cs="Times New Roman" w:eastAsia="黑体" w:hAnsi="Times New Roman"/>
          <w:color w:val="000000"/>
          <w:sz w:val="36"/>
          <w:szCs w:val="36"/>
        </w:rPr>
        <w:t xml:space="preserve">桐城市范岗镇单季稻“3414”肥料效应田间试验</w:t>
      </w:r>
    </w:p>
    <w:p>
      <w:pPr>
        <w:spacing w:after="60" w:before="0" w:line="360" w:lineRule="auto"/>
        <w:ind/>
        <w:jc w:val="center"/>
      </w:pPr>
      <w:r>
        <w:rPr>
          <w:rFonts w:ascii="Times New Roman" w:cs="Times New Roman" w:eastAsia="楷体" w:hAnsi="Times New Roman"/>
          <w:color w:val="000000"/>
          <w:sz w:val="24"/>
          <w:szCs w:val="24"/>
          <w:highlight w:val="yellow"/>
          <w:highlightCs w:val="yellow"/>
        </w:rPr>
        <w:t xml:space="preserve">【作者姓名】</w:t>
      </w:r>
      <w:r>
        <w:rPr>
          <w:rFonts w:ascii="Times New Roman" w:cs="Times New Roman" w:eastAsia="楷体" w:hAnsi="Times New Roman"/>
          <w:color w:val="000000"/>
          <w:sz w:val="24"/>
          <w:szCs w:val="24"/>
          <w:vertAlign w:val="superscript"/>
        </w:rPr>
        <w:t xml:space="preserve">1</w:t>
      </w:r>
      <w:r>
        <w:rPr>
          <w:rFonts w:ascii="Times New Roman" w:cs="Times New Roman" w:eastAsia="楷体" w:hAnsi="Times New Roman"/>
          <w:color w:val="000000"/>
          <w:sz w:val="24"/>
          <w:szCs w:val="24"/>
        </w:rPr>
        <w:t xml:space="preserve">，</w:t>
      </w:r>
      <w:r>
        <w:rPr>
          <w:rFonts w:ascii="Times New Roman" w:cs="Times New Roman" w:eastAsia="楷体" w:hAnsi="Times New Roman"/>
          <w:color w:val="000000"/>
          <w:sz w:val="24"/>
          <w:szCs w:val="24"/>
          <w:highlight w:val="yellow"/>
          <w:highlightCs w:val="yellow"/>
        </w:rPr>
        <w:t xml:space="preserve">【作者姓名】</w:t>
      </w:r>
      <w:r>
        <w:rPr>
          <w:rFonts w:ascii="Times New Roman" w:cs="Times New Roman" w:eastAsia="楷体" w:hAnsi="Times New Roman"/>
          <w:color w:val="000000"/>
          <w:sz w:val="24"/>
          <w:szCs w:val="24"/>
          <w:vertAlign w:val="superscript"/>
        </w:rPr>
        <w:t xml:space="preserve">2</w:t>
      </w:r>
    </w:p>
    <w:p>
      <w:pPr>
        <w:spacing w:after="160" w:before="0" w:line="360" w:lineRule="auto"/>
        <w:ind/>
        <w:jc w:val="center"/>
      </w:pPr>
      <w:r>
        <w:rPr>
          <w:rFonts w:ascii="Times New Roman" w:cs="Times New Roman" w:eastAsia="宋体" w:hAnsi="Times New Roman"/>
          <w:color w:val="000000"/>
          <w:sz w:val="18"/>
          <w:szCs w:val="18"/>
        </w:rPr>
        <w:t xml:space="preserve">（1.</w:t>
      </w:r>
      <w:r>
        <w:rPr>
          <w:rFonts w:ascii="Times New Roman" w:cs="Times New Roman" w:eastAsia="宋体" w:hAnsi="Times New Roman"/>
          <w:color w:val="000000"/>
          <w:sz w:val="18"/>
          <w:szCs w:val="18"/>
          <w:highlight w:val="yellow"/>
          <w:highlightCs w:val="yellow"/>
        </w:rPr>
        <w:t xml:space="preserve">【作者单位全称】</w:t>
      </w:r>
      <w:r>
        <w:rPr>
          <w:rFonts w:ascii="Times New Roman" w:cs="Times New Roman" w:eastAsia="宋体" w:hAnsi="Times New Roman"/>
          <w:color w:val="000000"/>
          <w:sz w:val="18"/>
          <w:szCs w:val="18"/>
        </w:rPr>
        <w:t xml:space="preserve">，安徽 桐城 231400；2.</w:t>
      </w:r>
      <w:r>
        <w:rPr>
          <w:rFonts w:ascii="Times New Roman" w:cs="Times New Roman" w:eastAsia="宋体" w:hAnsi="Times New Roman"/>
          <w:color w:val="000000"/>
          <w:sz w:val="18"/>
          <w:szCs w:val="18"/>
          <w:highlight w:val="yellow"/>
          <w:highlightCs w:val="yellow"/>
        </w:rPr>
        <w:t xml:space="preserve">【作者单位全称】</w:t>
      </w:r>
      <w:r>
        <w:rPr>
          <w:rFonts w:ascii="Times New Roman" w:cs="Times New Roman" w:eastAsia="宋体" w:hAnsi="Times New Roman"/>
          <w:color w:val="000000"/>
          <w:sz w:val="18"/>
          <w:szCs w:val="18"/>
        </w:rPr>
        <w:t xml:space="preserve">，安徽 桐城 231400）</w:t>
      </w:r>
    </w:p>
    <w:p>
      <w:pPr>
        <w:spacing w:after="40" w:line="300" w:lineRule="auto"/>
        <w:jc w:val="both"/>
      </w:pPr>
      <w:r>
        <w:rPr>
          <w:rFonts w:ascii="Times New Roman" w:cs="Times New Roman" w:eastAsia="黑体" w:hAnsi="Times New Roman"/>
          <w:color w:val="000000"/>
          <w:sz w:val="18"/>
          <w:szCs w:val="18"/>
        </w:rPr>
        <w:t xml:space="preserve">摘要　</w:t>
      </w:r>
      <w:r>
        <w:rPr>
          <w:rFonts w:ascii="Times New Roman" w:cs="Times New Roman" w:eastAsia="宋体" w:hAnsi="Times New Roman"/>
          <w:color w:val="000000"/>
          <w:sz w:val="18"/>
          <w:szCs w:val="18"/>
        </w:rPr>
        <w:t xml:space="preserve">［目的］初步明确桐城市范岗镇砂壤质稻田单季稻氮、磷、钾肥的适宜施用量，为完善当地水稻测土配方施肥指标体系积累基础数据。［方法］2025年以杂交籼稻吨两优900为材料，采用“3414”完全试验设计（N、P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O各4个水平，14个处理，不设重复），研究不同施肥处理对水稻经济性状、产量及效益的影响，拟合肥料效应方程，并以缺素区相对产量评价土壤供肥能力。［结果］处理10（N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 180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 337.5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）产量最高，为10200.0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，较无肥区增产54.5%，扣除肥料成本后收益22091.4元/hm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但钾素序列产量非单调变化，其增产幅度尚不能排除单小区田间误差。缺氮、缺磷、缺钾区相对产量分别为74.3%、85.5%和94.9%，肥料贡献率依次为25.7%、14.5%和5.1%，效应表现为N&gt;P&gt;K。三元二次方程未通过典型性检验，各单因素方程回归均未达显著水平，仅作趋势描述；施N超过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后结实率和千粒重下降、产量不再增加，磷、钾肥效应在试验范围内未出现拐点。［结论］在单年单点、不设重复的条件下，初步提出该区域单季稻施N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 90～180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 112.5～225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，氮肥按基肥∶分蘖肥∶穗肥=50%∶25%∶25%、钾肥按基肥∶穗肥=60%∶40%分施，磷肥全部基施。因试验2水平高于当地常规推荐量、磷钾效应未出现拐点，其适宜用量尚需多点多年重复试验验证。</w:t>
      </w:r>
    </w:p>
    <w:p>
      <w:pPr>
        <w:spacing w:after="40" w:line="300" w:lineRule="auto"/>
        <w:jc w:val="both"/>
      </w:pPr>
      <w:r>
        <w:rPr>
          <w:rFonts w:ascii="Times New Roman" w:cs="Times New Roman" w:eastAsia="黑体" w:hAnsi="Times New Roman"/>
          <w:color w:val="000000"/>
          <w:sz w:val="18"/>
          <w:szCs w:val="18"/>
        </w:rPr>
        <w:t xml:space="preserve">关键词　</w:t>
      </w:r>
      <w:r>
        <w:rPr>
          <w:rFonts w:ascii="Times New Roman" w:cs="Times New Roman" w:eastAsia="宋体" w:hAnsi="Times New Roman"/>
          <w:color w:val="000000"/>
          <w:sz w:val="18"/>
          <w:szCs w:val="18"/>
        </w:rPr>
        <w:t xml:space="preserve">单季稻；“3414”试验；肥料效应；推荐施肥量；测土配方施肥；桐城市</w:t>
      </w:r>
    </w:p>
    <w:p>
      <w:pPr>
        <w:spacing w:after="200" w:line="300" w:lineRule="auto"/>
        <w:jc w:val="left"/>
      </w:pPr>
      <w:r>
        <w:rPr>
          <w:rFonts w:ascii="Times New Roman" w:cs="Times New Roman" w:eastAsia="黑体" w:hAnsi="Times New Roman"/>
          <w:color w:val="000000"/>
          <w:sz w:val="18"/>
          <w:szCs w:val="18"/>
        </w:rPr>
        <w:t xml:space="preserve">中图分类号　</w:t>
      </w:r>
      <w:r>
        <w:rPr>
          <w:rFonts w:ascii="Times New Roman" w:cs="Times New Roman" w:eastAsia="宋体" w:hAnsi="Times New Roman"/>
          <w:color w:val="000000"/>
          <w:sz w:val="18"/>
          <w:szCs w:val="18"/>
        </w:rPr>
        <w:t xml:space="preserve">S511；S147.2　　</w:t>
      </w:r>
      <w:r>
        <w:rPr>
          <w:rFonts w:ascii="Times New Roman" w:cs="Times New Roman" w:eastAsia="黑体" w:hAnsi="Times New Roman"/>
          <w:color w:val="000000"/>
          <w:sz w:val="18"/>
          <w:szCs w:val="18"/>
        </w:rPr>
        <w:t xml:space="preserve">文献标识码　</w:t>
      </w:r>
      <w:r>
        <w:rPr>
          <w:rFonts w:ascii="Times New Roman" w:cs="Times New Roman" w:eastAsia="宋体" w:hAnsi="Times New Roman"/>
          <w:color w:val="000000"/>
          <w:sz w:val="18"/>
          <w:szCs w:val="18"/>
        </w:rPr>
        <w:t xml:space="preserve">A</w:t>
      </w:r>
    </w:p>
    <w:p>
      <w:pPr>
        <w:spacing w:after="80" w:before="0" w:line="300" w:lineRule="auto"/>
        <w:ind/>
        <w:jc w:val="center"/>
      </w:pPr>
      <w:r>
        <w:rPr>
          <w:rFonts w:ascii="Times New Roman" w:cs="Times New Roman" w:eastAsia="宋体" w:hAnsi="Times New Roman"/>
          <w:b/>
          <w:bCs/>
          <w:color w:val="000000"/>
          <w:sz w:val="24"/>
          <w:szCs w:val="24"/>
        </w:rPr>
        <w:t xml:space="preserve">Field Experiment on Fertilizer Effects of Single-season Rice Based on “3414” Design in Fangang Town, Tongcheng City</w:t>
      </w:r>
    </w:p>
    <w:p>
      <w:pPr>
        <w:spacing w:after="40" w:before="0" w:line="300" w:lineRule="auto"/>
        <w:ind/>
        <w:jc w:val="center"/>
      </w:pPr>
      <w:r>
        <w:rPr>
          <w:rFonts w:ascii="Times New Roman" w:cs="Times New Roman" w:eastAsia="宋体" w:hAnsi="Times New Roman"/>
          <w:color w:val="000000"/>
          <w:sz w:val="18"/>
          <w:szCs w:val="18"/>
          <w:highlight w:val="yellow"/>
          <w:highlightCs w:val="yellow"/>
        </w:rPr>
        <w:t xml:space="preserve">【AUTHOR Name】</w:t>
      </w:r>
      <w:r>
        <w:rPr>
          <w:rFonts w:ascii="Times New Roman" w:cs="Times New Roman" w:eastAsia="宋体" w:hAnsi="Times New Roman"/>
          <w:color w:val="000000"/>
          <w:sz w:val="18"/>
          <w:szCs w:val="18"/>
          <w:vertAlign w:val="superscript"/>
        </w:rPr>
        <w:t xml:space="preserve">1</w:t>
      </w:r>
      <w:r>
        <w:rPr>
          <w:rFonts w:ascii="Times New Roman" w:cs="Times New Roman" w:eastAsia="宋体" w:hAnsi="Times New Roman"/>
          <w:color w:val="000000"/>
          <w:sz w:val="18"/>
          <w:szCs w:val="18"/>
        </w:rPr>
        <w:t xml:space="preserve">, </w:t>
      </w:r>
      <w:r>
        <w:rPr>
          <w:rFonts w:ascii="Times New Roman" w:cs="Times New Roman" w:eastAsia="宋体" w:hAnsi="Times New Roman"/>
          <w:color w:val="000000"/>
          <w:sz w:val="18"/>
          <w:szCs w:val="18"/>
          <w:highlight w:val="yellow"/>
          <w:highlightCs w:val="yellow"/>
        </w:rPr>
        <w:t xml:space="preserve">【AUTHOR Name】</w:t>
      </w:r>
      <w:r>
        <w:rPr>
          <w:rFonts w:ascii="Times New Roman" w:cs="Times New Roman" w:eastAsia="宋体" w:hAnsi="Times New Roman"/>
          <w:color w:val="000000"/>
          <w:sz w:val="18"/>
          <w:szCs w:val="18"/>
          <w:vertAlign w:val="superscript"/>
        </w:rPr>
        <w:t xml:space="preserve">2</w:t>
      </w:r>
    </w:p>
    <w:p>
      <w:pPr>
        <w:spacing w:after="120" w:before="0" w:line="300" w:lineRule="auto"/>
        <w:ind/>
        <w:jc w:val="center"/>
      </w:pPr>
      <w:r>
        <w:rPr>
          <w:rFonts w:ascii="Times New Roman" w:cs="Times New Roman" w:eastAsia="宋体" w:hAnsi="Times New Roman"/>
          <w:color w:val="000000"/>
          <w:sz w:val="18"/>
          <w:szCs w:val="18"/>
        </w:rPr>
        <w:t xml:space="preserve">(1. </w:t>
      </w:r>
      <w:r>
        <w:rPr>
          <w:rFonts w:ascii="Times New Roman" w:cs="Times New Roman" w:eastAsia="宋体" w:hAnsi="Times New Roman"/>
          <w:color w:val="000000"/>
          <w:sz w:val="18"/>
          <w:szCs w:val="18"/>
          <w:highlight w:val="yellow"/>
          <w:highlightCs w:val="yellow"/>
        </w:rPr>
        <w:t xml:space="preserve">【Affiliation】</w:t>
      </w:r>
      <w:r>
        <w:rPr>
          <w:rFonts w:ascii="Times New Roman" w:cs="Times New Roman" w:eastAsia="宋体" w:hAnsi="Times New Roman"/>
          <w:color w:val="000000"/>
          <w:sz w:val="18"/>
          <w:szCs w:val="18"/>
        </w:rPr>
        <w:t xml:space="preserve">, Tongcheng, Anhui 231400; 2. </w:t>
      </w:r>
      <w:r>
        <w:rPr>
          <w:rFonts w:ascii="Times New Roman" w:cs="Times New Roman" w:eastAsia="宋体" w:hAnsi="Times New Roman"/>
          <w:color w:val="000000"/>
          <w:sz w:val="18"/>
          <w:szCs w:val="18"/>
          <w:highlight w:val="yellow"/>
          <w:highlightCs w:val="yellow"/>
        </w:rPr>
        <w:t xml:space="preserve">【Affiliation】</w:t>
      </w:r>
      <w:r>
        <w:rPr>
          <w:rFonts w:ascii="Times New Roman" w:cs="Times New Roman" w:eastAsia="宋体" w:hAnsi="Times New Roman"/>
          <w:color w:val="000000"/>
          <w:sz w:val="18"/>
          <w:szCs w:val="18"/>
        </w:rPr>
        <w:t xml:space="preserve">, Tongcheng, Anhui 231400)</w:t>
      </w:r>
    </w:p>
    <w:p>
      <w:pPr>
        <w:spacing w:after="40" w:line="300" w:lineRule="auto"/>
        <w:jc w:val="both"/>
      </w:pPr>
      <w:r>
        <w:rPr>
          <w:rFonts w:ascii="Times New Roman" w:cs="Times New Roman" w:eastAsia="宋体" w:hAnsi="Times New Roman"/>
          <w:b/>
          <w:bCs/>
          <w:color w:val="000000"/>
          <w:sz w:val="18"/>
          <w:szCs w:val="18"/>
        </w:rPr>
        <w:t xml:space="preserve">Abstract　</w:t>
      </w:r>
      <w:r>
        <w:rPr>
          <w:rFonts w:ascii="Times New Roman" w:cs="Times New Roman" w:eastAsia="宋体" w:hAnsi="Times New Roman"/>
          <w:color w:val="000000"/>
          <w:sz w:val="18"/>
          <w:szCs w:val="18"/>
        </w:rPr>
        <w:t xml:space="preserve">[Objective] To preliminarily determine the appropriate application rates of nitrogen (N), phosphorus (P) and potassium (K) fertilizers for single-season rice grown on sandy loam paddy soil in Fangang Town, Tongcheng City, and to accumulate basic data for improving the local index system of soil testing and formulated fertilization. [Method] A “3414” field experiment (three factors, four levels, 14 treatments, without replication) was conducted in 2025 with the hybrid indica rice cultivar Dunliangyou 900. Agronomic traits, grain yield and economic returns were investigated, fertilizer response functions were fitted, and soil nutrient supply capacity was evaluated by the relative yields of nutrient-omission plots. [Result] Treatment 10 (N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 180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 337.5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gave the highest yield of 10200.0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54.5% higher than that of the unfertilized control, and the highest return after deducting fertilizer cost (22091.4 yuan/hm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however, yields along the K series varied non-monotonically, so this yield advantage cannot be separated from plot-to-plot error. The relative yields of the N-, P- and K-omission plots were 74.3%, 85.5% and 94.9%, and the contribution rates of N, P and K fertilizers were 25.7%, 14.5% and 5.1%, respectively, indicating a fertilizer response order of N &gt; P &gt; K. The ternary quadratic model failed the typicality test, and none of the single-factor regressions reached significance, so the equations describe trends only. Rice yield levelled off at an N rate of about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(the linear-plus-plateau model placed the join point at approximately 280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seed-setting rate and 1000-grain weight declined and yield no longer increased when the N rate exceeded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whereas no turning point was reached for P or K within the tested range. [Conclusion] Under the single-site, single-season and unreplicated conditions of this trial, N 270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 90–180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and 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 112.5–225 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 are proposed for single-season rice on sandy loam paddy soil in Fangang Town, with N split as basal:tillering:panicle = 50%:25%:25%, K split as basal:panicle = 60%:40%, and P applied entirely as basal fertilizer. Because the level-2 rates of this trial were higher than conventional local recommendations and no turning point was reached for P or K, the appropriate rates of these two nutrients require verification by multi-site and multi-year replicated trials.</w:t>
      </w:r>
    </w:p>
    <w:p>
      <w:pPr>
        <w:spacing w:after="240" w:line="300" w:lineRule="auto"/>
        <w:jc w:val="both"/>
      </w:pPr>
      <w:r>
        <w:rPr>
          <w:rFonts w:ascii="Times New Roman" w:cs="Times New Roman" w:eastAsia="宋体" w:hAnsi="Times New Roman"/>
          <w:b/>
          <w:bCs/>
          <w:color w:val="000000"/>
          <w:sz w:val="18"/>
          <w:szCs w:val="18"/>
        </w:rPr>
        <w:t xml:space="preserve">Key words　</w:t>
      </w:r>
      <w:r>
        <w:rPr>
          <w:rFonts w:ascii="Times New Roman" w:cs="Times New Roman" w:eastAsia="宋体" w:hAnsi="Times New Roman"/>
          <w:color w:val="000000"/>
          <w:sz w:val="18"/>
          <w:szCs w:val="18"/>
        </w:rPr>
        <w:t xml:space="preserve">Single-season rice; “3414” experiment; Fertilizer effect; Recommended fertilization rate; Soil testing and formulated fertilization; Tongcheng City</w:t>
      </w:r>
    </w:p>
    <w:p>
      <w:pPr>
        <w:spacing w:after="0" w:before="0" w:line="360" w:lineRule="auto"/>
        <w:ind w:firstLine="420"/>
        <w:jc w:val="both"/>
      </w:pPr>
      <w:r>
        <w:rPr>
          <w:rFonts w:ascii="Times New Roman" w:cs="Times New Roman" w:eastAsia="宋体" w:hAnsi="Times New Roman"/>
          <w:color w:val="000000"/>
          <w:sz w:val="21"/>
          <w:szCs w:val="21"/>
        </w:rPr>
        <w:t xml:space="preserve">水稻是我国最主要的口粮作物，也是安徽省第一大粮食作物。桐城市位于安徽省中部偏西南，地处大别山东麓与长江北岸之间，是全国重要的商品粮生产基地，单季稻是当地最主要的粮食作物；范岗镇是桐城市水稻主产乡镇之一，稻作收入是当地农民的主要经济来源。长期以来，当地农户多凭经验施肥，普遍存在氮磷钾配比失调、施肥时期不合理、一次性重施基肥等问题，不仅增加了生产成本，也降低了肥料利用率，并带来农业面源污染风险</w:t>
      </w:r>
      <w:r>
        <w:rPr>
          <w:rFonts w:ascii="Times New Roman" w:cs="Times New Roman" w:eastAsia="宋体" w:hAnsi="Times New Roman"/>
          <w:color w:val="000000"/>
          <w:sz w:val="21"/>
          <w:szCs w:val="21"/>
          <w:vertAlign w:val="superscript"/>
        </w:rPr>
        <w:t xml:space="preserve">[1-3]</w:t>
      </w:r>
      <w:r>
        <w:rPr>
          <w:rFonts w:ascii="Times New Roman" w:cs="Times New Roman" w:eastAsia="宋体" w:hAnsi="Times New Roman"/>
          <w:color w:val="000000"/>
          <w:sz w:val="21"/>
          <w:szCs w:val="21"/>
        </w:rPr>
        <w:t xml:space="preserve">。测土配方施肥是以土壤测试和肥料田间试验为基础，根据作物需肥规律、土壤供肥性能和肥料效应确定肥料用量、配比及施用方法的科学施肥技术，是提高肥料利用率、实现化肥减量增效的有效途径</w:t>
      </w:r>
      <w:r>
        <w:rPr>
          <w:rFonts w:ascii="Times New Roman" w:cs="Times New Roman" w:eastAsia="宋体" w:hAnsi="Times New Roman"/>
          <w:color w:val="000000"/>
          <w:sz w:val="21"/>
          <w:szCs w:val="21"/>
          <w:vertAlign w:val="superscript"/>
        </w:rPr>
        <w:t xml:space="preserve">[4-6]</w:t>
      </w:r>
      <w:r>
        <w:rPr>
          <w:rFonts w:ascii="Times New Roman" w:cs="Times New Roman" w:eastAsia="宋体" w:hAnsi="Times New Roman"/>
          <w:color w:val="000000"/>
          <w:sz w:val="21"/>
          <w:szCs w:val="21"/>
        </w:rPr>
        <w:t xml:space="preserve">。“3414”肥料效应田间试验是测土配方施肥的核心环节，通过该试验可以建立肥料效应函数，确定作物的最高产量施肥量和最佳经济施肥量，并据此建立土壤养分丰缺指标和推荐施肥指标体系</w:t>
      </w:r>
      <w:r>
        <w:rPr>
          <w:rFonts w:ascii="Times New Roman" w:cs="Times New Roman" w:eastAsia="宋体" w:hAnsi="Times New Roman"/>
          <w:color w:val="000000"/>
          <w:sz w:val="21"/>
          <w:szCs w:val="21"/>
          <w:vertAlign w:val="superscript"/>
        </w:rPr>
        <w:t xml:space="preserve">[5,7-8]</w:t>
      </w:r>
      <w:r>
        <w:rPr>
          <w:rFonts w:ascii="Times New Roman" w:cs="Times New Roman" w:eastAsia="宋体" w:hAnsi="Times New Roman"/>
          <w:color w:val="000000"/>
          <w:sz w:val="21"/>
          <w:szCs w:val="21"/>
        </w:rPr>
        <w:t xml:space="preserve">。近年来，国内各稻区围绕水稻开展了大量“3414”试验研究</w:t>
      </w:r>
      <w:r>
        <w:rPr>
          <w:rFonts w:ascii="Times New Roman" w:cs="Times New Roman" w:eastAsia="宋体" w:hAnsi="Times New Roman"/>
          <w:color w:val="000000"/>
          <w:sz w:val="21"/>
          <w:szCs w:val="21"/>
          <w:vertAlign w:val="superscript"/>
        </w:rPr>
        <w:t xml:space="preserve">[9-12]</w:t>
      </w:r>
      <w:r>
        <w:rPr>
          <w:rFonts w:ascii="Times New Roman" w:cs="Times New Roman" w:eastAsia="宋体" w:hAnsi="Times New Roman"/>
          <w:color w:val="000000"/>
          <w:sz w:val="21"/>
          <w:szCs w:val="21"/>
        </w:rPr>
        <w:t xml:space="preserve">，安徽省潜山、旌德等地的试验结果表明，缺氮区减产幅度最大、氮肥的增产效应最为突出，而不同区域的最佳施肥量因土壤类型、品种和栽培方式不同存在较大差异</w:t>
      </w:r>
      <w:r>
        <w:rPr>
          <w:rFonts w:ascii="Times New Roman" w:cs="Times New Roman" w:eastAsia="宋体" w:hAnsi="Times New Roman"/>
          <w:color w:val="000000"/>
          <w:sz w:val="21"/>
          <w:szCs w:val="21"/>
          <w:vertAlign w:val="superscript"/>
        </w:rPr>
        <w:t xml:space="preserve">[13-17]</w:t>
      </w:r>
      <w:r>
        <w:rPr>
          <w:rFonts w:ascii="Times New Roman" w:cs="Times New Roman" w:eastAsia="宋体" w:hAnsi="Times New Roman"/>
          <w:color w:val="000000"/>
          <w:sz w:val="21"/>
          <w:szCs w:val="21"/>
        </w:rPr>
        <w:t xml:space="preserve">。范岗镇砂壤质稻田保肥供肥能力较弱，目前针对该区域的系统肥效试验数据仍较缺乏；同时，随着吨两优900等国审高产杂交籼稻新品种在本区域的应用</w:t>
      </w:r>
      <w:r>
        <w:rPr>
          <w:rFonts w:ascii="Times New Roman" w:cs="Times New Roman" w:eastAsia="宋体" w:hAnsi="Times New Roman"/>
          <w:color w:val="000000"/>
          <w:sz w:val="21"/>
          <w:szCs w:val="21"/>
          <w:vertAlign w:val="superscript"/>
        </w:rPr>
        <w:t xml:space="preserve">[18]</w:t>
      </w:r>
      <w:r>
        <w:rPr>
          <w:rFonts w:ascii="Times New Roman" w:cs="Times New Roman" w:eastAsia="宋体" w:hAnsi="Times New Roman"/>
          <w:color w:val="000000"/>
          <w:sz w:val="21"/>
          <w:szCs w:val="21"/>
        </w:rPr>
        <w:t xml:space="preserve">，原有施肥参数亟需更新。为此，笔者于2025年在范岗镇开展了单季稻“3414”肥料效应田间试验，研究不同氮、磷、钾施肥水平对水稻经济性状、产量和效益的影响，拟合肥料效应方程，评价土壤供肥能力，以期为当地单季稻科学施肥和测土配方施肥指标体系的完善提供依据。</w:t>
      </w:r>
    </w:p>
    <w:p>
      <w:pPr>
        <w:keepNext/>
        <w:spacing w:after="80" w:before="160" w:line="360" w:lineRule="auto"/>
        <w:ind/>
        <w:jc w:val="left"/>
      </w:pPr>
      <w:r>
        <w:rPr>
          <w:rFonts w:ascii="Times New Roman" w:cs="Times New Roman" w:eastAsia="黑体" w:hAnsi="Times New Roman"/>
          <w:b/>
          <w:bCs/>
          <w:color w:val="000000"/>
          <w:sz w:val="24"/>
          <w:szCs w:val="24"/>
        </w:rPr>
        <w:t xml:space="preserve">1　材料与方法</w:t>
      </w:r>
    </w:p>
    <w:p>
      <w:pPr>
        <w:keepNext/>
        <w:spacing w:after="40" w:before="100" w:line="360" w:lineRule="auto"/>
        <w:ind/>
        <w:jc w:val="left"/>
      </w:pPr>
      <w:r>
        <w:rPr>
          <w:rFonts w:ascii="Times New Roman" w:cs="Times New Roman" w:eastAsia="黑体" w:hAnsi="Times New Roman"/>
          <w:b/>
          <w:bCs/>
          <w:color w:val="000000"/>
          <w:sz w:val="21"/>
          <w:szCs w:val="21"/>
        </w:rPr>
        <w:t xml:space="preserve">1.1　试验地概况</w:t>
      </w:r>
    </w:p>
    <w:p>
      <w:pPr>
        <w:spacing w:after="0" w:before="0" w:line="360" w:lineRule="auto"/>
        <w:ind w:firstLine="420"/>
        <w:jc w:val="both"/>
      </w:pPr>
      <w:r>
        <w:rPr>
          <w:rFonts w:ascii="Times New Roman" w:cs="Times New Roman" w:eastAsia="宋体" w:hAnsi="Times New Roman"/>
          <w:color w:val="000000"/>
          <w:sz w:val="21"/>
          <w:szCs w:val="21"/>
        </w:rPr>
        <w:t xml:space="preserve">试验于2025年在桐城市范岗镇新西村孙庄组进行。试验田地势平坦、肥力均匀、排灌方便、交通便利，具有代表性，面积约0.11 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，前茬为冬闲田。土壤为水稻土，质地砂壤，pH 6.1，耕层土壤有机质含量</w:t>
      </w:r>
      <w:r>
        <w:rPr>
          <w:rFonts w:ascii="Times New Roman" w:cs="Times New Roman" w:eastAsia="宋体" w:hAnsi="Times New Roman"/>
          <w:color w:val="000000"/>
          <w:sz w:val="21"/>
          <w:szCs w:val="21"/>
          <w:highlight w:val="yellow"/>
          <w:highlightCs w:val="yellow"/>
        </w:rPr>
        <w:t xml:space="preserve">【  】</w:t>
      </w:r>
      <w:r>
        <w:rPr>
          <w:rFonts w:ascii="Times New Roman" w:cs="Times New Roman" w:eastAsia="宋体" w:hAnsi="Times New Roman"/>
          <w:color w:val="000000"/>
          <w:sz w:val="21"/>
          <w:szCs w:val="21"/>
        </w:rPr>
        <w:t xml:space="preserve">g/kg、碱解氮</w:t>
      </w:r>
      <w:r>
        <w:rPr>
          <w:rFonts w:ascii="Times New Roman" w:cs="Times New Roman" w:eastAsia="宋体" w:hAnsi="Times New Roman"/>
          <w:color w:val="000000"/>
          <w:sz w:val="21"/>
          <w:szCs w:val="21"/>
          <w:highlight w:val="yellow"/>
          <w:highlightCs w:val="yellow"/>
        </w:rPr>
        <w:t xml:space="preserve">【  】</w:t>
      </w:r>
      <w:r>
        <w:rPr>
          <w:rFonts w:ascii="Times New Roman" w:cs="Times New Roman" w:eastAsia="宋体" w:hAnsi="Times New Roman"/>
          <w:color w:val="000000"/>
          <w:sz w:val="21"/>
          <w:szCs w:val="21"/>
        </w:rPr>
        <w:t xml:space="preserve">mg/kg、有效磷</w:t>
      </w:r>
      <w:r>
        <w:rPr>
          <w:rFonts w:ascii="Times New Roman" w:cs="Times New Roman" w:eastAsia="宋体" w:hAnsi="Times New Roman"/>
          <w:color w:val="000000"/>
          <w:sz w:val="21"/>
          <w:szCs w:val="21"/>
          <w:highlight w:val="yellow"/>
          <w:highlightCs w:val="yellow"/>
        </w:rPr>
        <w:t xml:space="preserve">【  】</w:t>
      </w:r>
      <w:r>
        <w:rPr>
          <w:rFonts w:ascii="Times New Roman" w:cs="Times New Roman" w:eastAsia="宋体" w:hAnsi="Times New Roman"/>
          <w:color w:val="000000"/>
          <w:sz w:val="21"/>
          <w:szCs w:val="21"/>
        </w:rPr>
        <w:t xml:space="preserve">mg/kg、速效钾</w:t>
      </w:r>
      <w:r>
        <w:rPr>
          <w:rFonts w:ascii="Times New Roman" w:cs="Times New Roman" w:eastAsia="宋体" w:hAnsi="Times New Roman"/>
          <w:color w:val="000000"/>
          <w:sz w:val="21"/>
          <w:szCs w:val="21"/>
          <w:highlight w:val="yellow"/>
          <w:highlightCs w:val="yellow"/>
        </w:rPr>
        <w:t xml:space="preserve">【  】</w:t>
      </w:r>
      <w:r>
        <w:rPr>
          <w:rFonts w:ascii="Times New Roman" w:cs="Times New Roman" w:eastAsia="宋体" w:hAnsi="Times New Roman"/>
          <w:color w:val="000000"/>
          <w:sz w:val="21"/>
          <w:szCs w:val="21"/>
        </w:rPr>
        <w:t xml:space="preserve">mg/kg。</w:t>
      </w:r>
    </w:p>
    <w:p>
      <w:pPr>
        <w:keepNext/>
        <w:spacing w:after="40" w:before="100" w:line="360" w:lineRule="auto"/>
        <w:ind/>
        <w:jc w:val="left"/>
      </w:pPr>
      <w:r>
        <w:rPr>
          <w:rFonts w:ascii="Times New Roman" w:cs="Times New Roman" w:eastAsia="黑体" w:hAnsi="Times New Roman"/>
          <w:b/>
          <w:bCs/>
          <w:color w:val="000000"/>
          <w:sz w:val="21"/>
          <w:szCs w:val="21"/>
        </w:rPr>
        <w:t xml:space="preserve">1.2　供试材料</w:t>
      </w:r>
    </w:p>
    <w:p>
      <w:pPr>
        <w:spacing w:after="0" w:before="0" w:line="360" w:lineRule="auto"/>
        <w:ind w:firstLine="420"/>
        <w:jc w:val="both"/>
      </w:pPr>
      <w:r>
        <w:rPr>
          <w:rFonts w:ascii="Times New Roman" w:cs="Times New Roman" w:eastAsia="宋体" w:hAnsi="Times New Roman"/>
          <w:color w:val="000000"/>
          <w:sz w:val="21"/>
          <w:szCs w:val="21"/>
        </w:rPr>
        <w:t xml:space="preserve">供试水稻品种为杂交籼稻吨两优900。供试肥料：尿素（N 46.3%，安徽昊源化工集团有限公司生产）、颗粒过磷酸钙（P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≥12%，铜陵市化学工业集团有限公司生产）、氯化钾（K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O≥60%，俄罗斯乌拉尔钾肥公司生产）。</w:t>
      </w:r>
    </w:p>
    <w:p>
      <w:pPr>
        <w:keepNext/>
        <w:spacing w:after="40" w:before="100" w:line="360" w:lineRule="auto"/>
        <w:ind/>
        <w:jc w:val="left"/>
      </w:pPr>
      <w:r>
        <w:rPr>
          <w:rFonts w:ascii="Times New Roman" w:cs="Times New Roman" w:eastAsia="黑体" w:hAnsi="Times New Roman"/>
          <w:b/>
          <w:bCs/>
          <w:color w:val="000000"/>
          <w:sz w:val="21"/>
          <w:szCs w:val="21"/>
        </w:rPr>
        <w:t xml:space="preserve">1.3　试验设计</w:t>
      </w:r>
    </w:p>
    <w:p>
      <w:pPr>
        <w:spacing w:after="0" w:before="0" w:line="360" w:lineRule="auto"/>
        <w:ind w:firstLine="420"/>
        <w:jc w:val="both"/>
      </w:pPr>
      <w:r>
        <w:rPr>
          <w:rFonts w:ascii="Times New Roman" w:cs="Times New Roman" w:eastAsia="宋体" w:hAnsi="Times New Roman"/>
          <w:color w:val="000000"/>
          <w:sz w:val="21"/>
          <w:szCs w:val="21"/>
        </w:rPr>
        <w:t xml:space="preserve">试验采用《测土配方施肥技术规程》（NY/T 2911—2016）推荐的“3414”完全试验设计方案</w:t>
      </w:r>
      <w:r>
        <w:rPr>
          <w:rFonts w:ascii="Times New Roman" w:cs="Times New Roman" w:eastAsia="宋体" w:hAnsi="Times New Roman"/>
          <w:color w:val="000000"/>
          <w:sz w:val="21"/>
          <w:szCs w:val="21"/>
          <w:vertAlign w:val="superscript"/>
        </w:rPr>
        <w:t xml:space="preserve">[5]</w:t>
      </w:r>
      <w:r>
        <w:rPr>
          <w:rFonts w:ascii="Times New Roman" w:cs="Times New Roman" w:eastAsia="宋体" w:hAnsi="Times New Roman"/>
          <w:color w:val="000000"/>
          <w:sz w:val="21"/>
          <w:szCs w:val="21"/>
        </w:rPr>
        <w:t xml:space="preserve">，即氮（N）、磷（P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）、钾（K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O）3个因素，每个因素设4个水平，共14个处理。其中，0水平为不施该种肥料；2水平按当地高产田农户实际施肥习惯和目标产量确定，即N 18 kg/667m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12 kg/667m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15 kg/667m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，折合N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180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225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；1水平为2水平的0.5倍；3水平为2水平的1.5倍。各处理施肥量见表1。</w:t>
      </w:r>
    </w:p>
    <w:p>
      <w:pPr>
        <w:spacing w:after="0" w:before="0" w:line="360" w:lineRule="auto"/>
        <w:ind w:firstLine="420"/>
        <w:jc w:val="both"/>
      </w:pPr>
      <w:r>
        <w:rPr>
          <w:rFonts w:ascii="Times New Roman" w:cs="Times New Roman" w:eastAsia="宋体" w:hAnsi="Times New Roman"/>
          <w:color w:val="000000"/>
          <w:sz w:val="21"/>
          <w:szCs w:val="21"/>
        </w:rPr>
        <w:t xml:space="preserve">需要说明的是，本试验2水平高于安徽省单季稻常规推荐量（一般N 180～225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60～90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120～150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color w:val="000000"/>
          <w:sz w:val="21"/>
          <w:szCs w:val="21"/>
          <w:vertAlign w:val="superscript"/>
        </w:rPr>
        <w:t xml:space="preserve">[13,16]</w:t>
      </w:r>
      <w:r>
        <w:rPr>
          <w:rFonts w:ascii="Times New Roman" w:cs="Times New Roman" w:eastAsia="宋体" w:hAnsi="Times New Roman"/>
          <w:color w:val="000000"/>
          <w:sz w:val="21"/>
          <w:szCs w:val="21"/>
        </w:rPr>
        <w:t xml:space="preserve">，因此本试验实际考察的是常规推荐量及其以上区间的肥料效应，对低于1水平的施肥量无法提供响应信息。小区面积30 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（长10 m、宽3 m），14个小区分2排布置、每排7个，随机排列，不设重复；因不设重复，无法通过区组校正可能存在的田间肥力梯度。小区间人工筑埂分隔，田埂宽30 cm、高30 cm，并用塑料薄膜包裹，防止肥水串渗；试验区四周设置保护行和排灌沟，各小区单排单灌。</w:t>
      </w:r>
    </w:p>
    <w:p>
      <w:pPr>
        <w:keepNext/>
        <w:spacing w:after="60" w:before="120" w:line="240" w:lineRule="auto"/>
        <w:ind/>
        <w:jc w:val="center"/>
      </w:pPr>
      <w:r>
        <w:rPr>
          <w:rFonts w:ascii="Times New Roman" w:cs="Times New Roman" w:eastAsia="黑体" w:hAnsi="Times New Roman"/>
          <w:color w:val="000000"/>
          <w:sz w:val="18"/>
          <w:szCs w:val="18"/>
        </w:rPr>
        <w:t xml:space="preserve">表1　各处理施肥水平及施肥量</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1114"/>
        <w:gridCol w:w="1316"/>
        <w:gridCol w:w="810"/>
        <w:gridCol w:w="810"/>
        <w:gridCol w:w="810"/>
        <w:gridCol w:w="1215"/>
        <w:gridCol w:w="1215"/>
        <w:gridCol w:w="1215"/>
      </w:tblGrid>
      <w:tr>
        <w:trPr>
          <w:cantSplit/>
          <w:tblHeader/>
        </w:trPr>
        <w:tc>
          <w:tcPr>
            <w:tcW w:type="dxa" w:w="1114"/>
            <w:vMerge w:val="restart"/>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处理编号</w:t>
            </w:r>
          </w:p>
        </w:tc>
        <w:tc>
          <w:tcPr>
            <w:tcW w:type="dxa" w:w="1316"/>
            <w:vMerge w:val="restart"/>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w:t>
            </w:r>
          </w:p>
        </w:tc>
        <w:tc>
          <w:tcPr>
            <w:tcW w:type="dxa" w:w="2430"/>
            <w:gridSpan w:val="3"/>
            <w:tcBorders>
              <w:top w:val="single" w:color="000000" w:sz="12"/>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施肥水平</w:t>
            </w:r>
          </w:p>
        </w:tc>
        <w:tc>
          <w:tcPr>
            <w:tcW w:type="dxa" w:w="3645"/>
            <w:gridSpan w:val="3"/>
            <w:tcBorders>
              <w:top w:val="single" w:color="000000" w:sz="12"/>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施肥量/(kg/hm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r>
      <w:tr>
        <w:trPr>
          <w:cantSplit/>
          <w:tblHeader/>
        </w:trPr>
        <w:tc>
          <w:tcPr>
            <w:vMerge w:val="continue"/>
            <w:tcBorders>
              <w:top w:val="single" w:color="000000" w:sz="12"/>
              <w:left w:val="none" w:color="FFFFFF" w:sz="0"/>
              <w:bottom w:val="single" w:color="000000" w:sz="6"/>
              <w:right w:val="none" w:color="FFFFFF" w:sz="0"/>
            </w:tcBorders>
          </w:tcPr>
          <w:p/>
        </w:tc>
        <w:tc>
          <w:tcPr>
            <w:vMerge w:val="continue"/>
            <w:tcBorders>
              <w:top w:val="single" w:color="000000" w:sz="12"/>
              <w:left w:val="none" w:color="FFFFFF" w:sz="0"/>
              <w:bottom w:val="single" w:color="000000" w:sz="6"/>
              <w:right w:val="none" w:color="FFFFFF" w:sz="0"/>
            </w:tcBorders>
          </w:tcPr>
          <w:p/>
        </w:tc>
        <w:tc>
          <w:tcPr>
            <w:tcW w:type="dxa" w:w="810"/>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810"/>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810"/>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1215"/>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1215"/>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1215"/>
            <w:tcBorders>
              <w:top w:val="none" w:color="FFFFFF" w:sz="0"/>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135.0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3</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112.5</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3</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337.5</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3</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405.0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135.0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225.0</w:t>
            </w:r>
          </w:p>
        </w:tc>
      </w:tr>
      <w:tr>
        <w:trPr>
          <w:cantSplit/>
          <w:tblHeader w:val="false"/>
        </w:trPr>
        <w:tc>
          <w:tcPr>
            <w:tcW w:type="dxa" w:w="111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w:t>
            </w:r>
          </w:p>
        </w:tc>
        <w:tc>
          <w:tcPr>
            <w:tcW w:type="dxa" w:w="13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135.0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112.5</w:t>
            </w:r>
          </w:p>
        </w:tc>
      </w:tr>
      <w:tr>
        <w:trPr>
          <w:cantSplit/>
          <w:tblHeader w:val="false"/>
        </w:trPr>
        <w:tc>
          <w:tcPr>
            <w:tcW w:type="dxa" w:w="1114"/>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14</w:t>
            </w:r>
          </w:p>
        </w:tc>
        <w:tc>
          <w:tcPr>
            <w:tcW w:type="dxa" w:w="1316"/>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810"/>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810"/>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810"/>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21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270.0</w:t>
            </w:r>
          </w:p>
        </w:tc>
        <w:tc>
          <w:tcPr>
            <w:tcW w:type="dxa" w:w="121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90.0</w:t>
            </w:r>
          </w:p>
        </w:tc>
        <w:tc>
          <w:tcPr>
            <w:tcW w:type="dxa" w:w="121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112.5</w:t>
            </w:r>
          </w:p>
        </w:tc>
      </w:tr>
    </w:tbl>
    <w:p>
      <w:pPr>
        <w:spacing w:after="100" w:before="0" w:line="240" w:lineRule="auto"/>
        <w:ind/>
        <w:jc w:val="both"/>
      </w:pPr>
    </w:p>
    <w:p>
      <w:pPr>
        <w:keepNext/>
        <w:spacing w:after="40" w:before="100" w:line="360" w:lineRule="auto"/>
        <w:ind/>
        <w:jc w:val="left"/>
      </w:pPr>
      <w:r>
        <w:rPr>
          <w:rFonts w:ascii="Times New Roman" w:cs="Times New Roman" w:eastAsia="黑体" w:hAnsi="Times New Roman"/>
          <w:b/>
          <w:bCs/>
          <w:color w:val="000000"/>
          <w:sz w:val="21"/>
          <w:szCs w:val="21"/>
        </w:rPr>
        <w:t xml:space="preserve">1.4　田间管理</w:t>
      </w:r>
    </w:p>
    <w:p>
      <w:pPr>
        <w:spacing w:after="0" w:before="0" w:line="360" w:lineRule="auto"/>
        <w:ind w:firstLine="420"/>
        <w:jc w:val="both"/>
      </w:pPr>
      <w:r>
        <w:rPr>
          <w:rFonts w:ascii="Times New Roman" w:cs="Times New Roman" w:eastAsia="宋体" w:hAnsi="Times New Roman"/>
          <w:color w:val="000000"/>
          <w:sz w:val="21"/>
          <w:szCs w:val="21"/>
        </w:rPr>
        <w:t xml:space="preserve">2025年5月2日播种育秧，6月7日人工移栽，栽插规格30 cm×20 cm（约16.7万穴/hm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每穴2～3苗。氮肥按基肥∶分蘖肥∶穗肥=50%∶25%∶25%分3次施用，磷肥全部作基肥一次性施用，钾肥按基肥∶穗肥=60%∶40%分2次施用；基肥于6月6日移栽前撒施，分蘖肥于6月13日撒施，穗肥于8月10日撒施。7月18日第1次用药防治二化螟、稻纵卷叶螟、白背飞虱和纹枯病，8月23日第2次用药防治二化螟、稻纵卷叶螟、稻飞虱及纹枯病、稻瘟病和稻曲病（药剂种类及用量</w:t>
      </w:r>
      <w:r>
        <w:rPr>
          <w:rFonts w:ascii="Times New Roman" w:cs="Times New Roman" w:eastAsia="宋体" w:hAnsi="Times New Roman"/>
          <w:color w:val="000000"/>
          <w:sz w:val="21"/>
          <w:szCs w:val="21"/>
          <w:highlight w:val="yellow"/>
          <w:highlightCs w:val="yellow"/>
        </w:rPr>
        <w:t xml:space="preserve">【请作者补充】</w:t>
      </w:r>
      <w:r>
        <w:rPr>
          <w:rFonts w:ascii="Times New Roman" w:cs="Times New Roman" w:eastAsia="宋体" w:hAnsi="Times New Roman"/>
          <w:color w:val="000000"/>
          <w:sz w:val="21"/>
          <w:szCs w:val="21"/>
        </w:rPr>
        <w:t xml:space="preserve">）。各小区水分管理等其他措施均与当地常规栽培一致。</w:t>
      </w:r>
    </w:p>
    <w:p>
      <w:pPr>
        <w:keepNext/>
        <w:spacing w:after="40" w:before="100" w:line="360" w:lineRule="auto"/>
        <w:ind/>
        <w:jc w:val="left"/>
      </w:pPr>
      <w:r>
        <w:rPr>
          <w:rFonts w:ascii="Times New Roman" w:cs="Times New Roman" w:eastAsia="黑体" w:hAnsi="Times New Roman"/>
          <w:b/>
          <w:bCs/>
          <w:color w:val="000000"/>
          <w:sz w:val="21"/>
          <w:szCs w:val="21"/>
        </w:rPr>
        <w:t xml:space="preserve">1.5　测定项目与方法</w:t>
      </w:r>
    </w:p>
    <w:p>
      <w:pPr>
        <w:spacing w:after="0" w:before="0" w:line="360" w:lineRule="auto"/>
        <w:ind w:firstLine="420"/>
        <w:jc w:val="both"/>
      </w:pPr>
      <w:r>
        <w:rPr>
          <w:rFonts w:ascii="Times New Roman" w:cs="Times New Roman" w:eastAsia="宋体" w:hAnsi="Times New Roman"/>
          <w:color w:val="000000"/>
          <w:sz w:val="21"/>
          <w:szCs w:val="21"/>
        </w:rPr>
        <w:t xml:space="preserve">成熟期每小区选取有代表性稻株10穴，调查单穴有效穗数，按实际栽插密度16.7万穴/hm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折算群体有效穗数，并测定株高、穗长、每穗总粒数、每穗实粒数、结实率和千粒重；各小区（30 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）全部单收单打，脱粒、晒干扬净后称重，折算成单位面积产量（kg/hm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p>
    <w:p>
      <w:pPr>
        <w:keepNext/>
        <w:spacing w:after="40" w:before="100" w:line="360" w:lineRule="auto"/>
        <w:ind/>
        <w:jc w:val="left"/>
      </w:pPr>
      <w:r>
        <w:rPr>
          <w:rFonts w:ascii="Times New Roman" w:cs="Times New Roman" w:eastAsia="黑体" w:hAnsi="Times New Roman"/>
          <w:b/>
          <w:bCs/>
          <w:color w:val="000000"/>
          <w:sz w:val="21"/>
          <w:szCs w:val="21"/>
        </w:rPr>
        <w:t xml:space="preserve">1.6　数据处理</w:t>
      </w:r>
    </w:p>
    <w:p>
      <w:pPr>
        <w:spacing w:after="0" w:before="0" w:line="360" w:lineRule="auto"/>
        <w:ind w:firstLine="420"/>
        <w:jc w:val="both"/>
      </w:pPr>
      <w:r>
        <w:rPr>
          <w:rFonts w:ascii="Times New Roman" w:cs="Times New Roman" w:eastAsia="宋体" w:hAnsi="Times New Roman"/>
          <w:color w:val="000000"/>
          <w:sz w:val="21"/>
          <w:szCs w:val="21"/>
        </w:rPr>
        <w:t xml:space="preserve">数据采用Microsoft Excel 2019整理，采用Python 3.12（NumPy、SciPy）进行回归拟合和Pearson相关分析，相关系数的显著性采用</w:t>
      </w:r>
      <w:r>
        <w:rPr>
          <w:rFonts w:ascii="Times New Roman" w:cs="Times New Roman" w:eastAsia="宋体" w:hAnsi="Times New Roman"/>
          <w:i/>
          <w:iCs/>
          <w:color w:val="000000"/>
          <w:sz w:val="21"/>
          <w:szCs w:val="21"/>
        </w:rPr>
        <w:t xml:space="preserve">t</w:t>
      </w:r>
      <w:r>
        <w:rPr>
          <w:rFonts w:ascii="Times New Roman" w:cs="Times New Roman" w:eastAsia="宋体" w:hAnsi="Times New Roman"/>
          <w:color w:val="000000"/>
          <w:sz w:val="21"/>
          <w:szCs w:val="21"/>
        </w:rPr>
        <w:t xml:space="preserve">检验。</w:t>
      </w:r>
    </w:p>
    <w:p>
      <w:pPr>
        <w:spacing w:after="0" w:before="0" w:line="360" w:lineRule="auto"/>
        <w:ind w:firstLine="420"/>
        <w:jc w:val="both"/>
      </w:pPr>
      <w:r>
        <w:rPr>
          <w:rFonts w:ascii="Times New Roman" w:cs="Times New Roman" w:eastAsia="宋体" w:hAnsi="Times New Roman"/>
          <w:color w:val="000000"/>
          <w:sz w:val="21"/>
          <w:szCs w:val="21"/>
        </w:rPr>
        <w:t xml:space="preserve">相对产量（%）=缺素区产量/全肥区（处理6）产量×100；肥料贡献率（%）=（全肥区产量−缺素区产量）/全肥区产量×100；农学效率（kg/kg）=（全肥区产量−缺素区产量）/该养分施用量</w:t>
      </w:r>
      <w:r>
        <w:rPr>
          <w:rFonts w:ascii="Times New Roman" w:cs="Times New Roman" w:eastAsia="宋体" w:hAnsi="Times New Roman"/>
          <w:color w:val="000000"/>
          <w:sz w:val="21"/>
          <w:szCs w:val="21"/>
          <w:vertAlign w:val="superscript"/>
        </w:rPr>
        <w:t xml:space="preserve">[5]</w:t>
      </w:r>
      <w:r>
        <w:rPr>
          <w:rFonts w:ascii="Times New Roman" w:cs="Times New Roman" w:eastAsia="宋体" w:hAnsi="Times New Roman"/>
          <w:color w:val="000000"/>
          <w:sz w:val="21"/>
          <w:szCs w:val="21"/>
        </w:rPr>
        <w:t xml:space="preserve">。土壤养分丰缺等级按缺素区相对产量划分：&lt;50%为“极低”，50%≤相对产量&lt;75%为“低”，75%≤相对产量&lt;95%为“中”，≥95%为“高”</w:t>
      </w:r>
      <w:r>
        <w:rPr>
          <w:rFonts w:ascii="Times New Roman" w:cs="Times New Roman" w:eastAsia="宋体" w:hAnsi="Times New Roman"/>
          <w:color w:val="000000"/>
          <w:sz w:val="21"/>
          <w:szCs w:val="21"/>
          <w:vertAlign w:val="superscript"/>
        </w:rPr>
        <w:t xml:space="preserve">[5]</w:t>
      </w:r>
      <w:r>
        <w:rPr>
          <w:rFonts w:ascii="Times New Roman" w:cs="Times New Roman" w:eastAsia="宋体" w:hAnsi="Times New Roman"/>
          <w:color w:val="000000"/>
          <w:sz w:val="21"/>
          <w:szCs w:val="21"/>
        </w:rPr>
        <w:t xml:space="preserve">。</w:t>
      </w:r>
    </w:p>
    <w:p>
      <w:pPr>
        <w:spacing w:after="0" w:before="0" w:line="360" w:lineRule="auto"/>
        <w:ind w:firstLine="420"/>
        <w:jc w:val="both"/>
      </w:pPr>
      <w:r>
        <w:rPr>
          <w:rFonts w:ascii="Times New Roman" w:cs="Times New Roman" w:eastAsia="宋体" w:hAnsi="Times New Roman"/>
          <w:color w:val="000000"/>
          <w:sz w:val="21"/>
          <w:szCs w:val="21"/>
        </w:rPr>
        <w:t xml:space="preserve">肥料效应方程分别按三元二次方程、一元二次方程和线性加平台模型拟合</w:t>
      </w:r>
      <w:r>
        <w:rPr>
          <w:rFonts w:ascii="Times New Roman" w:cs="Times New Roman" w:eastAsia="宋体" w:hAnsi="Times New Roman"/>
          <w:color w:val="000000"/>
          <w:sz w:val="21"/>
          <w:szCs w:val="21"/>
          <w:vertAlign w:val="superscript"/>
        </w:rPr>
        <w:t xml:space="preserve">[7,19-20]</w:t>
      </w:r>
      <w:r>
        <w:rPr>
          <w:rFonts w:ascii="Times New Roman" w:cs="Times New Roman" w:eastAsia="宋体" w:hAnsi="Times New Roman"/>
          <w:color w:val="000000"/>
          <w:sz w:val="21"/>
          <w:szCs w:val="21"/>
        </w:rPr>
        <w:t xml:space="preserve">，其中一元二次方程分别以处理2、3、6、11（氮）、处理4、5、6、7（磷）和处理8、9、6、10（钾）的产量拟合；最高产量施肥量由方程一阶偏导数为0求得。因本试验三元二次方程未通过典型性检验、磷钾方程极值点远超试验设计范围，最佳经济施肥量改用相邻施肥水平间的边际分析（边际产值与边际肥料成本之比）评价</w:t>
      </w:r>
      <w:r>
        <w:rPr>
          <w:rFonts w:ascii="Times New Roman" w:cs="Times New Roman" w:eastAsia="宋体" w:hAnsi="Times New Roman"/>
          <w:color w:val="000000"/>
          <w:sz w:val="21"/>
          <w:szCs w:val="21"/>
          <w:vertAlign w:val="superscript"/>
        </w:rPr>
        <w:t xml:space="preserve">[8]</w:t>
      </w:r>
      <w:r>
        <w:rPr>
          <w:rFonts w:ascii="Times New Roman" w:cs="Times New Roman" w:eastAsia="宋体" w:hAnsi="Times New Roman"/>
          <w:color w:val="000000"/>
          <w:sz w:val="21"/>
          <w:szCs w:val="21"/>
        </w:rPr>
        <w:t xml:space="preserve">。</w:t>
      </w:r>
    </w:p>
    <w:p>
      <w:pPr>
        <w:spacing w:after="0" w:before="0" w:line="360" w:lineRule="auto"/>
        <w:ind w:firstLine="420"/>
        <w:jc w:val="both"/>
      </w:pPr>
      <w:r>
        <w:rPr>
          <w:rFonts w:ascii="Times New Roman" w:cs="Times New Roman" w:eastAsia="宋体" w:hAnsi="Times New Roman"/>
          <w:color w:val="000000"/>
          <w:sz w:val="21"/>
          <w:szCs w:val="21"/>
        </w:rPr>
        <w:t xml:space="preserve">经济效益分析中，肥料价格按试验当年当地市场价计：尿素2.10元/kg、颗粒过磷酸钙0.80元/kg、氯化钾3.20元/kg，折合纯N 4.54元/kg、P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6.67元/kg、K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5.33元/kg；稻谷价格按2025年国家中晚籼稻最低收购价（129元/50 kg）折合2.58元/kg计。产值=产量×稻谷价格；扣除肥料成本后收益=产值−肥料成本；增产值=（施肥处理产量−无肥区产量）×稻谷价格；增收=增产值−肥料成本；产投比=增产值/肥料成本。因各处理除肥料外的投入完全相同，本文仅以肥料成本作为差异性成本，所得收益值仅用于处理间比较，不代表水稻生产的实际纯收益。</w:t>
      </w:r>
    </w:p>
    <w:p>
      <w:pPr>
        <w:spacing w:after="0" w:before="0" w:line="360" w:lineRule="auto"/>
        <w:ind w:firstLine="420"/>
        <w:jc w:val="both"/>
      </w:pPr>
      <w:r>
        <w:rPr>
          <w:rFonts w:ascii="Times New Roman" w:cs="Times New Roman" w:eastAsia="宋体" w:hAnsi="Times New Roman"/>
          <w:color w:val="000000"/>
          <w:sz w:val="21"/>
          <w:szCs w:val="21"/>
        </w:rPr>
        <w:t xml:space="preserve">本试验不设重复，无法估计试验误差，故未进行方差分析和多重比较，处理间产量差异仅作趋势性描述；单因素效应方程以处理小区观测值为单位拟合，残差中不含独立的试验误差估计，所给</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F</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值仅用于比较模型拟合优劣，不作为肥效显著性的统计推断依据。全文除相关分析外，不使用“显著”等统计学推断术语。</w:t>
      </w:r>
    </w:p>
    <w:p>
      <w:pPr>
        <w:keepNext/>
        <w:spacing w:after="80" w:before="160" w:line="360" w:lineRule="auto"/>
        <w:ind/>
        <w:jc w:val="left"/>
      </w:pPr>
      <w:r>
        <w:rPr>
          <w:rFonts w:ascii="Times New Roman" w:cs="Times New Roman" w:eastAsia="黑体" w:hAnsi="Times New Roman"/>
          <w:b/>
          <w:bCs/>
          <w:color w:val="000000"/>
          <w:sz w:val="24"/>
          <w:szCs w:val="24"/>
        </w:rPr>
        <w:t xml:space="preserve">2　结果与分析</w:t>
      </w:r>
    </w:p>
    <w:p>
      <w:pPr>
        <w:keepNext/>
        <w:spacing w:after="40" w:before="100" w:line="360" w:lineRule="auto"/>
        <w:ind/>
        <w:jc w:val="left"/>
      </w:pPr>
      <w:r>
        <w:rPr>
          <w:rFonts w:ascii="Times New Roman" w:cs="Times New Roman" w:eastAsia="黑体" w:hAnsi="Times New Roman"/>
          <w:b/>
          <w:bCs/>
          <w:color w:val="000000"/>
          <w:sz w:val="21"/>
          <w:szCs w:val="21"/>
        </w:rPr>
        <w:t xml:space="preserve">2.1　不同施肥处理对水稻经济性状的影响</w:t>
      </w:r>
    </w:p>
    <w:p>
      <w:pPr>
        <w:spacing w:after="0" w:before="0" w:line="360" w:lineRule="auto"/>
        <w:ind w:firstLine="420"/>
        <w:jc w:val="both"/>
      </w:pPr>
      <w:r>
        <w:rPr>
          <w:rFonts w:ascii="Times New Roman" w:cs="Times New Roman" w:eastAsia="宋体" w:hAnsi="Times New Roman"/>
          <w:color w:val="000000"/>
          <w:sz w:val="21"/>
          <w:szCs w:val="21"/>
        </w:rPr>
        <w:t xml:space="preserve">由表2可知，各处理水稻株高为115.2～120.7 cm，穗长23.8～25.8 cm，有效穗数208.5万～286.5万穗/hm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，每穗总粒数187.5～208.9粒，每穗实粒数161.3～183.1粒，结实率80.5%～87.6%，千粒重23.1～23.8 g。无肥区（处理1）株高、穗长、有效穗数、每穗总粒数和每穗实粒数均为各处理最低，但其结实率（86.0%）和千粒重（23.2 g）处于中上水平，说明不施肥主要通过限制群体大小和穗粒数、而非籽粒灌浆充实度来降低产量。</w:t>
      </w:r>
    </w:p>
    <w:p>
      <w:pPr>
        <w:spacing w:after="0" w:before="0" w:line="360" w:lineRule="auto"/>
        <w:ind w:firstLine="420"/>
        <w:jc w:val="both"/>
      </w:pPr>
      <w:r>
        <w:rPr>
          <w:rFonts w:ascii="Times New Roman" w:cs="Times New Roman" w:eastAsia="宋体" w:hAnsi="Times New Roman"/>
          <w:color w:val="000000"/>
          <w:sz w:val="21"/>
          <w:szCs w:val="21"/>
        </w:rPr>
        <w:t xml:space="preserve">在磷、钾肥均为2水平的条件下，随施氮量由0增至405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，株高由116.1 cm增至120.7 cm，穗长由23.9 cm增至25.8 cm，有效穗数由210.0万穗/hm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增至286.5万穗/hm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，每穗总粒数由189.7粒增至202.5粒（N2水平后不再增加），表明增施氮肥能明显扩大群体、增加有效穗数，而对每穗总粒数的促进作用在N2水平即已达上限。但结实率由87.0%降至80.5%，千粒重在N2水平最高（23.5 g）、至N3水平降至23.1 g，其中处理11（N3）的结实率为各处理最低，说明施氮量超过270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后群体过大，结实率和千粒重随之下降。</w:t>
      </w:r>
    </w:p>
    <w:p>
      <w:pPr>
        <w:spacing w:after="0" w:before="0" w:line="360" w:lineRule="auto"/>
        <w:ind w:firstLine="420"/>
        <w:jc w:val="both"/>
      </w:pPr>
      <w:r>
        <w:rPr>
          <w:rFonts w:ascii="Times New Roman" w:cs="Times New Roman" w:eastAsia="宋体" w:hAnsi="Times New Roman"/>
          <w:color w:val="000000"/>
          <w:sz w:val="21"/>
          <w:szCs w:val="21"/>
        </w:rPr>
        <w:t xml:space="preserve">在氮、钾肥均为2水平的条件下，随施磷量由0增至270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，有效穗数由244.5万穗/hm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增至273.0万穗/hm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，每穗实粒数由164.6粒增至176.7粒，千粒重由23.1 g增至23.6 g，均呈增加趋势；在氮、磷肥均为2水平的条件下，随施钾量由0增至337.5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，结实率由84.2%提高到87.6%，千粒重由23.1 g增至23.8 g，说明增施钾肥有利于提高结实率和千粒重。相关分析以14个处理的观测值为单位（</w:t>
      </w:r>
      <w:r>
        <w:rPr>
          <w:rFonts w:ascii="Times New Roman" w:cs="Times New Roman" w:eastAsia="宋体" w:hAnsi="Times New Roman"/>
          <w:i/>
          <w:iCs/>
          <w:color w:val="000000"/>
          <w:sz w:val="21"/>
          <w:szCs w:val="21"/>
        </w:rPr>
        <w:t xml:space="preserve">n</w:t>
      </w:r>
      <w:r>
        <w:rPr>
          <w:rFonts w:ascii="Times New Roman" w:cs="Times New Roman" w:eastAsia="宋体" w:hAnsi="Times New Roman"/>
          <w:color w:val="000000"/>
          <w:sz w:val="21"/>
          <w:szCs w:val="21"/>
        </w:rPr>
        <w:t xml:space="preserve">=14，</w:t>
      </w:r>
      <w:r>
        <w:rPr>
          <w:rFonts w:ascii="Times New Roman" w:cs="Times New Roman" w:eastAsia="宋体" w:hAnsi="Times New Roman"/>
          <w:i/>
          <w:iCs/>
          <w:color w:val="000000"/>
          <w:sz w:val="21"/>
          <w:szCs w:val="21"/>
        </w:rPr>
        <w:t xml:space="preserve">df</w:t>
      </w:r>
      <w:r>
        <w:rPr>
          <w:rFonts w:ascii="Times New Roman" w:cs="Times New Roman" w:eastAsia="宋体" w:hAnsi="Times New Roman"/>
          <w:color w:val="000000"/>
          <w:sz w:val="21"/>
          <w:szCs w:val="21"/>
        </w:rPr>
        <w:t xml:space="preserve">=12，</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bscript"/>
        </w:rPr>
        <w:t xml:space="preserve">0.05</w:t>
      </w:r>
      <w:r>
        <w:rPr>
          <w:rFonts w:ascii="Times New Roman" w:cs="Times New Roman" w:eastAsia="宋体" w:hAnsi="Times New Roman"/>
          <w:color w:val="000000"/>
          <w:sz w:val="21"/>
          <w:szCs w:val="21"/>
        </w:rPr>
        <w:t xml:space="preserve">=0.532，</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bscript"/>
        </w:rPr>
        <w:t xml:space="preserve">0.01</w:t>
      </w:r>
      <w:r>
        <w:rPr>
          <w:rFonts w:ascii="Times New Roman" w:cs="Times New Roman" w:eastAsia="宋体" w:hAnsi="Times New Roman"/>
          <w:color w:val="000000"/>
          <w:sz w:val="21"/>
          <w:szCs w:val="21"/>
        </w:rPr>
        <w:t xml:space="preserve">=0.661），产量与每穗总粒数（</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=0.979）、有效穗数（</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=0.936）、穗长（</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=0.807）、株高（</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=0.801）和每穗实粒数（</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=0.748）均呈极显著正相关（</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&lt;0.01），与千粒重呈正相关但未达显著水平（</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=0.517，</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=0.058），与结实率相关不显著（</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=−0.126）。上述相关系数系基于处理观测值计算，且各产量构成因素与产量在数量上互为乘积关系，因而只能说明本试验中产量的提高主要伴随有效穗数和每穗总粒数的增加，不能据此判定因果关系或因素主次。</w:t>
      </w:r>
    </w:p>
    <w:p>
      <w:pPr>
        <w:keepNext/>
        <w:spacing w:after="60" w:before="120" w:line="240" w:lineRule="auto"/>
        <w:ind/>
        <w:jc w:val="center"/>
      </w:pPr>
      <w:r>
        <w:rPr>
          <w:rFonts w:ascii="Times New Roman" w:cs="Times New Roman" w:eastAsia="黑体" w:hAnsi="Times New Roman"/>
          <w:color w:val="000000"/>
          <w:sz w:val="18"/>
          <w:szCs w:val="18"/>
        </w:rPr>
        <w:t xml:space="preserve">表2　不同施肥处理水稻主要经济性状</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773"/>
        <w:gridCol w:w="967"/>
        <w:gridCol w:w="967"/>
        <w:gridCol w:w="1353"/>
        <w:gridCol w:w="1257"/>
        <w:gridCol w:w="1257"/>
        <w:gridCol w:w="967"/>
        <w:gridCol w:w="967"/>
      </w:tblGrid>
      <w:tr>
        <w:trPr>
          <w:cantSplit/>
          <w:tblHeader/>
        </w:trPr>
        <w:tc>
          <w:tcPr>
            <w:tcW w:type="dxa" w:w="773"/>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w:t>
            </w:r>
          </w:p>
        </w:tc>
        <w:tc>
          <w:tcPr>
            <w:tcW w:type="dxa" w:w="96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株高/cm</w:t>
            </w:r>
          </w:p>
        </w:tc>
        <w:tc>
          <w:tcPr>
            <w:tcW w:type="dxa" w:w="96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穗长/cm</w:t>
            </w:r>
          </w:p>
        </w:tc>
        <w:tc>
          <w:tcPr>
            <w:tcW w:type="dxa" w:w="1353"/>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有效穗数/(万穗/hm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25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每穗总粒数/粒</w:t>
            </w:r>
          </w:p>
        </w:tc>
        <w:tc>
          <w:tcPr>
            <w:tcW w:type="dxa" w:w="125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每穗实粒数/粒</w:t>
            </w:r>
          </w:p>
        </w:tc>
        <w:tc>
          <w:tcPr>
            <w:tcW w:type="dxa" w:w="96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结实率/%</w:t>
            </w:r>
          </w:p>
        </w:tc>
        <w:tc>
          <w:tcPr>
            <w:tcW w:type="dxa" w:w="96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千粒重/g</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115.2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23.8</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208.5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187.5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161.3</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86.0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23.2</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116.1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23.9</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210.0</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189.7</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165.1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23.3</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24.1</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229.5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192.1</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167.5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23.3</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24.2</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244.5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194.6</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164.6</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84.6</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23.1</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118.6</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24.3</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253.5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195.9</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167.1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85.3</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23.4</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118.9</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24.7</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264.0</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202.5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175.2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86.5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23.5</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118.9</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24.8</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273.0</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203.8</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176.7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86.7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23.6</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118.9</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24.5</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271.5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196.1</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165.1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84.2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23.1</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119.0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24.6</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271.5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201.3</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172.5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85.7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23.3</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119.2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25.1</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276.0</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208.9</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183.1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87.6</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23.8</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120.7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25.8</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286.5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202.5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163.0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80.5</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23.1</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24.2</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238.5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194.4</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169.1</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87.0</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23.4</w:t>
            </w:r>
          </w:p>
        </w:tc>
      </w:tr>
      <w:tr>
        <w:trPr>
          <w:cantSplit/>
          <w:tblHeader w:val="false"/>
        </w:trPr>
        <w:tc>
          <w:tcPr>
            <w:tcW w:type="dxa" w:w="7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118.8</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24.4</w:t>
            </w:r>
          </w:p>
        </w:tc>
        <w:tc>
          <w:tcPr>
            <w:tcW w:type="dxa" w:w="135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241.5</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196.8</w:t>
            </w:r>
          </w:p>
        </w:tc>
        <w:tc>
          <w:tcPr>
            <w:tcW w:type="dxa" w:w="12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171.7</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87.2</w:t>
            </w:r>
          </w:p>
        </w:tc>
        <w:tc>
          <w:tcPr>
            <w:tcW w:type="dxa" w:w="96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23.5</w:t>
            </w:r>
          </w:p>
        </w:tc>
      </w:tr>
      <w:tr>
        <w:trPr>
          <w:cantSplit/>
          <w:tblHeader w:val="false"/>
        </w:trPr>
        <w:tc>
          <w:tcPr>
            <w:tcW w:type="dxa" w:w="773"/>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14</w:t>
            </w:r>
          </w:p>
        </w:tc>
        <w:tc>
          <w:tcPr>
            <w:tcW w:type="dxa" w:w="96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118.6</w:t>
            </w:r>
          </w:p>
        </w:tc>
        <w:tc>
          <w:tcPr>
            <w:tcW w:type="dxa" w:w="96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24.3</w:t>
            </w:r>
          </w:p>
        </w:tc>
        <w:tc>
          <w:tcPr>
            <w:tcW w:type="dxa" w:w="1353"/>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252.0</w:t>
            </w:r>
          </w:p>
        </w:tc>
        <w:tc>
          <w:tcPr>
            <w:tcW w:type="dxa" w:w="125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195.3</w:t>
            </w:r>
          </w:p>
        </w:tc>
        <w:tc>
          <w:tcPr>
            <w:tcW w:type="dxa" w:w="125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166.0</w:t>
            </w:r>
          </w:p>
        </w:tc>
        <w:tc>
          <w:tcPr>
            <w:tcW w:type="dxa" w:w="96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85.0</w:t>
            </w:r>
          </w:p>
        </w:tc>
        <w:tc>
          <w:tcPr>
            <w:tcW w:type="dxa" w:w="96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23.3</w:t>
            </w:r>
          </w:p>
        </w:tc>
      </w:tr>
    </w:tbl>
    <w:p>
      <w:pPr>
        <w:spacing w:after="100" w:before="0" w:line="240" w:lineRule="auto"/>
        <w:ind/>
        <w:jc w:val="both"/>
      </w:pPr>
    </w:p>
    <w:p>
      <w:pPr>
        <w:keepNext/>
        <w:spacing w:after="40" w:before="100" w:line="360" w:lineRule="auto"/>
        <w:ind/>
        <w:jc w:val="left"/>
      </w:pPr>
      <w:r>
        <w:rPr>
          <w:rFonts w:ascii="Times New Roman" w:cs="Times New Roman" w:eastAsia="黑体" w:hAnsi="Times New Roman"/>
          <w:b/>
          <w:bCs/>
          <w:color w:val="000000"/>
          <w:sz w:val="21"/>
          <w:szCs w:val="21"/>
        </w:rPr>
        <w:t xml:space="preserve">2.2　不同施肥处理对水稻产量的影响</w:t>
      </w:r>
    </w:p>
    <w:p>
      <w:pPr>
        <w:spacing w:after="0" w:before="0" w:line="360" w:lineRule="auto"/>
        <w:ind w:firstLine="420"/>
        <w:jc w:val="both"/>
      </w:pPr>
      <w:r>
        <w:rPr>
          <w:rFonts w:ascii="Times New Roman" w:cs="Times New Roman" w:eastAsia="宋体" w:hAnsi="Times New Roman"/>
          <w:color w:val="000000"/>
          <w:sz w:val="21"/>
          <w:szCs w:val="21"/>
        </w:rPr>
        <w:t xml:space="preserve">由表3可知，各处理产量为6600.0～10200.0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，以处理10（N</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3</w:t>
      </w:r>
      <w:r>
        <w:rPr>
          <w:rFonts w:ascii="Times New Roman" w:cs="Times New Roman" w:eastAsia="宋体" w:hAnsi="Times New Roman"/>
          <w:color w:val="000000"/>
          <w:sz w:val="21"/>
          <w:szCs w:val="21"/>
        </w:rPr>
        <w:t xml:space="preserve">）最高，达10200.0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，较无肥区（处理1）增产3600.0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，增产率54.5%；其次为处理7（N</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3</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）、处理9（N</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1</w:t>
      </w:r>
      <w:r>
        <w:rPr>
          <w:rFonts w:ascii="Times New Roman" w:cs="Times New Roman" w:eastAsia="宋体" w:hAnsi="Times New Roman"/>
          <w:color w:val="000000"/>
          <w:sz w:val="21"/>
          <w:szCs w:val="21"/>
        </w:rPr>
        <w:t xml:space="preserve">）和处理6（N</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），分别较无肥区增产46.0%、40.4%和39.4%；无肥区产量最低。缺氮区（处理2）产量仅6833.3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，较无肥区仅增产3.5%，远低于缺磷区（处理4，增产19.2%）和缺钾区（处理8，增产32.3%），说明氮素是限制该试验田水稻产量的首要因子，磷次之，钾的限制作用相对较小。需要指出的是，小区实收误差0.1 kg即相当于33.3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，在不设重复的条件下，处理间产量差异较小时不宜据以判定优劣。</w:t>
      </w:r>
    </w:p>
    <w:p>
      <w:pPr>
        <w:spacing w:after="0" w:before="0" w:line="360" w:lineRule="auto"/>
        <w:ind w:firstLine="420"/>
        <w:jc w:val="both"/>
      </w:pPr>
      <w:r>
        <w:rPr>
          <w:rFonts w:ascii="Times New Roman" w:cs="Times New Roman" w:eastAsia="宋体" w:hAnsi="Times New Roman"/>
          <w:color w:val="000000"/>
          <w:sz w:val="21"/>
          <w:szCs w:val="21"/>
        </w:rPr>
        <w:t xml:space="preserve">在磷、钾肥均为2水平的条件下，N0、N1、N2、N3处理的产量分别为6833.3、7600.0、9200.0和9166.7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，N2较N1增产21.1%，而N3较N2减产0.4%，表明施氮量达到270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后产量趋于平台，继续增施氮肥不再增产。在氮、钾肥均为2水平的条件下，P0～P3处理的产量分别为7866.7、8366.7、9200.0和9633.3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，随施磷量增加而持续增加，P3较P2增产4.7%。在氮、磷肥均为2水平的条件下，K0～K3处理的产量分别为8733.3、9266.7、9200.0和10200.0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，总体呈上升趋势，K3较K2增产10.9%，但K1与K2产量接近且序列内部非单调，可能与试验未设重复、存在田间误差有关。</w:t>
      </w:r>
    </w:p>
    <w:p>
      <w:pPr>
        <w:keepNext/>
        <w:spacing w:after="60" w:before="120" w:line="240" w:lineRule="auto"/>
        <w:ind/>
        <w:jc w:val="center"/>
      </w:pPr>
      <w:r>
        <w:rPr>
          <w:rFonts w:ascii="Times New Roman" w:cs="Times New Roman" w:eastAsia="黑体" w:hAnsi="Times New Roman"/>
          <w:color w:val="000000"/>
          <w:sz w:val="18"/>
          <w:szCs w:val="18"/>
        </w:rPr>
        <w:t xml:space="preserve">表3　不同施肥处理水稻产量</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884"/>
        <w:gridCol w:w="1215"/>
        <w:gridCol w:w="1215"/>
        <w:gridCol w:w="1547"/>
        <w:gridCol w:w="1657"/>
        <w:gridCol w:w="1105"/>
        <w:gridCol w:w="884"/>
      </w:tblGrid>
      <w:tr>
        <w:trPr>
          <w:cantSplit/>
          <w:tblHeader/>
        </w:trPr>
        <w:tc>
          <w:tcPr>
            <w:tcW w:type="dxa" w:w="884"/>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w:t>
            </w:r>
          </w:p>
        </w:tc>
        <w:tc>
          <w:tcPr>
            <w:tcW w:type="dxa" w:w="1215"/>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施肥组合</w:t>
            </w:r>
          </w:p>
        </w:tc>
        <w:tc>
          <w:tcPr>
            <w:tcW w:type="dxa" w:w="1215"/>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小区产量/kg</w:t>
            </w:r>
          </w:p>
        </w:tc>
        <w:tc>
          <w:tcPr>
            <w:tcW w:type="dxa" w:w="15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折合产量/(kg/hm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65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比CK增产/(kg/hm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05"/>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增产率/%</w:t>
            </w:r>
          </w:p>
        </w:tc>
        <w:tc>
          <w:tcPr>
            <w:tcW w:type="dxa" w:w="884"/>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位次</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19.8</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6600.0</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14</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20.5</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6833.3</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233.3</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3.5</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22.8</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7600.0</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1000.0</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15.2</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23.6</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7866.7</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1266.7</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19.2</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25.1</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8366.7</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1766.7</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26.8</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27.6</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9200.0</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2600.0</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39.4</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3</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28.9</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9633.3</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3033.3</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46.0</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26.2</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8733.3</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2133.3</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32.3</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27.8</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9266.7</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2666.7</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40.4</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3</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30.6</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10200.0</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3600.0</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54.5</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3</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27.5</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9166.7</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2566.7</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38.9</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23.9</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7966.7</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1366.7</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20.7</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w:t>
            </w:r>
          </w:p>
        </w:tc>
      </w:tr>
      <w:tr>
        <w:trPr>
          <w:cantSplit/>
          <w:tblHeader w:val="false"/>
        </w:trPr>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121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24.7</w:t>
            </w:r>
          </w:p>
        </w:tc>
        <w:tc>
          <w:tcPr>
            <w:tcW w:type="dxa" w:w="15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8233.3</w:t>
            </w:r>
          </w:p>
        </w:tc>
        <w:tc>
          <w:tcPr>
            <w:tcW w:type="dxa" w:w="16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1633.3</w:t>
            </w:r>
          </w:p>
        </w:tc>
        <w:tc>
          <w:tcPr>
            <w:tcW w:type="dxa" w:w="110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24.7</w:t>
            </w:r>
          </w:p>
        </w:tc>
        <w:tc>
          <w:tcPr>
            <w:tcW w:type="dxa" w:w="88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w:t>
            </w:r>
          </w:p>
        </w:tc>
      </w:tr>
      <w:tr>
        <w:trPr>
          <w:cantSplit/>
          <w:tblHeader w:val="false"/>
        </w:trPr>
        <w:tc>
          <w:tcPr>
            <w:tcW w:type="dxa" w:w="884"/>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14</w:t>
            </w:r>
          </w:p>
        </w:tc>
        <w:tc>
          <w:tcPr>
            <w:tcW w:type="dxa" w:w="121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1</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1</w:t>
            </w:r>
          </w:p>
        </w:tc>
        <w:tc>
          <w:tcPr>
            <w:tcW w:type="dxa" w:w="121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24.8</w:t>
            </w:r>
          </w:p>
        </w:tc>
        <w:tc>
          <w:tcPr>
            <w:tcW w:type="dxa" w:w="15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8266.7</w:t>
            </w:r>
          </w:p>
        </w:tc>
        <w:tc>
          <w:tcPr>
            <w:tcW w:type="dxa" w:w="165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1666.7</w:t>
            </w:r>
          </w:p>
        </w:tc>
        <w:tc>
          <w:tcPr>
            <w:tcW w:type="dxa" w:w="110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25.3</w:t>
            </w:r>
          </w:p>
        </w:tc>
        <w:tc>
          <w:tcPr>
            <w:tcW w:type="dxa" w:w="884"/>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8</w:t>
            </w:r>
          </w:p>
        </w:tc>
      </w:tr>
    </w:tbl>
    <w:p>
      <w:pPr>
        <w:spacing w:after="160" w:before="40" w:line="240" w:lineRule="auto"/>
        <w:ind/>
        <w:jc w:val="left"/>
      </w:pPr>
      <w:r>
        <w:rPr>
          <w:rFonts w:ascii="Times New Roman" w:cs="Times New Roman" w:eastAsia="宋体" w:hAnsi="Times New Roman"/>
          <w:color w:val="000000"/>
          <w:sz w:val="18"/>
          <w:szCs w:val="18"/>
        </w:rPr>
        <w:t xml:space="preserve">注：小区面积30 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，折合产量=小区产量×10000/30；CK为处理1（无肥区）。</w:t>
      </w:r>
    </w:p>
    <w:p>
      <w:pPr>
        <w:keepNext/>
        <w:spacing w:after="40" w:before="100" w:line="360" w:lineRule="auto"/>
        <w:ind/>
        <w:jc w:val="left"/>
      </w:pPr>
      <w:r>
        <w:rPr>
          <w:rFonts w:ascii="Times New Roman" w:cs="Times New Roman" w:eastAsia="黑体" w:hAnsi="Times New Roman"/>
          <w:b/>
          <w:bCs/>
          <w:color w:val="000000"/>
          <w:sz w:val="21"/>
          <w:szCs w:val="21"/>
        </w:rPr>
        <w:t xml:space="preserve">2.3　土壤供肥能力与肥料贡献率</w:t>
      </w:r>
    </w:p>
    <w:p>
      <w:pPr>
        <w:spacing w:after="0" w:before="0" w:line="360" w:lineRule="auto"/>
        <w:ind w:firstLine="420"/>
        <w:jc w:val="both"/>
      </w:pPr>
      <w:r>
        <w:rPr>
          <w:rFonts w:ascii="Times New Roman" w:cs="Times New Roman" w:eastAsia="宋体" w:hAnsi="Times New Roman"/>
          <w:color w:val="000000"/>
          <w:sz w:val="21"/>
          <w:szCs w:val="21"/>
        </w:rPr>
        <w:t xml:space="preserve">由表4可知，无肥区相对产量为71.7%，即土壤基础地力对产量的贡献率为71.7%，全肥区较无肥区增产39.4%。缺氮区、缺磷区和缺钾区的相对产量分别为74.3%、85.5%和94.9%，按照相对产量划分标准，试验田土壤供氮能力属“低”水平，供磷、供钾能力属“中”水平，其中供钾能力已接近“高”水平。氮、磷、钾肥的贡献率分别为25.7%、14.5%和5.1%，农学效率分别为8.77、7.41和2.07 kg/kg，肥料增产效应表现为N&gt;P&gt;K，与缺素区产量分析的结果一致</w:t>
      </w:r>
      <w:r>
        <w:rPr>
          <w:rFonts w:ascii="Times New Roman" w:cs="Times New Roman" w:eastAsia="宋体" w:hAnsi="Times New Roman"/>
          <w:color w:val="000000"/>
          <w:sz w:val="21"/>
          <w:szCs w:val="21"/>
          <w:vertAlign w:val="superscript"/>
        </w:rPr>
        <w:t xml:space="preserve">[21]</w:t>
      </w:r>
      <w:r>
        <w:rPr>
          <w:rFonts w:ascii="Times New Roman" w:cs="Times New Roman" w:eastAsia="宋体" w:hAnsi="Times New Roman"/>
          <w:color w:val="000000"/>
          <w:sz w:val="21"/>
          <w:szCs w:val="21"/>
        </w:rPr>
        <w:t xml:space="preserve">。</w:t>
      </w:r>
    </w:p>
    <w:p>
      <w:pPr>
        <w:spacing w:after="0" w:before="0" w:line="360" w:lineRule="auto"/>
        <w:ind w:firstLine="420"/>
        <w:jc w:val="both"/>
      </w:pPr>
      <w:r>
        <w:rPr>
          <w:rFonts w:ascii="Times New Roman" w:cs="Times New Roman" w:eastAsia="宋体" w:hAnsi="Times New Roman"/>
          <w:color w:val="000000"/>
          <w:sz w:val="21"/>
          <w:szCs w:val="21"/>
        </w:rPr>
        <w:t xml:space="preserve">需要说明的是，缺氮区相对产量（74.3%）紧邻“低”与“中”的分级临界值（75%），相当于小区实收相差0.2 kg即可改变等级判定；相对产量还对全肥区基数的选择较敏感（若以本试验产量最高的处理10为基数，三者分别为67.0%、77.1%和85.6%）。故上述丰缺等级为初步判定，尚需结合土壤测试值和多点试验加以验证。</w:t>
      </w:r>
    </w:p>
    <w:p>
      <w:pPr>
        <w:keepNext/>
        <w:spacing w:after="60" w:before="120" w:line="240" w:lineRule="auto"/>
        <w:ind/>
        <w:jc w:val="center"/>
      </w:pPr>
      <w:r>
        <w:rPr>
          <w:rFonts w:ascii="Times New Roman" w:cs="Times New Roman" w:eastAsia="黑体" w:hAnsi="Times New Roman"/>
          <w:color w:val="000000"/>
          <w:sz w:val="18"/>
          <w:szCs w:val="18"/>
        </w:rPr>
        <w:t xml:space="preserve">表4　缺素区相对产量、土壤供肥能力与肥料贡献率</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573"/>
        <w:gridCol w:w="1816"/>
        <w:gridCol w:w="1242"/>
        <w:gridCol w:w="1051"/>
        <w:gridCol w:w="1147"/>
        <w:gridCol w:w="1338"/>
        <w:gridCol w:w="1338"/>
      </w:tblGrid>
      <w:tr>
        <w:trPr>
          <w:cantSplit/>
          <w:tblHeader/>
        </w:trPr>
        <w:tc>
          <w:tcPr>
            <w:tcW w:type="dxa" w:w="573"/>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w:t>
            </w:r>
          </w:p>
        </w:tc>
        <w:tc>
          <w:tcPr>
            <w:tcW w:type="dxa" w:w="1816"/>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类型</w:t>
            </w:r>
          </w:p>
        </w:tc>
        <w:tc>
          <w:tcPr>
            <w:tcW w:type="dxa" w:w="1242"/>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051"/>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相对产量/%</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养分丰缺等级</w:t>
            </w:r>
          </w:p>
        </w:tc>
        <w:tc>
          <w:tcPr>
            <w:tcW w:type="dxa" w:w="1338"/>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肥料贡献率/%</w:t>
            </w:r>
          </w:p>
        </w:tc>
        <w:tc>
          <w:tcPr>
            <w:tcW w:type="dxa" w:w="1338"/>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农学效率/(kg/kg)</w:t>
            </w:r>
          </w:p>
        </w:tc>
      </w:tr>
      <w:tr>
        <w:trPr>
          <w:cantSplit/>
          <w:tblHeader w:val="false"/>
        </w:trPr>
        <w:tc>
          <w:tcPr>
            <w:tcW w:type="dxa" w:w="5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8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无肥区（N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6600.0</w:t>
            </w:r>
          </w:p>
        </w:tc>
        <w:tc>
          <w:tcPr>
            <w:tcW w:type="dxa" w:w="1051"/>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71.7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r>
      <w:tr>
        <w:trPr>
          <w:cantSplit/>
          <w:tblHeader w:val="false"/>
        </w:trPr>
        <w:tc>
          <w:tcPr>
            <w:tcW w:type="dxa" w:w="5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8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缺氮区（N</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6833.3</w:t>
            </w:r>
          </w:p>
        </w:tc>
        <w:tc>
          <w:tcPr>
            <w:tcW w:type="dxa" w:w="1051"/>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74.3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低</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25.7</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8.77</w:t>
            </w:r>
          </w:p>
        </w:tc>
      </w:tr>
      <w:tr>
        <w:trPr>
          <w:cantSplit/>
          <w:tblHeader w:val="false"/>
        </w:trPr>
        <w:tc>
          <w:tcPr>
            <w:tcW w:type="dxa" w:w="5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c>
          <w:tcPr>
            <w:tcW w:type="dxa" w:w="18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缺磷区（N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7866.7</w:t>
            </w:r>
          </w:p>
        </w:tc>
        <w:tc>
          <w:tcPr>
            <w:tcW w:type="dxa" w:w="1051"/>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85.5</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中</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14.5</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7.41</w:t>
            </w:r>
          </w:p>
        </w:tc>
      </w:tr>
      <w:tr>
        <w:trPr>
          <w:cantSplit/>
          <w:tblHeader w:val="false"/>
        </w:trPr>
        <w:tc>
          <w:tcPr>
            <w:tcW w:type="dxa" w:w="573"/>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w:t>
            </w:r>
          </w:p>
        </w:tc>
        <w:tc>
          <w:tcPr>
            <w:tcW w:type="dxa" w:w="18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缺钾区（N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0</w:t>
            </w:r>
            <w:r>
              <w:rPr>
                <w:rFonts w:ascii="Times New Roman" w:cs="Times New Roman" w:eastAsia="宋体" w:hAnsi="Times New Roman"/>
                <w:color w:val="000000"/>
                <w:sz w:val="18"/>
                <w:szCs w:val="18"/>
              </w:rPr>
              <w:t xml:space="preserve">）</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8733.3</w:t>
            </w:r>
          </w:p>
        </w:tc>
        <w:tc>
          <w:tcPr>
            <w:tcW w:type="dxa" w:w="1051"/>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94.9</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中</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5.1</w:t>
            </w:r>
          </w:p>
        </w:tc>
        <w:tc>
          <w:tcPr>
            <w:tcW w:type="dxa" w:w="13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2.07</w:t>
            </w:r>
          </w:p>
        </w:tc>
      </w:tr>
      <w:tr>
        <w:trPr>
          <w:cantSplit/>
          <w:tblHeader w:val="false"/>
        </w:trPr>
        <w:tc>
          <w:tcPr>
            <w:tcW w:type="dxa" w:w="573"/>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6</w:t>
            </w:r>
          </w:p>
        </w:tc>
        <w:tc>
          <w:tcPr>
            <w:tcW w:type="dxa" w:w="1816"/>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全肥区（N</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w:t>
            </w:r>
          </w:p>
        </w:tc>
        <w:tc>
          <w:tcPr>
            <w:tcW w:type="dxa" w:w="1242"/>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9200.0</w:t>
            </w:r>
          </w:p>
        </w:tc>
        <w:tc>
          <w:tcPr>
            <w:tcW w:type="dxa" w:w="1051"/>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100.0</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338"/>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338"/>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r>
    </w:tbl>
    <w:p>
      <w:pPr>
        <w:spacing w:after="160" w:before="40" w:line="240" w:lineRule="auto"/>
        <w:ind/>
        <w:jc w:val="left"/>
      </w:pPr>
      <w:r>
        <w:rPr>
          <w:rFonts w:ascii="Times New Roman" w:cs="Times New Roman" w:eastAsia="宋体" w:hAnsi="Times New Roman"/>
          <w:color w:val="000000"/>
          <w:sz w:val="18"/>
          <w:szCs w:val="18"/>
        </w:rPr>
        <w:t xml:space="preserve">注：相对产量以全肥区（处理6）产量为100%；农学效率=（全肥区产量−缺素区产量）/该养分施用量。　氮磷钾肥综合贡献率为28.3%［=（全肥区产量−无肥区产量）/全肥区产量×100］。因各单养分贡献率系分别以相应缺素区计算，养分间存在交互作用，三者之和（45.3%）与综合贡献率含义不同，不可相加比较。</w:t>
      </w:r>
    </w:p>
    <w:p>
      <w:pPr>
        <w:keepNext/>
        <w:spacing w:after="40" w:before="100" w:line="360" w:lineRule="auto"/>
        <w:ind/>
        <w:jc w:val="left"/>
      </w:pPr>
      <w:r>
        <w:rPr>
          <w:rFonts w:ascii="Times New Roman" w:cs="Times New Roman" w:eastAsia="黑体" w:hAnsi="Times New Roman"/>
          <w:b/>
          <w:bCs/>
          <w:color w:val="000000"/>
          <w:sz w:val="21"/>
          <w:szCs w:val="21"/>
        </w:rPr>
        <w:t xml:space="preserve">2.4　肥料效应方程拟合与推荐施肥量</w:t>
      </w:r>
    </w:p>
    <w:p>
      <w:pPr>
        <w:keepNext/>
        <w:spacing w:after="20" w:before="60" w:line="360" w:lineRule="auto"/>
        <w:ind/>
        <w:jc w:val="left"/>
      </w:pPr>
      <w:r>
        <w:rPr>
          <w:rFonts w:ascii="Times New Roman" w:cs="Times New Roman" w:eastAsia="黑体" w:hAnsi="Times New Roman"/>
          <w:color w:val="000000"/>
          <w:sz w:val="21"/>
          <w:szCs w:val="21"/>
        </w:rPr>
        <w:t xml:space="preserve">2.4.1　三元二次肥料效应方程</w:t>
      </w:r>
    </w:p>
    <w:p>
      <w:pPr>
        <w:spacing w:after="0" w:before="0" w:line="360" w:lineRule="auto"/>
        <w:ind w:firstLine="420"/>
        <w:jc w:val="both"/>
      </w:pPr>
      <w:r>
        <w:rPr>
          <w:rFonts w:ascii="Times New Roman" w:cs="Times New Roman" w:eastAsia="宋体" w:hAnsi="Times New Roman"/>
          <w:color w:val="000000"/>
          <w:sz w:val="21"/>
          <w:szCs w:val="21"/>
        </w:rPr>
        <w:t xml:space="preserve">以N、P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O施用量（kg/hm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）为自变量、产量（kg/hm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）为因变量，拟合得到三元二次肥料效应方程：</w:t>
      </w:r>
    </w:p>
    <w:p>
      <w:pPr>
        <w:spacing w:after="40" w:before="40" w:line="360" w:lineRule="auto"/>
        <w:ind/>
        <w:jc w:val="center"/>
      </w:pP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=6624.85+8.4197</w:t>
      </w:r>
      <w:r>
        <w:rPr>
          <w:rFonts w:ascii="Times New Roman" w:cs="Times New Roman" w:eastAsia="宋体" w:hAnsi="Times New Roman"/>
          <w:i/>
          <w:iCs/>
          <w:color w:val="000000"/>
          <w:sz w:val="21"/>
          <w:szCs w:val="21"/>
        </w:rPr>
        <w:t xml:space="preserve">N</w:t>
      </w:r>
      <w:r>
        <w:rPr>
          <w:rFonts w:ascii="Times New Roman" w:cs="Times New Roman" w:eastAsia="宋体" w:hAnsi="Times New Roman"/>
          <w:color w:val="000000"/>
          <w:sz w:val="21"/>
          <w:szCs w:val="21"/>
        </w:rPr>
        <w:t xml:space="preserve">+5.1043</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−6.3947</w:t>
      </w:r>
      <w:r>
        <w:rPr>
          <w:rFonts w:ascii="Times New Roman" w:cs="Times New Roman" w:eastAsia="宋体" w:hAnsi="Times New Roman"/>
          <w:i/>
          <w:iCs/>
          <w:color w:val="000000"/>
          <w:sz w:val="21"/>
          <w:szCs w:val="21"/>
        </w:rPr>
        <w:t xml:space="preserve">K</w:t>
      </w:r>
      <w:r>
        <w:rPr>
          <w:rFonts w:ascii="Times New Roman" w:cs="Times New Roman" w:eastAsia="宋体" w:hAnsi="Times New Roman"/>
          <w:color w:val="000000"/>
          <w:sz w:val="21"/>
          <w:szCs w:val="21"/>
        </w:rPr>
        <w:t xml:space="preserve">−0.0198</w:t>
      </w:r>
      <w:r>
        <w:rPr>
          <w:rFonts w:ascii="Times New Roman" w:cs="Times New Roman" w:eastAsia="宋体" w:hAnsi="Times New Roman"/>
          <w:i/>
          <w:iCs/>
          <w:color w:val="000000"/>
          <w:sz w:val="21"/>
          <w:szCs w:val="21"/>
        </w:rPr>
        <w:t xml:space="preserve">N</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−0.0073</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+0.0188</w:t>
      </w:r>
      <w:r>
        <w:rPr>
          <w:rFonts w:ascii="Times New Roman" w:cs="Times New Roman" w:eastAsia="宋体" w:hAnsi="Times New Roman"/>
          <w:i/>
          <w:iCs/>
          <w:color w:val="000000"/>
          <w:sz w:val="21"/>
          <w:szCs w:val="21"/>
        </w:rPr>
        <w:t xml:space="preserve">K</w:t>
      </w:r>
      <w:r>
        <w:rPr>
          <w:rFonts w:ascii="Times New Roman" w:cs="Times New Roman" w:eastAsia="宋体" w:hAnsi="Times New Roman"/>
          <w:color w:val="000000"/>
          <w:sz w:val="21"/>
          <w:szCs w:val="21"/>
          <w:vertAlign w:val="superscript"/>
        </w:rPr>
        <w:t xml:space="preserve">2</w:t>
      </w:r>
    </w:p>
    <w:p>
      <w:pPr>
        <w:spacing w:after="40" w:before="40" w:line="360" w:lineRule="auto"/>
        <w:ind/>
        <w:jc w:val="center"/>
      </w:pPr>
      <w:r>
        <w:rPr>
          <w:rFonts w:ascii="Times New Roman" w:cs="Times New Roman" w:eastAsia="宋体" w:hAnsi="Times New Roman"/>
          <w:color w:val="000000"/>
          <w:sz w:val="21"/>
          <w:szCs w:val="21"/>
        </w:rPr>
        <w:t xml:space="preserve">+0.0163</w:t>
      </w:r>
      <w:r>
        <w:rPr>
          <w:rFonts w:ascii="Times New Roman" w:cs="Times New Roman" w:eastAsia="宋体" w:hAnsi="Times New Roman"/>
          <w:i/>
          <w:iCs/>
          <w:color w:val="000000"/>
          <w:sz w:val="21"/>
          <w:szCs w:val="21"/>
        </w:rPr>
        <w:t xml:space="preserve">NP</w:t>
      </w:r>
      <w:r>
        <w:rPr>
          <w:rFonts w:ascii="Times New Roman" w:cs="Times New Roman" w:eastAsia="宋体" w:hAnsi="Times New Roman"/>
          <w:color w:val="000000"/>
          <w:sz w:val="21"/>
          <w:szCs w:val="21"/>
        </w:rPr>
        <w:t xml:space="preserve">+0.0145</w:t>
      </w:r>
      <w:r>
        <w:rPr>
          <w:rFonts w:ascii="Times New Roman" w:cs="Times New Roman" w:eastAsia="宋体" w:hAnsi="Times New Roman"/>
          <w:i/>
          <w:iCs/>
          <w:color w:val="000000"/>
          <w:sz w:val="21"/>
          <w:szCs w:val="21"/>
        </w:rPr>
        <w:t xml:space="preserve">NK</w:t>
      </w:r>
      <w:r>
        <w:rPr>
          <w:rFonts w:ascii="Times New Roman" w:cs="Times New Roman" w:eastAsia="宋体" w:hAnsi="Times New Roman"/>
          <w:color w:val="000000"/>
          <w:sz w:val="21"/>
          <w:szCs w:val="21"/>
        </w:rPr>
        <w:t xml:space="preserve">−0.0041</w:t>
      </w:r>
      <w:r>
        <w:rPr>
          <w:rFonts w:ascii="Times New Roman" w:cs="Times New Roman" w:eastAsia="宋体" w:hAnsi="Times New Roman"/>
          <w:i/>
          <w:iCs/>
          <w:color w:val="000000"/>
          <w:sz w:val="21"/>
          <w:szCs w:val="21"/>
        </w:rPr>
        <w:t xml:space="preserve">PK</w:t>
      </w:r>
    </w:p>
    <w:p>
      <w:pPr>
        <w:spacing w:after="0" w:before="0" w:line="360" w:lineRule="auto"/>
        <w:ind w:firstLine="420"/>
        <w:jc w:val="both"/>
      </w:pPr>
      <w:r>
        <w:rPr>
          <w:rFonts w:ascii="Times New Roman" w:cs="Times New Roman" w:eastAsia="宋体" w:hAnsi="Times New Roman"/>
          <w:color w:val="000000"/>
          <w:sz w:val="21"/>
          <w:szCs w:val="21"/>
        </w:rPr>
        <w:t xml:space="preserve">该方程</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=0.9366、</w:t>
      </w:r>
      <w:r>
        <w:rPr>
          <w:rFonts w:ascii="Times New Roman" w:cs="Times New Roman" w:eastAsia="宋体" w:hAnsi="Times New Roman"/>
          <w:i/>
          <w:iCs/>
          <w:color w:val="000000"/>
          <w:sz w:val="21"/>
          <w:szCs w:val="21"/>
        </w:rPr>
        <w:t xml:space="preserve">F</w:t>
      </w:r>
      <w:r>
        <w:rPr>
          <w:rFonts w:ascii="Times New Roman" w:cs="Times New Roman" w:eastAsia="宋体" w:hAnsi="Times New Roman"/>
          <w:color w:val="000000"/>
          <w:sz w:val="21"/>
          <w:szCs w:val="21"/>
        </w:rPr>
        <w:t xml:space="preserve">=6.56（</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=0.043），但14个观测值需拟合10个参数，残差自由度仅为4，校正</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降至0.7939，拟合优度的表观偏高主要源于自由度不足。方程中K的一次项系数为负、二次项系数为正，不符合肥料效应报酬递减规律；方程的驻点为N 671.4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1087.2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29.4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，其中N、P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分别为试验最高用量的1.7倍和4.0倍，远超试验设计范围，K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O则远低于2水平用量，均无农艺学意义；且二阶偏导数矩阵的特征值一正二负（0.0402、−0.0067、−0.0502），驻点为鞍点而非极大值点。故该方程未通过典型性检验，不能直接用于推荐施肥量的计算</w:t>
      </w:r>
      <w:r>
        <w:rPr>
          <w:rFonts w:ascii="Times New Roman" w:cs="Times New Roman" w:eastAsia="宋体" w:hAnsi="Times New Roman"/>
          <w:color w:val="000000"/>
          <w:sz w:val="21"/>
          <w:szCs w:val="21"/>
          <w:vertAlign w:val="superscript"/>
        </w:rPr>
        <w:t xml:space="preserve">[7,19]</w:t>
      </w:r>
      <w:r>
        <w:rPr>
          <w:rFonts w:ascii="Times New Roman" w:cs="Times New Roman" w:eastAsia="宋体" w:hAnsi="Times New Roman"/>
          <w:color w:val="000000"/>
          <w:sz w:val="21"/>
          <w:szCs w:val="21"/>
        </w:rPr>
        <w:t xml:space="preserve">。在磷、钾肥效应出现拐点的试验中，三元二次方程可获得较好的拟合并据以推荐施肥</w:t>
      </w:r>
      <w:r>
        <w:rPr>
          <w:rFonts w:ascii="Times New Roman" w:cs="Times New Roman" w:eastAsia="宋体" w:hAnsi="Times New Roman"/>
          <w:color w:val="000000"/>
          <w:sz w:val="21"/>
          <w:szCs w:val="21"/>
          <w:vertAlign w:val="superscript"/>
        </w:rPr>
        <w:t xml:space="preserve">[22]</w:t>
      </w:r>
      <w:r>
        <w:rPr>
          <w:rFonts w:ascii="Times New Roman" w:cs="Times New Roman" w:eastAsia="宋体" w:hAnsi="Times New Roman"/>
          <w:color w:val="000000"/>
          <w:sz w:val="21"/>
          <w:szCs w:val="21"/>
        </w:rPr>
        <w:t xml:space="preserve">，本试验未能如此。方程未通过典型性检验，可能与磷、钾肥效应在试验设计范围内尚未出现拐点、以及试验未设重复、试验误差无法估计有关。</w:t>
      </w:r>
    </w:p>
    <w:p>
      <w:pPr>
        <w:keepNext/>
        <w:spacing w:after="20" w:before="60" w:line="360" w:lineRule="auto"/>
        <w:ind/>
        <w:jc w:val="left"/>
      </w:pPr>
      <w:r>
        <w:rPr>
          <w:rFonts w:ascii="Times New Roman" w:cs="Times New Roman" w:eastAsia="黑体" w:hAnsi="Times New Roman"/>
          <w:color w:val="000000"/>
          <w:sz w:val="21"/>
          <w:szCs w:val="21"/>
        </w:rPr>
        <w:t xml:space="preserve">2.4.2　单因素肥料效应方程</w:t>
      </w:r>
    </w:p>
    <w:p>
      <w:pPr>
        <w:spacing w:after="0" w:before="0" w:line="360" w:lineRule="auto"/>
        <w:ind w:firstLine="420"/>
        <w:jc w:val="both"/>
      </w:pPr>
      <w:r>
        <w:rPr>
          <w:rFonts w:ascii="Times New Roman" w:cs="Times New Roman" w:eastAsia="宋体" w:hAnsi="Times New Roman"/>
          <w:color w:val="000000"/>
          <w:sz w:val="21"/>
          <w:szCs w:val="21"/>
        </w:rPr>
        <w:t xml:space="preserve">分别拟合氮、磷、钾的一元二次效应方程（表5、图1）。因每个因素仅设4个施肥水平、拟合3个参数后残差自由度仅为1，各单因素回归方程均未达显著水平（N、P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O的</w:t>
      </w:r>
      <w:r>
        <w:rPr>
          <w:rFonts w:ascii="Times New Roman" w:cs="Times New Roman" w:eastAsia="宋体" w:hAnsi="Times New Roman"/>
          <w:i/>
          <w:iCs/>
          <w:color w:val="000000"/>
          <w:sz w:val="21"/>
          <w:szCs w:val="21"/>
        </w:rPr>
        <w:t xml:space="preserve">P</w:t>
      </w:r>
      <w:r>
        <w:rPr>
          <w:rFonts w:ascii="Times New Roman" w:cs="Times New Roman" w:eastAsia="宋体" w:hAnsi="Times New Roman"/>
          <w:color w:val="000000"/>
          <w:sz w:val="21"/>
          <w:szCs w:val="21"/>
        </w:rPr>
        <w:t xml:space="preserve">值分别为0.270、0.119和0.350），故效应方程只作趋势描述、不作统计推断。</w:t>
      </w:r>
    </w:p>
    <w:p>
      <w:pPr>
        <w:spacing w:after="0" w:before="0" w:line="360" w:lineRule="auto"/>
        <w:ind w:firstLine="420"/>
        <w:jc w:val="both"/>
      </w:pPr>
      <w:r>
        <w:rPr>
          <w:rFonts w:ascii="Times New Roman" w:cs="Times New Roman" w:eastAsia="宋体" w:hAnsi="Times New Roman"/>
          <w:color w:val="000000"/>
          <w:sz w:val="21"/>
          <w:szCs w:val="21"/>
        </w:rPr>
        <w:t xml:space="preserve">氮肥效应方程为</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=6710.00+10.8148</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−0.01097</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=0.9269），符合报酬递减规律，属典型方程。但由其计算的最高产量施氮量为492.7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，超出了试验设计范围，这是由于产量在N2与N3水平之间已趋于平台、而一元二次方程的曲率较小所致。改用线性加平台模型拟合，得</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=6694.4+8.766</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&lt;282.0）、</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=9166.5（</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≥282.0），残差平方和小于一元二次方程（</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分别为0.9722和0.9269）。该模型估计的拐点约为280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；因平台段仅有N3一个观测点，其置信区间在本数据条件下无法估计，但与处理间直接比较（N2与N3产量基本持平）的结果方向一致。</w:t>
      </w:r>
    </w:p>
    <w:p>
      <w:pPr>
        <w:spacing w:after="0" w:before="0" w:line="360" w:lineRule="auto"/>
        <w:ind w:firstLine="420"/>
        <w:jc w:val="both"/>
      </w:pPr>
      <w:r>
        <w:rPr>
          <w:rFonts w:ascii="Times New Roman" w:cs="Times New Roman" w:eastAsia="宋体" w:hAnsi="Times New Roman"/>
          <w:color w:val="000000"/>
          <w:sz w:val="21"/>
          <w:szCs w:val="21"/>
        </w:rPr>
        <w:t xml:space="preserve">磷肥效应方程为</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=7830.00+7.3704</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−0.00206</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=0.9859），二次项系数接近于0，产量在0～270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施磷范围内近似呈线性增加（</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=7846.7+6.815</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=0.9926）。由二次方程计算的最高产量施磷量（1791.0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）无实际意义，说明在试验范围内磷肥效应尚未达到拐点。钾肥效应方程为</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=8816.67+0.7407</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+0.00922</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=0.8773），二次项系数为正，属非典型方程；以线性方程拟合得</w:t>
      </w:r>
      <w:r>
        <w:rPr>
          <w:rFonts w:ascii="Times New Roman" w:cs="Times New Roman" w:eastAsia="宋体" w:hAnsi="Times New Roman"/>
          <w:i/>
          <w:iCs/>
          <w:color w:val="000000"/>
          <w:sz w:val="21"/>
          <w:szCs w:val="21"/>
        </w:rPr>
        <w:t xml:space="preserve">y</w:t>
      </w:r>
      <w:r>
        <w:rPr>
          <w:rFonts w:ascii="Times New Roman" w:cs="Times New Roman" w:eastAsia="宋体" w:hAnsi="Times New Roman"/>
          <w:color w:val="000000"/>
          <w:sz w:val="21"/>
          <w:szCs w:val="21"/>
        </w:rPr>
        <w:t xml:space="preserve">=8700.0+3.852</w:t>
      </w:r>
      <w:r>
        <w:rPr>
          <w:rFonts w:ascii="Times New Roman" w:cs="Times New Roman" w:eastAsia="宋体" w:hAnsi="Times New Roman"/>
          <w:i/>
          <w:iCs/>
          <w:color w:val="000000"/>
          <w:sz w:val="21"/>
          <w:szCs w:val="21"/>
        </w:rPr>
        <w:t xml:space="preserve">x</w:t>
      </w:r>
      <w:r>
        <w:rPr>
          <w:rFonts w:ascii="Times New Roman" w:cs="Times New Roman" w:eastAsia="宋体" w:hAnsi="Times New Roman"/>
          <w:color w:val="000000"/>
          <w:sz w:val="21"/>
          <w:szCs w:val="21"/>
        </w:rPr>
        <w:t xml:space="preserve">（</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rPr>
        <w:t xml:space="preserve">=0.9106），产量随施钾量增加总体呈上升趋势。</w:t>
      </w:r>
    </w:p>
    <w:p>
      <w:pPr>
        <w:keepNext/>
        <w:spacing w:after="60" w:before="120" w:line="240" w:lineRule="auto"/>
        <w:ind/>
        <w:jc w:val="center"/>
      </w:pPr>
      <w:r>
        <w:rPr>
          <w:rFonts w:ascii="Times New Roman" w:cs="Times New Roman" w:eastAsia="黑体" w:hAnsi="Times New Roman"/>
          <w:color w:val="000000"/>
          <w:sz w:val="18"/>
          <w:szCs w:val="18"/>
        </w:rPr>
        <w:t xml:space="preserve">表5　氮、磷、钾单因素肥料效应方程</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537"/>
        <w:gridCol w:w="806"/>
        <w:gridCol w:w="2686"/>
        <w:gridCol w:w="627"/>
        <w:gridCol w:w="537"/>
        <w:gridCol w:w="537"/>
        <w:gridCol w:w="716"/>
        <w:gridCol w:w="1074"/>
        <w:gridCol w:w="985"/>
      </w:tblGrid>
      <w:tr>
        <w:trPr>
          <w:cantSplit/>
          <w:tblHeader/>
        </w:trPr>
        <w:tc>
          <w:tcPr>
            <w:tcW w:type="dxa" w:w="53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因素</w:t>
            </w:r>
          </w:p>
        </w:tc>
        <w:tc>
          <w:tcPr>
            <w:tcW w:type="dxa" w:w="806"/>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模型</w:t>
            </w:r>
          </w:p>
        </w:tc>
        <w:tc>
          <w:tcPr>
            <w:tcW w:type="dxa" w:w="2686"/>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color w:val="000000"/>
                <w:sz w:val="18"/>
                <w:szCs w:val="18"/>
              </w:rPr>
              <w:t xml:space="preserve">效应方程</w:t>
            </w:r>
          </w:p>
        </w:tc>
        <w:tc>
          <w:tcPr>
            <w:tcW w:type="dxa" w:w="62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i/>
                <w:iCs/>
                <w:color w:val="000000"/>
                <w:sz w:val="18"/>
                <w:szCs w:val="18"/>
              </w:rPr>
              <w:t xml:space="preserve">R</w:t>
            </w:r>
            <w:r>
              <w:rPr>
                <w:rFonts w:ascii="Times New Roman" w:cs="Times New Roman" w:eastAsia="宋体" w:hAnsi="Times New Roman"/>
                <w:color w:val="000000"/>
                <w:sz w:val="18"/>
                <w:szCs w:val="18"/>
                <w:vertAlign w:val="superscript"/>
              </w:rPr>
              <w:t xml:space="preserve">2</w:t>
            </w:r>
          </w:p>
        </w:tc>
        <w:tc>
          <w:tcPr>
            <w:tcW w:type="dxa" w:w="53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i/>
                <w:iCs/>
                <w:color w:val="000000"/>
                <w:sz w:val="18"/>
                <w:szCs w:val="18"/>
              </w:rPr>
              <w:t xml:space="preserve">F</w:t>
            </w:r>
          </w:p>
        </w:tc>
        <w:tc>
          <w:tcPr>
            <w:tcW w:type="dxa" w:w="53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i/>
                <w:iCs/>
                <w:color w:val="000000"/>
                <w:sz w:val="18"/>
                <w:szCs w:val="18"/>
              </w:rPr>
              <w:t xml:space="preserve">P</w:t>
            </w:r>
          </w:p>
        </w:tc>
        <w:tc>
          <w:tcPr>
            <w:tcW w:type="dxa" w:w="716"/>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典型性</w:t>
            </w:r>
          </w:p>
        </w:tc>
        <w:tc>
          <w:tcPr>
            <w:tcW w:type="dxa" w:w="1074"/>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最高产量施肥量/(kg/hm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985"/>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最高产量/(kg/hm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r>
      <w:tr>
        <w:trPr>
          <w:cantSplit/>
          <w:tblHeader w:val="false"/>
        </w:trPr>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80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一元二次</w:t>
            </w:r>
          </w:p>
        </w:tc>
        <w:tc>
          <w:tcPr>
            <w:tcW w:type="dxa" w:w="268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=6710.00+10.8148</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−0.01097</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vertAlign w:val="superscript"/>
              </w:rPr>
              <w:t xml:space="preserve">2</w:t>
            </w:r>
          </w:p>
        </w:tc>
        <w:tc>
          <w:tcPr>
            <w:tcW w:type="dxa" w:w="62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0.9269</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6.34</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0.270</w:t>
            </w:r>
          </w:p>
        </w:tc>
        <w:tc>
          <w:tcPr>
            <w:tcW w:type="dxa" w:w="7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典型</w:t>
            </w:r>
          </w:p>
        </w:tc>
        <w:tc>
          <w:tcPr>
            <w:tcW w:type="dxa" w:w="107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492.7</w:t>
            </w:r>
            <w:r>
              <w:rPr>
                <w:rFonts w:ascii="Times New Roman" w:cs="Times New Roman" w:eastAsia="宋体" w:hAnsi="Times New Roman"/>
                <w:color w:val="000000"/>
                <w:sz w:val="18"/>
                <w:szCs w:val="18"/>
                <w:vertAlign w:val="superscript"/>
              </w:rPr>
              <w:t xml:space="preserve">b</w:t>
            </w:r>
          </w:p>
        </w:tc>
        <w:tc>
          <w:tcPr>
            <w:tcW w:type="dxa" w:w="98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9374.5</w:t>
            </w:r>
            <w:r>
              <w:rPr>
                <w:rFonts w:ascii="Times New Roman" w:cs="Times New Roman" w:eastAsia="宋体" w:hAnsi="Times New Roman"/>
                <w:color w:val="000000"/>
                <w:sz w:val="18"/>
                <w:szCs w:val="18"/>
                <w:vertAlign w:val="superscript"/>
              </w:rPr>
              <w:t xml:space="preserve">b</w:t>
            </w:r>
          </w:p>
        </w:tc>
      </w:tr>
      <w:tr>
        <w:trPr>
          <w:cantSplit/>
          <w:tblHeader w:val="false"/>
        </w:trPr>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80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线性加平台</w:t>
            </w:r>
          </w:p>
        </w:tc>
        <w:tc>
          <w:tcPr>
            <w:tcW w:type="dxa" w:w="268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=6694.4+8.766</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&lt;282.0）；</w:t>
            </w: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=9166.5（</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≥282.0）</w:t>
            </w:r>
          </w:p>
        </w:tc>
        <w:tc>
          <w:tcPr>
            <w:tcW w:type="dxa" w:w="62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0.9722</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7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07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282.0</w:t>
            </w:r>
          </w:p>
        </w:tc>
        <w:tc>
          <w:tcPr>
            <w:tcW w:type="dxa" w:w="98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9166.5</w:t>
            </w:r>
          </w:p>
        </w:tc>
      </w:tr>
      <w:tr>
        <w:trPr>
          <w:cantSplit/>
          <w:tblHeader w:val="false"/>
        </w:trPr>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80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一元二次</w:t>
            </w:r>
          </w:p>
        </w:tc>
        <w:tc>
          <w:tcPr>
            <w:tcW w:type="dxa" w:w="268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=7830.00+7.3704</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−0.00206</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vertAlign w:val="superscript"/>
              </w:rPr>
              <w:t xml:space="preserve">2</w:t>
            </w:r>
          </w:p>
        </w:tc>
        <w:tc>
          <w:tcPr>
            <w:tcW w:type="dxa" w:w="62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0.9859</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35.00</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0.119</w:t>
            </w:r>
          </w:p>
        </w:tc>
        <w:tc>
          <w:tcPr>
            <w:tcW w:type="dxa" w:w="7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典型</w:t>
            </w:r>
          </w:p>
        </w:tc>
        <w:tc>
          <w:tcPr>
            <w:tcW w:type="dxa" w:w="107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1791.0</w:t>
            </w:r>
            <w:r>
              <w:rPr>
                <w:rFonts w:ascii="Times New Roman" w:cs="Times New Roman" w:eastAsia="宋体" w:hAnsi="Times New Roman"/>
                <w:color w:val="000000"/>
                <w:sz w:val="18"/>
                <w:szCs w:val="18"/>
                <w:vertAlign w:val="superscript"/>
              </w:rPr>
              <w:t xml:space="preserve">b</w:t>
            </w:r>
          </w:p>
        </w:tc>
        <w:tc>
          <w:tcPr>
            <w:tcW w:type="dxa" w:w="98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14430.2</w:t>
            </w:r>
            <w:r>
              <w:rPr>
                <w:rFonts w:ascii="Times New Roman" w:cs="Times New Roman" w:eastAsia="宋体" w:hAnsi="Times New Roman"/>
                <w:color w:val="000000"/>
                <w:sz w:val="18"/>
                <w:szCs w:val="18"/>
                <w:vertAlign w:val="superscript"/>
              </w:rPr>
              <w:t xml:space="preserve">b</w:t>
            </w:r>
          </w:p>
        </w:tc>
      </w:tr>
      <w:tr>
        <w:trPr>
          <w:cantSplit/>
          <w:tblHeader w:val="false"/>
        </w:trPr>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80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线性</w:t>
            </w:r>
          </w:p>
        </w:tc>
        <w:tc>
          <w:tcPr>
            <w:tcW w:type="dxa" w:w="268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=7846.7+6.815</w:t>
            </w:r>
            <w:r>
              <w:rPr>
                <w:rFonts w:ascii="Times New Roman" w:cs="Times New Roman" w:eastAsia="宋体" w:hAnsi="Times New Roman"/>
                <w:i/>
                <w:iCs/>
                <w:color w:val="000000"/>
                <w:sz w:val="18"/>
                <w:szCs w:val="18"/>
              </w:rPr>
              <w:t xml:space="preserve">x</w:t>
            </w:r>
          </w:p>
        </w:tc>
        <w:tc>
          <w:tcPr>
            <w:tcW w:type="dxa" w:w="62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0.9853</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7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07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98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r>
      <w:tr>
        <w:trPr>
          <w:cantSplit/>
          <w:tblHeader w:val="false"/>
        </w:trPr>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80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一元二次</w:t>
            </w:r>
          </w:p>
        </w:tc>
        <w:tc>
          <w:tcPr>
            <w:tcW w:type="dxa" w:w="268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=8816.67+0.7407</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+0.00922</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vertAlign w:val="superscript"/>
              </w:rPr>
              <w:t xml:space="preserve">2</w:t>
            </w:r>
          </w:p>
        </w:tc>
        <w:tc>
          <w:tcPr>
            <w:tcW w:type="dxa" w:w="62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0.8773</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3.58</w:t>
            </w:r>
          </w:p>
        </w:tc>
        <w:tc>
          <w:tcPr>
            <w:tcW w:type="dxa" w:w="53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0.350</w:t>
            </w:r>
          </w:p>
        </w:tc>
        <w:tc>
          <w:tcPr>
            <w:tcW w:type="dxa" w:w="716"/>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非典型</w:t>
            </w:r>
          </w:p>
        </w:tc>
        <w:tc>
          <w:tcPr>
            <w:tcW w:type="dxa" w:w="1074"/>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985"/>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r>
      <w:tr>
        <w:trPr>
          <w:cantSplit/>
          <w:tblHeader w:val="false"/>
        </w:trPr>
        <w:tc>
          <w:tcPr>
            <w:tcW w:type="dxa" w:w="53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806"/>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线性</w:t>
            </w:r>
          </w:p>
        </w:tc>
        <w:tc>
          <w:tcPr>
            <w:tcW w:type="dxa" w:w="2686"/>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left"/>
            </w:pP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=8700.0+3.852</w:t>
            </w:r>
            <w:r>
              <w:rPr>
                <w:rFonts w:ascii="Times New Roman" w:cs="Times New Roman" w:eastAsia="宋体" w:hAnsi="Times New Roman"/>
                <w:i/>
                <w:iCs/>
                <w:color w:val="000000"/>
                <w:sz w:val="18"/>
                <w:szCs w:val="18"/>
              </w:rPr>
              <w:t xml:space="preserve">x</w:t>
            </w:r>
          </w:p>
        </w:tc>
        <w:tc>
          <w:tcPr>
            <w:tcW w:type="dxa" w:w="62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0.8292</w:t>
            </w:r>
          </w:p>
        </w:tc>
        <w:tc>
          <w:tcPr>
            <w:tcW w:type="dxa" w:w="53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53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716"/>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1074"/>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c>
          <w:tcPr>
            <w:tcW w:type="dxa" w:w="985"/>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w:t>
            </w:r>
          </w:p>
        </w:tc>
      </w:tr>
    </w:tbl>
    <w:p>
      <w:pPr>
        <w:spacing w:after="160" w:before="40" w:line="240" w:lineRule="auto"/>
        <w:ind/>
        <w:jc w:val="left"/>
      </w:pPr>
      <w:r>
        <w:rPr>
          <w:rFonts w:ascii="Times New Roman" w:cs="Times New Roman" w:eastAsia="宋体" w:hAnsi="Times New Roman"/>
          <w:color w:val="000000"/>
          <w:sz w:val="18"/>
          <w:szCs w:val="18"/>
        </w:rPr>
        <w:t xml:space="preserve">注：</w:t>
      </w:r>
      <w:r>
        <w:rPr>
          <w:rFonts w:ascii="Times New Roman" w:cs="Times New Roman" w:eastAsia="宋体" w:hAnsi="Times New Roman"/>
          <w:i/>
          <w:iCs/>
          <w:color w:val="000000"/>
          <w:sz w:val="18"/>
          <w:szCs w:val="18"/>
        </w:rPr>
        <w:t xml:space="preserve">x</w:t>
      </w:r>
      <w:r>
        <w:rPr>
          <w:rFonts w:ascii="Times New Roman" w:cs="Times New Roman" w:eastAsia="宋体" w:hAnsi="Times New Roman"/>
          <w:color w:val="000000"/>
          <w:sz w:val="18"/>
          <w:szCs w:val="18"/>
        </w:rPr>
        <w:t xml:space="preserve">为该养分施用量（kg/hm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r>
        <w:rPr>
          <w:rFonts w:ascii="Times New Roman" w:cs="Times New Roman" w:eastAsia="宋体" w:hAnsi="Times New Roman"/>
          <w:i/>
          <w:iCs/>
          <w:color w:val="000000"/>
          <w:sz w:val="18"/>
          <w:szCs w:val="18"/>
        </w:rPr>
        <w:t xml:space="preserve">y</w:t>
      </w:r>
      <w:r>
        <w:rPr>
          <w:rFonts w:ascii="Times New Roman" w:cs="Times New Roman" w:eastAsia="宋体" w:hAnsi="Times New Roman"/>
          <w:color w:val="000000"/>
          <w:sz w:val="18"/>
          <w:szCs w:val="18"/>
        </w:rPr>
        <w:t xml:space="preserve">为产量（kg/hm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）；“—”表示不适用。　</w:t>
      </w:r>
      <w:r>
        <w:rPr>
          <w:rFonts w:ascii="Times New Roman" w:cs="Times New Roman" w:eastAsia="宋体" w:hAnsi="Times New Roman"/>
          <w:i/>
          <w:iCs/>
          <w:color w:val="000000"/>
          <w:sz w:val="18"/>
          <w:szCs w:val="18"/>
        </w:rPr>
        <w:t xml:space="preserve">F</w:t>
      </w:r>
      <w:r>
        <w:rPr>
          <w:rFonts w:ascii="Times New Roman" w:cs="Times New Roman" w:eastAsia="宋体" w:hAnsi="Times New Roman"/>
          <w:color w:val="000000"/>
          <w:sz w:val="18"/>
          <w:szCs w:val="18"/>
        </w:rPr>
        <w:t xml:space="preserve">、</w:t>
      </w:r>
      <w:r>
        <w:rPr>
          <w:rFonts w:ascii="Times New Roman" w:cs="Times New Roman" w:eastAsia="宋体" w:hAnsi="Times New Roman"/>
          <w:i/>
          <w:iCs/>
          <w:color w:val="000000"/>
          <w:sz w:val="18"/>
          <w:szCs w:val="18"/>
        </w:rPr>
        <w:t xml:space="preserve">P</w:t>
      </w:r>
      <w:r>
        <w:rPr>
          <w:rFonts w:ascii="Times New Roman" w:cs="Times New Roman" w:eastAsia="宋体" w:hAnsi="Times New Roman"/>
          <w:color w:val="000000"/>
          <w:sz w:val="18"/>
          <w:szCs w:val="18"/>
        </w:rPr>
        <w:t xml:space="preserve">由4个施肥水平的产量拟合求得，残差自由度仅为1，各回归方程均未达显著水平，方程仅用于描述趋势。典型性检验仅适用于一元二次方程（一次项系数为正、二次项系数为负），线性及线性加平台模型不适用。</w:t>
      </w:r>
      <w:r>
        <w:rPr>
          <w:rFonts w:ascii="Times New Roman" w:cs="Times New Roman" w:eastAsia="宋体" w:hAnsi="Times New Roman"/>
          <w:color w:val="000000"/>
          <w:sz w:val="18"/>
          <w:szCs w:val="18"/>
          <w:vertAlign w:val="superscript"/>
        </w:rPr>
        <w:t xml:space="preserve">b</w:t>
      </w:r>
      <w:r>
        <w:rPr>
          <w:rFonts w:ascii="Times New Roman" w:cs="Times New Roman" w:eastAsia="宋体" w:hAnsi="Times New Roman"/>
          <w:color w:val="000000"/>
          <w:sz w:val="18"/>
          <w:szCs w:val="18"/>
        </w:rPr>
        <w:t xml:space="preserve">由方程外推所得，超出试验设计范围，无实际农学意义，不作为推荐施肥依据。</w:t>
      </w:r>
    </w:p>
    <w:p>
      <w:pPr>
        <w:keepNext/>
        <w:spacing w:after="40" w:before="120"/>
        <w:jc w:val="center"/>
      </w:pPr>
      <w:r>
        <w:drawing>
          <wp:inline distT="0" distB="0" distL="0" distR="0">
            <wp:extent cx="61150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2228850"/>
                    </a:xfrm>
                    <a:prstGeom prst="rect">
                      <a:avLst/>
                    </a:prstGeom>
                  </pic:spPr>
                </pic:pic>
              </a:graphicData>
            </a:graphic>
          </wp:inline>
        </w:drawing>
      </w:r>
    </w:p>
    <w:p>
      <w:pPr>
        <w:spacing w:after="160" w:before="0" w:line="240" w:lineRule="auto"/>
        <w:ind/>
        <w:jc w:val="center"/>
      </w:pPr>
      <w:r>
        <w:rPr>
          <w:rFonts w:ascii="Times New Roman" w:cs="Times New Roman" w:eastAsia="黑体" w:hAnsi="Times New Roman"/>
          <w:color w:val="000000"/>
          <w:sz w:val="18"/>
          <w:szCs w:val="18"/>
        </w:rPr>
        <w:t xml:space="preserve">图1　氮（a）、磷（b）、钾（c）单因素肥料效应</w:t>
      </w:r>
    </w:p>
    <w:p>
      <w:pPr>
        <w:keepNext/>
        <w:spacing w:after="20" w:before="60" w:line="360" w:lineRule="auto"/>
        <w:ind/>
        <w:jc w:val="left"/>
      </w:pPr>
      <w:r>
        <w:rPr>
          <w:rFonts w:ascii="Times New Roman" w:cs="Times New Roman" w:eastAsia="黑体" w:hAnsi="Times New Roman"/>
          <w:color w:val="000000"/>
          <w:sz w:val="21"/>
          <w:szCs w:val="21"/>
        </w:rPr>
        <w:t xml:space="preserve">2.4.3　边际效益分析与推荐施肥量</w:t>
      </w:r>
    </w:p>
    <w:p>
      <w:pPr>
        <w:spacing w:after="0" w:before="0" w:line="360" w:lineRule="auto"/>
        <w:ind w:firstLine="420"/>
        <w:jc w:val="both"/>
      </w:pPr>
      <w:r>
        <w:rPr>
          <w:rFonts w:ascii="Times New Roman" w:cs="Times New Roman" w:eastAsia="宋体" w:hAnsi="Times New Roman"/>
          <w:color w:val="000000"/>
          <w:sz w:val="21"/>
          <w:szCs w:val="21"/>
        </w:rPr>
        <w:t xml:space="preserve">由于磷、钾肥效应方程无法直接求得最佳经济施肥量，进一步采用边际分析法比较相邻施肥水平间的边际效益（表6）</w:t>
      </w:r>
      <w:r>
        <w:rPr>
          <w:rFonts w:ascii="Times New Roman" w:cs="Times New Roman" w:eastAsia="宋体" w:hAnsi="Times New Roman"/>
          <w:color w:val="000000"/>
          <w:sz w:val="21"/>
          <w:szCs w:val="21"/>
          <w:vertAlign w:val="superscript"/>
        </w:rPr>
        <w:t xml:space="preserve">[8]</w:t>
      </w:r>
      <w:r>
        <w:rPr>
          <w:rFonts w:ascii="Times New Roman" w:cs="Times New Roman" w:eastAsia="宋体" w:hAnsi="Times New Roman"/>
          <w:color w:val="000000"/>
          <w:sz w:val="21"/>
          <w:szCs w:val="21"/>
        </w:rPr>
        <w:t xml:space="preserve">。氮肥由N0增至N1、由N1增至N2时，边际产投比分别为3.23和6.74，而由N2增至N3时边际产量为负值，说明施氮量以270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为宜。磷肥由P0至P1、P1至P2、P2至P3的边际产投比分别为2.15、3.58和1.86，均大于1，在试验范围内增施磷肥仍有增收效果，但由P2至P3的边际效益已明显下降。钾肥边际效益在K0→K1为2.29、K1→K2为负值、K2→K3又回升至4.30，序列内部不一致，表明钾肥效应已接近本试验的误差检出限，不宜据单一相邻水平的边际产投比推断最适用量。</w:t>
      </w:r>
    </w:p>
    <w:p>
      <w:pPr>
        <w:spacing w:after="0" w:before="0" w:line="360" w:lineRule="auto"/>
        <w:ind w:firstLine="420"/>
        <w:jc w:val="both"/>
      </w:pPr>
      <w:r>
        <w:rPr>
          <w:rFonts w:ascii="Times New Roman" w:cs="Times New Roman" w:eastAsia="宋体" w:hAnsi="Times New Roman"/>
          <w:color w:val="000000"/>
          <w:sz w:val="21"/>
          <w:szCs w:val="21"/>
        </w:rPr>
        <w:t xml:space="preserve">综合单因素效应方程、边际效益分析和土壤供肥能力评价，本试验条件下单季稻的推荐施肥量为N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90～180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112.5～225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。处理10（K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337.5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）虽在本试验中产量与收益最高，但缺钾区相对产量已达94.9%、钾肥贡献率仅5.1%，其增产幅度未超出单小区试验误差的判别能力，故不作为推荐用量；考虑到磷素在土壤中易累积，土壤有效磷含量较高的田块P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用量不宜超过90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p>
    <w:p>
      <w:pPr>
        <w:keepNext/>
        <w:spacing w:after="60" w:before="120" w:line="240" w:lineRule="auto"/>
        <w:ind/>
        <w:jc w:val="center"/>
      </w:pPr>
      <w:r>
        <w:rPr>
          <w:rFonts w:ascii="Times New Roman" w:cs="Times New Roman" w:eastAsia="黑体" w:hAnsi="Times New Roman"/>
          <w:color w:val="000000"/>
          <w:sz w:val="18"/>
          <w:szCs w:val="18"/>
        </w:rPr>
        <w:t xml:space="preserve">表6　相邻施肥水平间的边际效益</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958"/>
        <w:gridCol w:w="1438"/>
        <w:gridCol w:w="1557"/>
        <w:gridCol w:w="1557"/>
        <w:gridCol w:w="1797"/>
        <w:gridCol w:w="1198"/>
      </w:tblGrid>
      <w:tr>
        <w:trPr>
          <w:cantSplit/>
          <w:tblHeader/>
        </w:trPr>
        <w:tc>
          <w:tcPr>
            <w:tcW w:type="dxa" w:w="958"/>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因素</w:t>
            </w:r>
          </w:p>
        </w:tc>
        <w:tc>
          <w:tcPr>
            <w:tcW w:type="dxa" w:w="1438"/>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施肥水平变化</w:t>
            </w:r>
          </w:p>
        </w:tc>
        <w:tc>
          <w:tcPr>
            <w:tcW w:type="dxa" w:w="155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边际产量/(kg/hm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55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边际产值/(元/hm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79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边际肥料成本/(元/hm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98"/>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边际产投比</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N0→N1</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766.7</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1978.0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612.3</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3.23</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N1→N2</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1600.0</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4128.0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612.3</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6.74</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N2→N3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−33.3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−86.0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612.3</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−0.14</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P0→P1</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500.0</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1290.0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2.15</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P1→P2</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833.3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2150.0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3.58</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P2→P3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433.3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1118.0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1.86</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K0→K1</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533.3</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1376.0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2.29</w:t>
            </w:r>
          </w:p>
        </w:tc>
      </w:tr>
      <w:tr>
        <w:trPr>
          <w:cantSplit/>
          <w:tblHeader w:val="false"/>
        </w:trPr>
        <w:tc>
          <w:tcPr>
            <w:tcW w:type="dxa" w:w="95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143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K1→K2</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−66.7</w:t>
            </w:r>
          </w:p>
        </w:tc>
        <w:tc>
          <w:tcPr>
            <w:tcW w:type="dxa" w:w="155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−172.0</w:t>
            </w:r>
          </w:p>
        </w:tc>
        <w:tc>
          <w:tcPr>
            <w:tcW w:type="dxa" w:w="179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−0.29</w:t>
            </w:r>
          </w:p>
        </w:tc>
      </w:tr>
      <w:tr>
        <w:trPr>
          <w:cantSplit/>
          <w:tblHeader w:val="false"/>
        </w:trPr>
        <w:tc>
          <w:tcPr>
            <w:tcW w:type="dxa" w:w="958"/>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p>
        </w:tc>
        <w:tc>
          <w:tcPr>
            <w:tcW w:type="dxa" w:w="1438"/>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K2→K3</w:t>
            </w:r>
          </w:p>
        </w:tc>
        <w:tc>
          <w:tcPr>
            <w:tcW w:type="dxa" w:w="155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1000.0</w:t>
            </w:r>
          </w:p>
        </w:tc>
        <w:tc>
          <w:tcPr>
            <w:tcW w:type="dxa" w:w="155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2580.0</w:t>
            </w:r>
          </w:p>
        </w:tc>
        <w:tc>
          <w:tcPr>
            <w:tcW w:type="dxa" w:w="179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600.0</w:t>
            </w:r>
          </w:p>
        </w:tc>
        <w:tc>
          <w:tcPr>
            <w:tcW w:type="dxa" w:w="1198"/>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4.30</w:t>
            </w:r>
          </w:p>
        </w:tc>
      </w:tr>
    </w:tbl>
    <w:p>
      <w:pPr>
        <w:spacing w:after="160" w:before="40" w:line="240" w:lineRule="auto"/>
        <w:ind/>
        <w:jc w:val="left"/>
      </w:pPr>
      <w:r>
        <w:rPr>
          <w:rFonts w:ascii="Times New Roman" w:cs="Times New Roman" w:eastAsia="宋体" w:hAnsi="Times New Roman"/>
          <w:color w:val="000000"/>
          <w:sz w:val="18"/>
          <w:szCs w:val="18"/>
        </w:rPr>
        <w:t xml:space="preserve">注：边际产投比=边际产值/边际肥料成本；稻谷价格2.58元/kg，纯N、P</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w:t>
      </w:r>
      <w:r>
        <w:rPr>
          <w:rFonts w:ascii="Times New Roman" w:cs="Times New Roman" w:eastAsia="宋体" w:hAnsi="Times New Roman"/>
          <w:color w:val="000000"/>
          <w:sz w:val="18"/>
          <w:szCs w:val="18"/>
          <w:vertAlign w:val="subscript"/>
        </w:rPr>
        <w:t xml:space="preserve">5</w:t>
      </w:r>
      <w:r>
        <w:rPr>
          <w:rFonts w:ascii="Times New Roman" w:cs="Times New Roman" w:eastAsia="宋体" w:hAnsi="Times New Roman"/>
          <w:color w:val="000000"/>
          <w:sz w:val="18"/>
          <w:szCs w:val="18"/>
        </w:rPr>
        <w:t xml:space="preserve">、K</w:t>
      </w:r>
      <w:r>
        <w:rPr>
          <w:rFonts w:ascii="Times New Roman" w:cs="Times New Roman" w:eastAsia="宋体" w:hAnsi="Times New Roman"/>
          <w:color w:val="000000"/>
          <w:sz w:val="18"/>
          <w:szCs w:val="18"/>
          <w:vertAlign w:val="subscript"/>
        </w:rPr>
        <w:t xml:space="preserve">2</w:t>
      </w:r>
      <w:r>
        <w:rPr>
          <w:rFonts w:ascii="Times New Roman" w:cs="Times New Roman" w:eastAsia="宋体" w:hAnsi="Times New Roman"/>
          <w:color w:val="000000"/>
          <w:sz w:val="18"/>
          <w:szCs w:val="18"/>
        </w:rPr>
        <w:t xml:space="preserve">O价格分别为4.54、6.67、5.33元/kg。</w:t>
      </w:r>
    </w:p>
    <w:p>
      <w:pPr>
        <w:keepNext/>
        <w:spacing w:after="40" w:before="100" w:line="360" w:lineRule="auto"/>
        <w:ind/>
        <w:jc w:val="left"/>
      </w:pPr>
      <w:r>
        <w:rPr>
          <w:rFonts w:ascii="Times New Roman" w:cs="Times New Roman" w:eastAsia="黑体" w:hAnsi="Times New Roman"/>
          <w:b/>
          <w:bCs/>
          <w:color w:val="000000"/>
          <w:sz w:val="21"/>
          <w:szCs w:val="21"/>
        </w:rPr>
        <w:t xml:space="preserve">2.5　不同施肥处理的经济效益</w:t>
      </w:r>
    </w:p>
    <w:p>
      <w:pPr>
        <w:spacing w:after="0" w:before="0" w:line="360" w:lineRule="auto"/>
        <w:ind w:firstLine="420"/>
        <w:jc w:val="both"/>
      </w:pPr>
      <w:r>
        <w:rPr>
          <w:rFonts w:ascii="Times New Roman" w:cs="Times New Roman" w:eastAsia="宋体" w:hAnsi="Times New Roman"/>
          <w:color w:val="000000"/>
          <w:sz w:val="21"/>
          <w:szCs w:val="21"/>
        </w:rPr>
        <w:t xml:space="preserve">由表7可知，各处理产值为17028.0～26316.0元/hm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，肥料成本为0～4236.9元/hm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，扣除肥料成本后收益为15230.0～22091.4元/hm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。该项收益以处理10最高，达22091.4元/hm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，较无肥区增收5063.4元/hm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；其次为处理9（20883.4元/hm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）和处理7（20629.4元/hm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）。缺氮区（处理2）和低氮处理（处理3）的增产值不足以抵消肥料成本，增收分别为−1798.0和−432.3元/hm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，说明氮肥供应不足时磷、钾肥的投入难以发挥效益。产投比以处理8和处理9最高（均为2.27），处理10次之（2.20），处理11因施氮量过大、产量未再增加而肥料成本最高（4236.9元/hm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），产投比仅1.56。综合产量、收益和产投比，处理9（N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180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112.5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）是投入较低、效益较好的施肥方案。</w:t>
      </w:r>
    </w:p>
    <w:p>
      <w:pPr>
        <w:keepNext/>
        <w:spacing w:after="60" w:before="120" w:line="240" w:lineRule="auto"/>
        <w:ind/>
        <w:jc w:val="center"/>
      </w:pPr>
      <w:r>
        <w:rPr>
          <w:rFonts w:ascii="Times New Roman" w:cs="Times New Roman" w:eastAsia="黑体" w:hAnsi="Times New Roman"/>
          <w:color w:val="000000"/>
          <w:sz w:val="18"/>
          <w:szCs w:val="18"/>
        </w:rPr>
        <w:t xml:space="preserve">表7　不同施肥处理水稻经济效益</w:t>
      </w:r>
    </w:p>
    <w:tbl>
      <w:tblPr>
        <w:tblW w:type="dxa" w:w="8506"/>
        <w:jc w:val="center"/>
        <w:tblBorders>
          <w:top w:val="single" w:color="auto" w:sz="4"/>
          <w:left w:val="single" w:color="auto" w:sz="4"/>
          <w:bottom w:val="single" w:color="auto" w:sz="4"/>
          <w:right w:val="single" w:color="auto" w:sz="4"/>
          <w:insideH w:val="single" w:color="auto" w:sz="4"/>
          <w:insideV w:val="single" w:color="auto" w:sz="4"/>
        </w:tblBorders>
      </w:tblPr>
      <w:tblGrid>
        <w:gridCol w:w="669"/>
        <w:gridCol w:w="1147"/>
        <w:gridCol w:w="1147"/>
        <w:gridCol w:w="1242"/>
        <w:gridCol w:w="1147"/>
        <w:gridCol w:w="1147"/>
        <w:gridCol w:w="1147"/>
        <w:gridCol w:w="860"/>
      </w:tblGrid>
      <w:tr>
        <w:trPr>
          <w:cantSplit/>
          <w:tblHeader/>
        </w:trPr>
        <w:tc>
          <w:tcPr>
            <w:tcW w:type="dxa" w:w="669"/>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处理</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产量/(kg/hm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产值/(元/hm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242"/>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肥料成本/(元/hm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纯收益/(元/hm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增产值/(元/hm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1147"/>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增收/(元/hm</w:t>
            </w:r>
            <w:r>
              <w:rPr>
                <w:rFonts w:ascii="Times New Roman" w:cs="Times New Roman" w:eastAsia="宋体" w:hAnsi="Times New Roman"/>
                <w:color w:val="000000"/>
                <w:sz w:val="18"/>
                <w:szCs w:val="18"/>
                <w:vertAlign w:val="superscript"/>
              </w:rPr>
              <w:t xml:space="preserve">2</w:t>
            </w:r>
            <w:r>
              <w:rPr>
                <w:rFonts w:ascii="Times New Roman" w:cs="Times New Roman" w:eastAsia="宋体" w:hAnsi="Times New Roman"/>
                <w:color w:val="000000"/>
                <w:sz w:val="18"/>
                <w:szCs w:val="18"/>
              </w:rPr>
              <w:t xml:space="preserve">)</w:t>
            </w:r>
          </w:p>
        </w:tc>
        <w:tc>
          <w:tcPr>
            <w:tcW w:type="dxa" w:w="860"/>
            <w:tcBorders>
              <w:top w:val="single" w:color="000000" w:sz="12"/>
              <w:left w:val="none" w:color="FFFFFF" w:sz="0"/>
              <w:bottom w:val="single" w:color="000000" w:sz="6"/>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产投比</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6600.0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17028.0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17028.0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0.0</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6833.3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17630.0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2400.0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15230.0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602.0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−1798.0</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0.25</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7600.0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19608.0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3012.3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16595.7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2580.0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−432.3</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0.86</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7866.7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20296.0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17871.4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3268.0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843.4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1.35</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8366.7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21586.0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18561.4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4558.0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1533.4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1.51</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9200.0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23736.0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3624.6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20111.4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6708.0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3083.4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1.85</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9633.3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24854.0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4224.6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20629.4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7826.0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3601.4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1.85</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8733.3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22532.0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20107.4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5504.0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3079.4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2.27</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9266.7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23908.0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3024.6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20883.4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6880.0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3855.4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2.27</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10200.0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26316.0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4224.6</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22091.4</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9288.0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5063.4</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2.20</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9166.7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23650.0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4236.9</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19413.1</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6622.0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2385.1</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1.56</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12</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7966.7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20554.0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2412.3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18141.7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3526.0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1113.7</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1.46</w:t>
            </w:r>
          </w:p>
        </w:tc>
      </w:tr>
      <w:tr>
        <w:trPr>
          <w:cantSplit/>
          <w:tblHeader w:val="false"/>
        </w:trPr>
        <w:tc>
          <w:tcPr>
            <w:tcW w:type="dxa" w:w="669"/>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8233.3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21242.0</w:t>
            </w:r>
          </w:p>
        </w:tc>
        <w:tc>
          <w:tcPr>
            <w:tcW w:type="dxa" w:w="1242"/>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2412.3</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18829.7</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4214.0</w:t>
            </w:r>
          </w:p>
        </w:tc>
        <w:tc>
          <w:tcPr>
            <w:tcW w:type="dxa" w:w="1147"/>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1801.7</w:t>
            </w:r>
          </w:p>
        </w:tc>
        <w:tc>
          <w:tcPr>
            <w:tcW w:type="dxa" w:w="860"/>
            <w:tcBorders>
              <w:top w:val="none" w:color="FFFFFF" w:sz="0"/>
              <w:left w:val="none" w:color="FFFFFF" w:sz="0"/>
              <w:bottom w:val="none" w:color="FFFFFF" w:sz="0"/>
              <w:right w:val="none" w:color="FFFFFF" w:sz="0"/>
            </w:tcBorders>
            <w:tcMar>
              <w:top w:type="dxa" w:w="20"/>
              <w:left w:type="dxa" w:w="40"/>
              <w:bottom w:type="dxa" w:w="20"/>
              <w:right w:type="dxa" w:w="40"/>
            </w:tcMar>
            <w:vAlign w:val="center"/>
          </w:tcPr>
          <w:p>
            <w:pPr>
              <w:keepNext/>
              <w:keepLines/>
              <w:spacing w:after="0" w:before="0" w:line="240" w:lineRule="auto"/>
              <w:jc w:val="center"/>
            </w:pPr>
            <w:r>
              <w:rPr>
                <w:rFonts w:ascii="Times New Roman" w:cs="Times New Roman" w:eastAsia="宋体" w:hAnsi="Times New Roman"/>
                <w:color w:val="000000"/>
                <w:sz w:val="18"/>
                <w:szCs w:val="18"/>
              </w:rPr>
              <w:t xml:space="preserve">1.75</w:t>
            </w:r>
          </w:p>
        </w:tc>
      </w:tr>
      <w:tr>
        <w:trPr>
          <w:cantSplit/>
          <w:tblHeader w:val="false"/>
        </w:trPr>
        <w:tc>
          <w:tcPr>
            <w:tcW w:type="dxa" w:w="669"/>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14</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8266.7</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21328.0</w:t>
            </w:r>
          </w:p>
        </w:tc>
        <w:tc>
          <w:tcPr>
            <w:tcW w:type="dxa" w:w="1242"/>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2424.6</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18903.4</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4300.0</w:t>
            </w:r>
          </w:p>
        </w:tc>
        <w:tc>
          <w:tcPr>
            <w:tcW w:type="dxa" w:w="1147"/>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1875.4</w:t>
            </w:r>
          </w:p>
        </w:tc>
        <w:tc>
          <w:tcPr>
            <w:tcW w:type="dxa" w:w="860"/>
            <w:tcBorders>
              <w:top w:val="none" w:color="FFFFFF" w:sz="0"/>
              <w:left w:val="none" w:color="FFFFFF" w:sz="0"/>
              <w:bottom w:val="single" w:color="000000" w:sz="12"/>
              <w:right w:val="none" w:color="FFFFFF" w:sz="0"/>
            </w:tcBorders>
            <w:tcMar>
              <w:top w:type="dxa" w:w="20"/>
              <w:left w:type="dxa" w:w="40"/>
              <w:bottom w:type="dxa" w:w="20"/>
              <w:right w:type="dxa" w:w="40"/>
            </w:tcMar>
            <w:vAlign w:val="center"/>
          </w:tcPr>
          <w:p>
            <w:pPr>
              <w:keepNext w:val="false"/>
              <w:keepLines/>
              <w:spacing w:after="0" w:before="0" w:line="240" w:lineRule="auto"/>
              <w:jc w:val="center"/>
            </w:pPr>
            <w:r>
              <w:rPr>
                <w:rFonts w:ascii="Times New Roman" w:cs="Times New Roman" w:eastAsia="宋体" w:hAnsi="Times New Roman"/>
                <w:color w:val="000000"/>
                <w:sz w:val="18"/>
                <w:szCs w:val="18"/>
              </w:rPr>
              <w:t xml:space="preserve">1.77</w:t>
            </w:r>
          </w:p>
        </w:tc>
      </w:tr>
    </w:tbl>
    <w:p>
      <w:pPr>
        <w:spacing w:after="160" w:before="40" w:line="240" w:lineRule="auto"/>
        <w:ind/>
        <w:jc w:val="left"/>
      </w:pPr>
      <w:r>
        <w:rPr>
          <w:rFonts w:ascii="Times New Roman" w:cs="Times New Roman" w:eastAsia="宋体" w:hAnsi="Times New Roman"/>
          <w:color w:val="000000"/>
          <w:sz w:val="18"/>
          <w:szCs w:val="18"/>
        </w:rPr>
        <w:t xml:space="preserve">注：增产值=（各处理产量−处理1产量）×稻谷价格；增收=增产值−肥料成本；产投比=增产值/肥料成本。因各处理除肥料外投入相同，表中收益仅用于处理间比较，不代表实际纯收益。</w:t>
      </w:r>
    </w:p>
    <w:p>
      <w:pPr>
        <w:keepNext/>
        <w:spacing w:after="80" w:before="160" w:line="360" w:lineRule="auto"/>
        <w:ind/>
        <w:jc w:val="left"/>
      </w:pPr>
      <w:r>
        <w:rPr>
          <w:rFonts w:ascii="Times New Roman" w:cs="Times New Roman" w:eastAsia="黑体" w:hAnsi="Times New Roman"/>
          <w:b/>
          <w:bCs/>
          <w:color w:val="000000"/>
          <w:sz w:val="24"/>
          <w:szCs w:val="24"/>
        </w:rPr>
        <w:t xml:space="preserve">3　讨论</w:t>
      </w:r>
    </w:p>
    <w:p>
      <w:pPr>
        <w:spacing w:after="0" w:before="0" w:line="360" w:lineRule="auto"/>
        <w:ind w:firstLine="420"/>
        <w:jc w:val="both"/>
      </w:pPr>
      <w:r>
        <w:rPr>
          <w:rFonts w:ascii="Times New Roman" w:cs="Times New Roman" w:eastAsia="宋体" w:hAnsi="Times New Roman"/>
          <w:color w:val="000000"/>
          <w:sz w:val="21"/>
          <w:szCs w:val="21"/>
        </w:rPr>
        <w:t xml:space="preserve">本试验中缺氮区相对产量为74.3%，氮肥贡献率达25.7%，氮肥的增产作用远大于磷、钾肥，这与安徽潜山</w:t>
      </w:r>
      <w:r>
        <w:rPr>
          <w:rFonts w:ascii="Times New Roman" w:cs="Times New Roman" w:eastAsia="宋体" w:hAnsi="Times New Roman"/>
          <w:color w:val="000000"/>
          <w:sz w:val="21"/>
          <w:szCs w:val="21"/>
          <w:vertAlign w:val="superscript"/>
        </w:rPr>
        <w:t xml:space="preserve">[13]</w:t>
      </w:r>
      <w:r>
        <w:rPr>
          <w:rFonts w:ascii="Times New Roman" w:cs="Times New Roman" w:eastAsia="宋体" w:hAnsi="Times New Roman"/>
          <w:color w:val="000000"/>
          <w:sz w:val="21"/>
          <w:szCs w:val="21"/>
        </w:rPr>
        <w:t xml:space="preserve">、旌德</w:t>
      </w:r>
      <w:r>
        <w:rPr>
          <w:rFonts w:ascii="Times New Roman" w:cs="Times New Roman" w:eastAsia="宋体" w:hAnsi="Times New Roman"/>
          <w:color w:val="000000"/>
          <w:sz w:val="21"/>
          <w:szCs w:val="21"/>
          <w:vertAlign w:val="superscript"/>
        </w:rPr>
        <w:t xml:space="preserve">[14]</w:t>
      </w:r>
      <w:r>
        <w:rPr>
          <w:rFonts w:ascii="Times New Roman" w:cs="Times New Roman" w:eastAsia="宋体" w:hAnsi="Times New Roman"/>
          <w:color w:val="000000"/>
          <w:sz w:val="21"/>
          <w:szCs w:val="21"/>
        </w:rPr>
        <w:t xml:space="preserve">以及其他稻区</w:t>
      </w:r>
      <w:r>
        <w:rPr>
          <w:rFonts w:ascii="Times New Roman" w:cs="Times New Roman" w:eastAsia="宋体" w:hAnsi="Times New Roman"/>
          <w:color w:val="000000"/>
          <w:sz w:val="21"/>
          <w:szCs w:val="21"/>
          <w:vertAlign w:val="superscript"/>
        </w:rPr>
        <w:t xml:space="preserve">[9,12]</w:t>
      </w:r>
      <w:r>
        <w:rPr>
          <w:rFonts w:ascii="Times New Roman" w:cs="Times New Roman" w:eastAsia="宋体" w:hAnsi="Times New Roman"/>
          <w:color w:val="000000"/>
          <w:sz w:val="21"/>
          <w:szCs w:val="21"/>
        </w:rPr>
        <w:t xml:space="preserve">的“3414”试验结果一致，表明氮素是该区域砂壤质稻田单季稻产量形成的首要限制因子。潜山试验缺氮区相对产量为75.6%</w:t>
      </w:r>
      <w:r>
        <w:rPr>
          <w:rFonts w:ascii="Times New Roman" w:cs="Times New Roman" w:eastAsia="宋体" w:hAnsi="Times New Roman"/>
          <w:color w:val="000000"/>
          <w:sz w:val="21"/>
          <w:szCs w:val="21"/>
          <w:vertAlign w:val="superscript"/>
        </w:rPr>
        <w:t xml:space="preserve">[13]</w:t>
      </w:r>
      <w:r>
        <w:rPr>
          <w:rFonts w:ascii="Times New Roman" w:cs="Times New Roman" w:eastAsia="宋体" w:hAnsi="Times New Roman"/>
          <w:color w:val="000000"/>
          <w:sz w:val="21"/>
          <w:szCs w:val="21"/>
        </w:rPr>
        <w:t xml:space="preserve">，与本试验的74.3%接近。随施氮量增加，水稻有效穗数和每穗总粒数增加，但当施氮量超过270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后，结实率和千粒重下降，产量不再增加，这与前人关于降低施氮量、优化群体仍可维持高产并提高氮素利用率的研究结果相呼应</w:t>
      </w:r>
      <w:r>
        <w:rPr>
          <w:rFonts w:ascii="Times New Roman" w:cs="Times New Roman" w:eastAsia="宋体" w:hAnsi="Times New Roman"/>
          <w:color w:val="000000"/>
          <w:sz w:val="21"/>
          <w:szCs w:val="21"/>
          <w:vertAlign w:val="superscript"/>
        </w:rPr>
        <w:t xml:space="preserve">[23]</w:t>
      </w:r>
      <w:r>
        <w:rPr>
          <w:rFonts w:ascii="Times New Roman" w:cs="Times New Roman" w:eastAsia="宋体" w:hAnsi="Times New Roman"/>
          <w:color w:val="000000"/>
          <w:sz w:val="21"/>
          <w:szCs w:val="21"/>
        </w:rPr>
        <w:t xml:space="preserve">，也与长江流域中稻氮肥增产效应随用量提高而递减的统计特征一致</w:t>
      </w:r>
      <w:r>
        <w:rPr>
          <w:rFonts w:ascii="Times New Roman" w:cs="Times New Roman" w:eastAsia="宋体" w:hAnsi="Times New Roman"/>
          <w:color w:val="000000"/>
          <w:sz w:val="21"/>
          <w:szCs w:val="21"/>
          <w:vertAlign w:val="superscript"/>
        </w:rPr>
        <w:t xml:space="preserve">[24]</w:t>
      </w:r>
      <w:r>
        <w:rPr>
          <w:rFonts w:ascii="Times New Roman" w:cs="Times New Roman" w:eastAsia="宋体" w:hAnsi="Times New Roman"/>
          <w:color w:val="000000"/>
          <w:sz w:val="21"/>
          <w:szCs w:val="21"/>
        </w:rPr>
        <w:t xml:space="preserve">。因此，生产上应将氮肥总量控制在270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左右，并通过氮肥后移等运筹措施进一步提高氮肥利用率</w:t>
      </w:r>
      <w:r>
        <w:rPr>
          <w:rFonts w:ascii="Times New Roman" w:cs="Times New Roman" w:eastAsia="宋体" w:hAnsi="Times New Roman"/>
          <w:color w:val="000000"/>
          <w:sz w:val="21"/>
          <w:szCs w:val="21"/>
          <w:vertAlign w:val="superscript"/>
        </w:rPr>
        <w:t xml:space="preserve">[6,24]</w:t>
      </w:r>
      <w:r>
        <w:rPr>
          <w:rFonts w:ascii="Times New Roman" w:cs="Times New Roman" w:eastAsia="宋体" w:hAnsi="Times New Roman"/>
          <w:color w:val="000000"/>
          <w:sz w:val="21"/>
          <w:szCs w:val="21"/>
        </w:rPr>
        <w:t xml:space="preserve">。</w:t>
      </w:r>
    </w:p>
    <w:p>
      <w:pPr>
        <w:spacing w:after="0" w:before="0" w:line="360" w:lineRule="auto"/>
        <w:ind w:firstLine="420"/>
        <w:jc w:val="both"/>
      </w:pPr>
      <w:r>
        <w:rPr>
          <w:rFonts w:ascii="Times New Roman" w:cs="Times New Roman" w:eastAsia="宋体" w:hAnsi="Times New Roman"/>
          <w:color w:val="000000"/>
          <w:sz w:val="21"/>
          <w:szCs w:val="21"/>
        </w:rPr>
        <w:t xml:space="preserve">“3414”试验三元二次方程拟合失败或出现非典型方程的情况在生产性试验中较为常见</w:t>
      </w:r>
      <w:r>
        <w:rPr>
          <w:rFonts w:ascii="Times New Roman" w:cs="Times New Roman" w:eastAsia="宋体" w:hAnsi="Times New Roman"/>
          <w:color w:val="000000"/>
          <w:sz w:val="21"/>
          <w:szCs w:val="21"/>
          <w:vertAlign w:val="superscript"/>
        </w:rPr>
        <w:t xml:space="preserve">[7-8,19]</w:t>
      </w:r>
      <w:r>
        <w:rPr>
          <w:rFonts w:ascii="Times New Roman" w:cs="Times New Roman" w:eastAsia="宋体" w:hAnsi="Times New Roman"/>
          <w:color w:val="000000"/>
          <w:sz w:val="21"/>
          <w:szCs w:val="21"/>
        </w:rPr>
        <w:t xml:space="preserve">。本试验三元二次方程虽然</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较高，但校正</w:t>
      </w:r>
      <w:r>
        <w:rPr>
          <w:rFonts w:ascii="Times New Roman" w:cs="Times New Roman" w:eastAsia="宋体" w:hAnsi="Times New Roman"/>
          <w:i/>
          <w:iCs/>
          <w:color w:val="000000"/>
          <w:sz w:val="21"/>
          <w:szCs w:val="21"/>
        </w:rPr>
        <w:t xml:space="preserve">R</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仅0.7939，且因磷、钾肥效应在设计范围内未出现拐点，方程的驻点落在试验范围之外或无农艺学意义，不能用于推荐施肥。在这种情况下，将一元二次方程、线性加平台模型和边际分析等方法相结合确定推荐施肥量更为稳妥</w:t>
      </w:r>
      <w:r>
        <w:rPr>
          <w:rFonts w:ascii="Times New Roman" w:cs="Times New Roman" w:eastAsia="宋体" w:hAnsi="Times New Roman"/>
          <w:color w:val="000000"/>
          <w:sz w:val="21"/>
          <w:szCs w:val="21"/>
          <w:vertAlign w:val="superscript"/>
        </w:rPr>
        <w:t xml:space="preserve">[19-20]</w:t>
      </w:r>
      <w:r>
        <w:rPr>
          <w:rFonts w:ascii="Times New Roman" w:cs="Times New Roman" w:eastAsia="宋体" w:hAnsi="Times New Roman"/>
          <w:color w:val="000000"/>
          <w:sz w:val="21"/>
          <w:szCs w:val="21"/>
        </w:rPr>
        <w:t xml:space="preserve">。本试验氮肥的线性加平台模型残差平方和小于一元二次方程，其拐点估计值与处理间直接比较的结果方向一致，说明对于产量已出现平台的养分，线性加平台模型具有更好的适用性；但受试验水平数和重复数限制，该拐点仅为粗略估计。</w:t>
      </w:r>
    </w:p>
    <w:p>
      <w:pPr>
        <w:spacing w:after="0" w:before="0" w:line="360" w:lineRule="auto"/>
        <w:ind w:firstLine="420"/>
        <w:jc w:val="both"/>
      </w:pPr>
      <w:r>
        <w:rPr>
          <w:rFonts w:ascii="Times New Roman" w:cs="Times New Roman" w:eastAsia="宋体" w:hAnsi="Times New Roman"/>
          <w:color w:val="000000"/>
          <w:sz w:val="21"/>
          <w:szCs w:val="21"/>
        </w:rPr>
        <w:t xml:space="preserve">本试验磷、钾肥在设计范围内均表现出持续的增产效应，这在很大程度上是试验设计的结果：本试验2水平高于安徽省单季稻常规推荐量，磷、钾肥效应在试验范围内未出现拐点应部分归因于此，而非土壤磷钾供应的真实响应上限。缺磷区相对产量为85.5%，土壤供磷能力属“中”等水平，这可能与试验田质地砂壤、保肥供肥能力较弱有关；缺钾区相对产量达94.9%、接近“高”水平，说明土壤钾素基础供应较好，但砂壤质土壤保钾能力相对较弱，在高产条件下增施钾肥仍表现出一定的增产效应，施钾提高水稻结实率和千粒重的作用也见于双季稻研究</w:t>
      </w:r>
      <w:r>
        <w:rPr>
          <w:rFonts w:ascii="Times New Roman" w:cs="Times New Roman" w:eastAsia="宋体" w:hAnsi="Times New Roman"/>
          <w:color w:val="000000"/>
          <w:sz w:val="21"/>
          <w:szCs w:val="21"/>
          <w:vertAlign w:val="superscript"/>
        </w:rPr>
        <w:t xml:space="preserve">[25]</w:t>
      </w:r>
      <w:r>
        <w:rPr>
          <w:rFonts w:ascii="Times New Roman" w:cs="Times New Roman" w:eastAsia="宋体" w:hAnsi="Times New Roman"/>
          <w:color w:val="000000"/>
          <w:sz w:val="21"/>
          <w:szCs w:val="21"/>
        </w:rPr>
        <w:t xml:space="preserve">。需要指出的是，本试验推荐的磷、钾用量仍高于潜山（P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54.7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122.3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r>
        <w:rPr>
          <w:rFonts w:ascii="Times New Roman" w:cs="Times New Roman" w:eastAsia="宋体" w:hAnsi="Times New Roman"/>
          <w:color w:val="000000"/>
          <w:sz w:val="21"/>
          <w:szCs w:val="21"/>
          <w:vertAlign w:val="superscript"/>
        </w:rPr>
        <w:t xml:space="preserve">[13]</w:t>
      </w:r>
      <w:r>
        <w:rPr>
          <w:rFonts w:ascii="Times New Roman" w:cs="Times New Roman" w:eastAsia="宋体" w:hAnsi="Times New Roman"/>
          <w:color w:val="000000"/>
          <w:sz w:val="21"/>
          <w:szCs w:val="21"/>
        </w:rPr>
        <w:t xml:space="preserve">等邻近县区的结果，其绝对水平不宜直接外推；磷素在土壤中易累积，长期大量施用存在环境风险</w:t>
      </w:r>
      <w:r>
        <w:rPr>
          <w:rFonts w:ascii="Times New Roman" w:cs="Times New Roman" w:eastAsia="宋体" w:hAnsi="Times New Roman"/>
          <w:color w:val="000000"/>
          <w:sz w:val="21"/>
          <w:szCs w:val="21"/>
          <w:vertAlign w:val="superscript"/>
        </w:rPr>
        <w:t xml:space="preserve">[6,21]</w:t>
      </w:r>
      <w:r>
        <w:rPr>
          <w:rFonts w:ascii="Times New Roman" w:cs="Times New Roman" w:eastAsia="宋体" w:hAnsi="Times New Roman"/>
          <w:color w:val="000000"/>
          <w:sz w:val="21"/>
          <w:szCs w:val="21"/>
        </w:rPr>
        <w:t xml:space="preserve">，因此生产上建议以处理6、7、9的施肥量为基础，根据土壤有效磷、速效钾测定值适当调整磷、钾肥用量。此外，本试验为单年单点试验且未设重复，无法进行方差分析和多重比较，部分处理（如K1与K2）产量的波动可能包含田间误差，上述推荐施肥量还需通过多年多点试验和大田示范进一步验证，并结合有机肥与化肥配施、缓控释肥等措施进行优化</w:t>
      </w:r>
      <w:r>
        <w:rPr>
          <w:rFonts w:ascii="Times New Roman" w:cs="Times New Roman" w:eastAsia="宋体" w:hAnsi="Times New Roman"/>
          <w:color w:val="000000"/>
          <w:sz w:val="21"/>
          <w:szCs w:val="21"/>
          <w:vertAlign w:val="superscript"/>
        </w:rPr>
        <w:t xml:space="preserve">[6]</w:t>
      </w:r>
      <w:r>
        <w:rPr>
          <w:rFonts w:ascii="Times New Roman" w:cs="Times New Roman" w:eastAsia="宋体" w:hAnsi="Times New Roman"/>
          <w:color w:val="000000"/>
          <w:sz w:val="21"/>
          <w:szCs w:val="21"/>
        </w:rPr>
        <w:t xml:space="preserve">。</w:t>
      </w:r>
    </w:p>
    <w:p>
      <w:pPr>
        <w:keepNext/>
        <w:spacing w:after="80" w:before="160" w:line="360" w:lineRule="auto"/>
        <w:ind/>
        <w:jc w:val="left"/>
      </w:pPr>
      <w:r>
        <w:rPr>
          <w:rFonts w:ascii="Times New Roman" w:cs="Times New Roman" w:eastAsia="黑体" w:hAnsi="Times New Roman"/>
          <w:b/>
          <w:bCs/>
          <w:color w:val="000000"/>
          <w:sz w:val="24"/>
          <w:szCs w:val="24"/>
        </w:rPr>
        <w:t xml:space="preserve">4　结论</w:t>
      </w:r>
    </w:p>
    <w:p>
      <w:pPr>
        <w:spacing w:after="0" w:before="0" w:line="360" w:lineRule="auto"/>
        <w:ind w:firstLine="420"/>
        <w:jc w:val="both"/>
      </w:pPr>
      <w:r>
        <w:rPr>
          <w:rFonts w:ascii="Times New Roman" w:cs="Times New Roman" w:eastAsia="宋体" w:hAnsi="Times New Roman"/>
          <w:color w:val="000000"/>
          <w:sz w:val="21"/>
          <w:szCs w:val="21"/>
        </w:rPr>
        <w:t xml:space="preserve">（1）施肥明显改善水稻经济性状并大幅提高产量（本试验未设重复，未作差异显著性检验）。处理10（N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180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337.5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）产量最高，为10200.0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，较无肥区增产54.5%，扣除肥料成本后收益22091.4元/hm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w:t>
      </w:r>
    </w:p>
    <w:p>
      <w:pPr>
        <w:spacing w:after="0" w:before="0" w:line="360" w:lineRule="auto"/>
        <w:ind w:firstLine="420"/>
        <w:jc w:val="both"/>
      </w:pPr>
      <w:r>
        <w:rPr>
          <w:rFonts w:ascii="Times New Roman" w:cs="Times New Roman" w:eastAsia="宋体" w:hAnsi="Times New Roman"/>
          <w:color w:val="000000"/>
          <w:sz w:val="21"/>
          <w:szCs w:val="21"/>
        </w:rPr>
        <w:t xml:space="preserve">（2）试验田土壤供氮能力属“低”水平，供磷、供钾能力属“中”水平；氮、磷、钾肥贡献率分别为25.7%、14.5%和5.1%，肥料效应表现为N&gt;P&gt;K；产量与每穗总粒数、有效穗数呈极显著正相关。</w:t>
      </w:r>
    </w:p>
    <w:p>
      <w:pPr>
        <w:spacing w:after="0" w:before="0" w:line="360" w:lineRule="auto"/>
        <w:ind w:firstLine="420"/>
        <w:jc w:val="both"/>
      </w:pPr>
      <w:r>
        <w:rPr>
          <w:rFonts w:ascii="Times New Roman" w:cs="Times New Roman" w:eastAsia="宋体" w:hAnsi="Times New Roman"/>
          <w:color w:val="000000"/>
          <w:sz w:val="21"/>
          <w:szCs w:val="21"/>
        </w:rPr>
        <w:t xml:space="preserve">（3）三元二次肥料效应方程未通过典型性检验；各单因素方程回归均未达显著水平，仅作趋势描述。氮肥响应在施N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左右趋于平台（线性加平台模型估计拐点约280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），施氮量超过270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后结实率和千粒重下降、产量不再增加；磷、钾肥效应在试验范围内未出现拐点。</w:t>
      </w:r>
    </w:p>
    <w:p>
      <w:pPr>
        <w:spacing w:after="0" w:before="0" w:line="360" w:lineRule="auto"/>
        <w:ind w:firstLine="420"/>
        <w:jc w:val="both"/>
      </w:pPr>
      <w:r>
        <w:rPr>
          <w:rFonts w:ascii="Times New Roman" w:cs="Times New Roman" w:eastAsia="宋体" w:hAnsi="Times New Roman"/>
          <w:color w:val="000000"/>
          <w:sz w:val="21"/>
          <w:szCs w:val="21"/>
        </w:rPr>
        <w:t xml:space="preserve">（4）在单年单点、不设重复的条件下，初步提出范岗镇砂壤质稻田单季稻施N 270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、P</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w:t>
      </w:r>
      <w:r>
        <w:rPr>
          <w:rFonts w:ascii="Times New Roman" w:cs="Times New Roman" w:eastAsia="宋体" w:hAnsi="Times New Roman"/>
          <w:color w:val="000000"/>
          <w:sz w:val="21"/>
          <w:szCs w:val="21"/>
          <w:vertAlign w:val="subscript"/>
        </w:rPr>
        <w:t xml:space="preserve">5</w:t>
      </w:r>
      <w:r>
        <w:rPr>
          <w:rFonts w:ascii="Times New Roman" w:cs="Times New Roman" w:eastAsia="宋体" w:hAnsi="Times New Roman"/>
          <w:color w:val="000000"/>
          <w:sz w:val="21"/>
          <w:szCs w:val="21"/>
        </w:rPr>
        <w:t xml:space="preserve"> 90～180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、K</w:t>
      </w:r>
      <w:r>
        <w:rPr>
          <w:rFonts w:ascii="Times New Roman" w:cs="Times New Roman" w:eastAsia="宋体" w:hAnsi="Times New Roman"/>
          <w:color w:val="000000"/>
          <w:sz w:val="21"/>
          <w:szCs w:val="21"/>
          <w:vertAlign w:val="subscript"/>
        </w:rPr>
        <w:t xml:space="preserve">2</w:t>
      </w:r>
      <w:r>
        <w:rPr>
          <w:rFonts w:ascii="Times New Roman" w:cs="Times New Roman" w:eastAsia="宋体" w:hAnsi="Times New Roman"/>
          <w:color w:val="000000"/>
          <w:sz w:val="21"/>
          <w:szCs w:val="21"/>
        </w:rPr>
        <w:t xml:space="preserve">O 112.5～225 kg/hm</w:t>
      </w:r>
      <w:r>
        <w:rPr>
          <w:rFonts w:ascii="Times New Roman" w:cs="Times New Roman" w:eastAsia="宋体" w:hAnsi="Times New Roman"/>
          <w:color w:val="000000"/>
          <w:sz w:val="21"/>
          <w:szCs w:val="21"/>
          <w:vertAlign w:val="superscript"/>
        </w:rPr>
        <w:t xml:space="preserve">2</w:t>
      </w:r>
      <w:r>
        <w:rPr>
          <w:rFonts w:ascii="Times New Roman" w:cs="Times New Roman" w:eastAsia="宋体" w:hAnsi="Times New Roman"/>
          <w:color w:val="000000"/>
          <w:sz w:val="21"/>
          <w:szCs w:val="21"/>
        </w:rPr>
        <w:t xml:space="preserve">，氮肥按基肥∶分蘖肥∶穗肥=50%∶25%∶25%、钾肥按基肥∶穗肥=60%∶40%分施，磷肥全部基施。上述推荐量系单年单点试验的初步结果，其中磷、钾肥的适宜用量因试验设计的2水平高于当地常规推荐量、在试验范围内未出现拐点，可靠性相对较低，尚需多点多年重复试验验证；生产上应用时应结合土壤有效磷、速效钾测试值适当下调。</w:t>
      </w:r>
    </w:p>
    <w:p>
      <w:pPr>
        <w:keepNext/>
        <w:spacing w:after="80" w:before="200" w:line="360" w:lineRule="auto"/>
        <w:ind/>
        <w:jc w:val="left"/>
      </w:pPr>
      <w:r>
        <w:rPr>
          <w:rFonts w:ascii="Times New Roman" w:cs="Times New Roman" w:eastAsia="黑体" w:hAnsi="Times New Roman"/>
          <w:color w:val="000000"/>
          <w:sz w:val="24"/>
          <w:szCs w:val="24"/>
        </w:rPr>
        <w:t xml:space="preserve">参考文献</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张福锁, 王激清, 张卫峰, 等. 中国主要粮食作物肥料利用率现状与提高途径[J]. 土壤学报, 2008, 45(5): 915-924.</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朱兆良. 农田中氮肥的损失与对策[J]. 土壤与环境, 2000, 9(1): 1-6.</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[3]</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耿维, 袁嫚嫚, 邬刚, 等. 安徽省作物养分供需分析及化肥减施潜力研究[J]. 中国生态农业学报, 2020, 28(2): 221-235.</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[4]</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白由路, 杨俐苹. 我国农业中的测土配方施肥[J]. 土壤肥料, 2006(2): 3-7.</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[5]</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中华人民共和国农业部. 测土配方施肥技术规程: NY/T 2911—2016[S]. 北京: 中国农业出版社, 2016.</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[6]</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周卫, 丁文成. 新阶段化肥减量增效战略研究[J]. 植物营养与肥料学报, 2023, 29(1): 1-7.</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[7]</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王圣瑞, 陈新平, 高祥照, 等. “3414”肥料试验模型拟合的探讨[J]. 植物营养与肥料学报, 2002, 8(4): 409-413.</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[8]</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杨俐苹, 白由路, 王贺, 等. 测土配方施肥指标体系建立中“3414”试验方案应用探讨——以内蒙古海拉尔地区油菜“3414”试验为例[J]. 植物营养与肥料学报, 2011, 17(4): 1018-1023.</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[9]</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冯静, 李京蓉, 关绍华, 等. 钟祥市潴育型土壤水稻“3414”肥料效应完全试验分析[J]. 湖北农业科学, 2020, 59(24): 48-50.</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[10]</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陈冬松, 李江南, 徐卫华. 水稻“3414”肥料效应田间试验[J]. 广东农业科学, 2011(22): 49-52.</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[11]</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高定如, 夏永龙, 姚永兵, 等. 机插水稻测土配方施肥3414试验初报[J]. 江西农业学报, 2009(6): 78-80.</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[12]</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依德萍, 桑红翠, 魏静涛, 等. 水稻“3414”试验肥料效应分析[J]. 河北农机, 2023(16): 114-116.</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[13]</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顾五毛. 潜山市单季稻“3414”肥料效应田间试验[J]. 安徽农学通报, 2019, 25(17): 82-84,158.</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[14]</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刘金松. 旌德县水稻“3414”试验对水稻产量效应研究试验报告[J]. 农家参谋, </w:t>
      </w:r>
      <w:r>
        <w:rPr>
          <w:rFonts w:ascii="Times New Roman" w:cs="Times New Roman" w:eastAsia="宋体" w:hAnsi="Times New Roman"/>
          <w:color w:val="000000"/>
          <w:sz w:val="18"/>
          <w:szCs w:val="18"/>
          <w:highlight w:val="yellow"/>
          <w:highlightCs w:val="yellow"/>
        </w:rPr>
        <w:t xml:space="preserve">【发表年份待核，约2020】</w:t>
      </w:r>
      <w:r>
        <w:rPr>
          <w:rFonts w:ascii="Times New Roman" w:cs="Times New Roman" w:eastAsia="宋体" w:hAnsi="Times New Roman"/>
          <w:color w:val="000000"/>
          <w:sz w:val="18"/>
          <w:szCs w:val="18"/>
        </w:rPr>
        <w:t xml:space="preserve">(</w:t>
      </w:r>
      <w:r>
        <w:rPr>
          <w:rFonts w:ascii="Times New Roman" w:cs="Times New Roman" w:eastAsia="宋体" w:hAnsi="Times New Roman"/>
          <w:color w:val="000000"/>
          <w:sz w:val="18"/>
          <w:szCs w:val="18"/>
          <w:highlight w:val="yellow"/>
          <w:highlightCs w:val="yellow"/>
        </w:rPr>
        <w:t xml:space="preserve">【期号待核】</w:t>
      </w:r>
      <w:r>
        <w:rPr>
          <w:rFonts w:ascii="Times New Roman" w:cs="Times New Roman" w:eastAsia="宋体" w:hAnsi="Times New Roman"/>
          <w:color w:val="000000"/>
          <w:sz w:val="18"/>
          <w:szCs w:val="18"/>
        </w:rPr>
        <w:t xml:space="preserve">): 74-75.</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[15]</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王华良, 何小卫. 2008年绩溪县水稻“3414”肥料效应田间试验报告[J]. 土壤, 2009, 41(2): 320-323.</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[16]</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李永友, 吕和平, 宛晓萍, 等. 早籼稻超高产栽培的N、P、K肥料效应研究[J]. 安徽农业科学, 2007, 35(23): 7215-7218.</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[17]</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苏文兵, 潘锦勇. 霍邱县水稻测土配方施肥效应分析[J]. 现代农业科技, 2022(17).</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[18]</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国家水稻数据中心. 吨两优900（审定编号：国审稻20200021）[EB/OL]. [2026-09-14]. https://www.ricedata.cn/variety/varis/622623.htm.</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[19]</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章明清, 李娟, 张立成, 等. 三元肥料效应模型的整合与优化建模策略[J]. 土壤学报, 2021, 58(3): 755-766.</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[20]</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范晓晖, 刘文婷, 陈慕松, 等. 基于R语言的水稻“3414”肥效试验统计分析[J]. 湖北农业科学, 2020, 59(13): 67-71.</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[21]</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孙洪仁, 张吉萍, 冮丽华, 等. 我国水稻土壤有效磷和速效钾丰缺指标与适宜磷钾施用量研究[J]. 中国稻米, 2018, 24(5).</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[22]</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姚莉, 蔡红梅, 王宏, 等. 基于“3414”试验模型的四川盆地中部水稻氮磷钾肥效应研究[J]. 中国农学通报, 2024, 40(29): 75-79.</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[23]</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谢小兵, 周雪峰, 蒋鹏, 等. 低氮密植栽培对超级稻产量和氮素利用率的影响[J]. 作物学报, 2015, 41(10): 1591-1602.</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[24]</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王姣琳, 徐新朋, 杨兰芳, 等. 长江流域中稻产量、肥料增产效应及利用率特征[J]. 植物营养与肥料学报, 2021, 27(6): 919-928.</w:t>
      </w:r>
    </w:p>
    <w:p>
      <w:pPr>
        <w:tabs>
          <w:tab w:val="left" w:pos="480"/>
        </w:tabs>
        <w:spacing w:after="0" w:line="276" w:lineRule="auto"/>
        <w:ind w:left="480" w:hanging="480"/>
        <w:jc w:val="left"/>
      </w:pPr>
      <w:r>
        <w:rPr>
          <w:rFonts w:ascii="Times New Roman" w:cs="Times New Roman" w:eastAsia="宋体" w:hAnsi="Times New Roman"/>
          <w:color w:val="000000"/>
          <w:sz w:val="18"/>
          <w:szCs w:val="18"/>
        </w:rPr>
        <w:t xml:space="preserve">[25]</w:t>
      </w:r>
      <w:r>
        <w:rPr>
          <w:rFonts w:ascii="Times New Roman" w:cs="Times New Roman" w:eastAsia="宋体" w:hAnsi="Times New Roman"/>
          <w:sz w:val="18"/>
          <w:szCs w:val="18"/>
        </w:rPr>
        <w:t xml:space="preserve">	</w:t>
      </w:r>
      <w:r>
        <w:rPr>
          <w:rFonts w:ascii="Times New Roman" w:cs="Times New Roman" w:eastAsia="宋体" w:hAnsi="Times New Roman"/>
          <w:color w:val="000000"/>
          <w:sz w:val="18"/>
          <w:szCs w:val="18"/>
        </w:rPr>
        <w:t xml:space="preserve">徐新朋, 王秀斌, 李大明, 等. 双季稻最佳磷肥和钾肥用量与密度组合研究[J]. 植物营养与肥料学报, 2016, 22(3): 598-608.</w:t>
      </w:r>
    </w:p>
    <w:sectPr>
      <w:footerReference w:type="default" r:id="rId7"/>
      <w:footerReference w:type="first" r:id="rId8"/>
      <w:pgSz w:w="11906" w:h="16838" w:orient="portrait"/>
      <w:pgMar w:top="1440" w:right="1700" w:bottom="1440" w:left="17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宋体"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after="0" w:before="0"/>
    </w:pPr>
  </w:p>
  <w:p>
    <w:pPr>
      <w:spacing w:after="0" w:before="0" w:line="240" w:lineRule="auto"/>
      <w:ind/>
      <w:jc w:val="left"/>
    </w:pPr>
    <w:r>
      <w:rPr>
        <w:rFonts w:ascii="Times New Roman" w:cs="Times New Roman" w:eastAsia="宋体" w:hAnsi="Times New Roman"/>
        <w:color w:val="000000"/>
        <w:sz w:val="15"/>
        <w:szCs w:val="15"/>
      </w:rPr>
      <w:t xml:space="preserve">基金项目　</w:t>
    </w:r>
    <w:r>
      <w:rPr>
        <w:rFonts w:ascii="Times New Roman" w:cs="Times New Roman" w:eastAsia="宋体" w:hAnsi="Times New Roman"/>
        <w:color w:val="000000"/>
        <w:sz w:val="15"/>
        <w:szCs w:val="15"/>
        <w:highlight w:val="yellow"/>
        <w:highlightCs w:val="yellow"/>
      </w:rPr>
      <w:t xml:space="preserve">【基金项目名称及编号；若无请删除此项】</w:t>
    </w:r>
    <w:r>
      <w:rPr>
        <w:rFonts w:ascii="Times New Roman" w:cs="Times New Roman" w:eastAsia="宋体" w:hAnsi="Times New Roman"/>
        <w:color w:val="000000"/>
        <w:sz w:val="15"/>
        <w:szCs w:val="15"/>
      </w:rPr>
      <w:t xml:space="preserve">。</w:t>
    </w:r>
  </w:p>
  <w:p>
    <w:pPr>
      <w:spacing w:after="0" w:before="0" w:line="240" w:lineRule="auto"/>
      <w:ind/>
      <w:jc w:val="left"/>
    </w:pPr>
    <w:r>
      <w:rPr>
        <w:rFonts w:ascii="Times New Roman" w:cs="Times New Roman" w:eastAsia="宋体" w:hAnsi="Times New Roman"/>
        <w:color w:val="000000"/>
        <w:sz w:val="15"/>
        <w:szCs w:val="15"/>
      </w:rPr>
      <w:t xml:space="preserve">作者简介　</w:t>
    </w:r>
    <w:r>
      <w:rPr>
        <w:rFonts w:ascii="Times New Roman" w:cs="Times New Roman" w:eastAsia="宋体" w:hAnsi="Times New Roman"/>
        <w:color w:val="000000"/>
        <w:sz w:val="15"/>
        <w:szCs w:val="15"/>
        <w:highlight w:val="yellow"/>
        <w:highlightCs w:val="yellow"/>
      </w:rPr>
      <w:t xml:space="preserve">【姓名】</w:t>
    </w:r>
    <w:r>
      <w:rPr>
        <w:rFonts w:ascii="Times New Roman" w:cs="Times New Roman" w:eastAsia="宋体" w:hAnsi="Times New Roman"/>
        <w:color w:val="000000"/>
        <w:sz w:val="15"/>
        <w:szCs w:val="15"/>
      </w:rPr>
      <w:t xml:space="preserve">（出生年—），</w:t>
    </w:r>
    <w:r>
      <w:rPr>
        <w:rFonts w:ascii="Times New Roman" w:cs="Times New Roman" w:eastAsia="宋体" w:hAnsi="Times New Roman"/>
        <w:color w:val="000000"/>
        <w:sz w:val="15"/>
        <w:szCs w:val="15"/>
        <w:highlight w:val="yellow"/>
        <w:highlightCs w:val="yellow"/>
      </w:rPr>
      <w:t xml:space="preserve">【性别】</w:t>
    </w:r>
    <w:r>
      <w:rPr>
        <w:rFonts w:ascii="Times New Roman" w:cs="Times New Roman" w:eastAsia="宋体" w:hAnsi="Times New Roman"/>
        <w:color w:val="000000"/>
        <w:sz w:val="15"/>
        <w:szCs w:val="15"/>
      </w:rPr>
      <w:t xml:space="preserve">，</w:t>
    </w:r>
    <w:r>
      <w:rPr>
        <w:rFonts w:ascii="Times New Roman" w:cs="Times New Roman" w:eastAsia="宋体" w:hAnsi="Times New Roman"/>
        <w:color w:val="000000"/>
        <w:sz w:val="15"/>
        <w:szCs w:val="15"/>
        <w:highlight w:val="yellow"/>
        <w:highlightCs w:val="yellow"/>
      </w:rPr>
      <w:t xml:space="preserve">【籍贯】</w:t>
    </w:r>
    <w:r>
      <w:rPr>
        <w:rFonts w:ascii="Times New Roman" w:cs="Times New Roman" w:eastAsia="宋体" w:hAnsi="Times New Roman"/>
        <w:color w:val="000000"/>
        <w:sz w:val="15"/>
        <w:szCs w:val="15"/>
      </w:rPr>
      <w:t xml:space="preserve">人，</w:t>
    </w:r>
    <w:r>
      <w:rPr>
        <w:rFonts w:ascii="Times New Roman" w:cs="Times New Roman" w:eastAsia="宋体" w:hAnsi="Times New Roman"/>
        <w:color w:val="000000"/>
        <w:sz w:val="15"/>
        <w:szCs w:val="15"/>
        <w:highlight w:val="yellow"/>
        <w:highlightCs w:val="yellow"/>
      </w:rPr>
      <w:t xml:space="preserve">【职称】</w:t>
    </w:r>
    <w:r>
      <w:rPr>
        <w:rFonts w:ascii="Times New Roman" w:cs="Times New Roman" w:eastAsia="宋体" w:hAnsi="Times New Roman"/>
        <w:color w:val="000000"/>
        <w:sz w:val="15"/>
        <w:szCs w:val="15"/>
      </w:rPr>
      <w:t xml:space="preserve">，从事</w:t>
    </w:r>
    <w:r>
      <w:rPr>
        <w:rFonts w:ascii="Times New Roman" w:cs="Times New Roman" w:eastAsia="宋体" w:hAnsi="Times New Roman"/>
        <w:color w:val="000000"/>
        <w:sz w:val="15"/>
        <w:szCs w:val="15"/>
        <w:highlight w:val="yellow"/>
        <w:highlightCs w:val="yellow"/>
      </w:rPr>
      <w:t xml:space="preserve">【研究方向】</w:t>
    </w:r>
    <w:r>
      <w:rPr>
        <w:rFonts w:ascii="Times New Roman" w:cs="Times New Roman" w:eastAsia="宋体" w:hAnsi="Times New Roman"/>
        <w:color w:val="000000"/>
        <w:sz w:val="15"/>
        <w:szCs w:val="15"/>
      </w:rPr>
      <w:t xml:space="preserve">工作。</w:t>
    </w:r>
  </w:p>
  <w:p>
    <w:pPr>
      <w:spacing w:after="0" w:before="0" w:line="240" w:lineRule="auto"/>
      <w:ind/>
      <w:jc w:val="left"/>
    </w:pPr>
    <w:r>
      <w:rPr>
        <w:rFonts w:ascii="Times New Roman" w:cs="Times New Roman" w:eastAsia="宋体" w:hAnsi="Times New Roman"/>
        <w:color w:val="000000"/>
        <w:sz w:val="15"/>
        <w:szCs w:val="15"/>
      </w:rPr>
      <w:t xml:space="preserve">收稿日期　2026-</w:t>
    </w:r>
    <w:r>
      <w:rPr>
        <w:rFonts w:ascii="Times New Roman" w:cs="Times New Roman" w:eastAsia="宋体" w:hAnsi="Times New Roman"/>
        <w:color w:val="000000"/>
        <w:sz w:val="15"/>
        <w:szCs w:val="15"/>
        <w:highlight w:val="yellow"/>
        <w:highlightCs w:val="yellow"/>
      </w:rPr>
      <w:t xml:space="preserve">【  】</w:t>
    </w:r>
    <w:r>
      <w:rPr>
        <w:rFonts w:ascii="Times New Roman" w:cs="Times New Roman" w:eastAsia="宋体" w:hAnsi="Times New Roman"/>
        <w:color w:val="000000"/>
        <w:sz w:val="15"/>
        <w:szCs w:val="15"/>
      </w:rPr>
      <w:t xml:space="preserve">-</w:t>
    </w:r>
    <w:r>
      <w:rPr>
        <w:rFonts w:ascii="Times New Roman" w:cs="Times New Roman" w:eastAsia="宋体" w:hAnsi="Times New Roman"/>
        <w:color w:val="000000"/>
        <w:sz w:val="15"/>
        <w:szCs w:val="15"/>
        <w:highlight w:val="yellow"/>
        <w:highlightCs w:val="yellow"/>
      </w:rPr>
      <w:t xml:space="preserve">【  】</w:t>
    </w:r>
  </w:p>
  <w:p>
    <w:pPr>
      <w:spacing w:before="60"/>
      <w:jc w:val="center"/>
    </w:pPr>
    <w:r>
      <w:rPr>
        <w:rFonts w:ascii="Times New Roman" w:cs="Times New Roman" w:eastAsia="宋体"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宋体" w:hAnsi="Times New Roman"/>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86e3f250907d144276fa7b9c2d2f62bba74ec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桐城市范岗镇单季稻"3414"肥料效应田间试验</dc:title>
  <cp:lastModifiedBy>Un-named</cp:lastModifiedBy>
  <cp:revision>1</cp:revision>
  <dcterms:created xsi:type="dcterms:W3CDTF">2026-09-14T17:38:42.599Z</dcterms:created>
  <dcterms:modified xsi:type="dcterms:W3CDTF">2026-09-14T17:38:42.599Z</dcterms:modified>
</cp:coreProperties>
</file>

<file path=docProps/custom.xml><?xml version="1.0" encoding="utf-8"?>
<Properties xmlns="http://schemas.openxmlformats.org/officeDocument/2006/custom-properties" xmlns:vt="http://schemas.openxmlformats.org/officeDocument/2006/docPropsVTypes"/>
</file>