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60" w:lineRule="auto"/>
        <w:ind/>
        <w:jc w:val="center"/>
      </w:pPr>
      <w:r>
        <w:rPr>
          <w:rFonts w:ascii="Times New Roman" w:cs="Times New Roman" w:eastAsia="楷体" w:hAnsi="Times New Roman"/>
          <w:color w:val="000000"/>
          <w:sz w:val="24"/>
          <w:szCs w:val="24"/>
        </w:rPr>
        <w:t xml:space="preserve">叶四明</w:t>
      </w:r>
    </w:p>
    <w:p>
      <w:pPr>
        <w:spacing w:after="160" w:before="0" w:line="36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60" w:lineRule="auto"/>
        <w:ind w:firstLine="420"/>
        <w:jc w:val="both"/>
      </w:pPr>
      <w:r>
        <w:rPr>
          <w:rFonts w:ascii="Times New Roman" w:cs="Times New Roman" w:eastAsia="宋体" w:hAnsi="Times New Roman"/>
          <w:color w:val="000000"/>
          <w:sz w:val="21"/>
          <w:szCs w:val="21"/>
        </w:rPr>
        <w:t xml:space="preserve">水稻是我国最主要的口粮作物，也是安徽省第一大粮食作物。桐城市位于安徽省中部偏西南，地处大别山东麓与长江北岸之间，是全国重要的商品粮生产基地，单季稻是当地最主要的粮食作物；范岗镇是桐城市水稻主产乡镇之一，稻作收入是当地农民的主要经济来源。长期以来，当地农户多凭经验施肥，普遍存在氮磷钾配比失调、施肥时期不合理、一次性重施基肥等问题，不仅增加了生产成本，也降低了肥料利用率，并带来农业面源污染风险</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。测土配方施肥是以土壤测试和肥料田间试验为基础，根据作物需肥规律、土壤供肥性能和肥料效应确定肥料用量、配比及施用方法的科学施肥技术，是提高肥料利用率、实现化肥减量增效的有效途径</w:t>
      </w:r>
      <w:r>
        <w:rPr>
          <w:rFonts w:ascii="Times New Roman" w:cs="Times New Roman" w:eastAsia="宋体" w:hAnsi="Times New Roman"/>
          <w:color w:val="000000"/>
          <w:sz w:val="21"/>
          <w:szCs w:val="21"/>
          <w:vertAlign w:val="superscript"/>
        </w:rPr>
        <w:t xml:space="preserve">[4-6]</w:t>
      </w:r>
      <w:r>
        <w:rPr>
          <w:rFonts w:ascii="Times New Roman" w:cs="Times New Roman" w:eastAsia="宋体" w:hAnsi="Times New Roman"/>
          <w:color w:val="000000"/>
          <w:sz w:val="21"/>
          <w:szCs w:val="21"/>
        </w:rPr>
        <w:t xml:space="preserve">。“3414”肥料效应田间试验是测土配方施肥的核心环节，通过该试验可以建立肥料效应函数，确定作物的最高产量施肥量和最佳经济施肥量，并据此建立土壤养分丰缺指标和推荐施肥指标体系</w:t>
      </w:r>
      <w:r>
        <w:rPr>
          <w:rFonts w:ascii="Times New Roman" w:cs="Times New Roman" w:eastAsia="宋体" w:hAnsi="Times New Roman"/>
          <w:color w:val="000000"/>
          <w:sz w:val="21"/>
          <w:szCs w:val="21"/>
          <w:vertAlign w:val="superscript"/>
        </w:rPr>
        <w:t xml:space="preserve">[5,7-8]</w:t>
      </w:r>
      <w:r>
        <w:rPr>
          <w:rFonts w:ascii="Times New Roman" w:cs="Times New Roman" w:eastAsia="宋体" w:hAnsi="Times New Roman"/>
          <w:color w:val="000000"/>
          <w:sz w:val="21"/>
          <w:szCs w:val="21"/>
        </w:rPr>
        <w:t xml:space="preserve">。近年来，国内各稻区围绕水稻开展了大量“3414”试验研究</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，安徽省潜山、旌德等地的试验结果表明，缺氮区减产幅度最大、氮肥的增产效应最为突出，而不同区域的最佳施肥量因土壤类型、品种和栽培方式不同存在较大差异</w:t>
      </w:r>
      <w:r>
        <w:rPr>
          <w:rFonts w:ascii="Times New Roman" w:cs="Times New Roman" w:eastAsia="宋体" w:hAnsi="Times New Roman"/>
          <w:color w:val="000000"/>
          <w:sz w:val="21"/>
          <w:szCs w:val="21"/>
          <w:vertAlign w:val="superscript"/>
        </w:rPr>
        <w:t xml:space="preserve">[13-17]</w:t>
      </w:r>
      <w:r>
        <w:rPr>
          <w:rFonts w:ascii="Times New Roman" w:cs="Times New Roman" w:eastAsia="宋体" w:hAnsi="Times New Roman"/>
          <w:color w:val="000000"/>
          <w:sz w:val="21"/>
          <w:szCs w:val="21"/>
        </w:rPr>
        <w:t xml:space="preserve">。范岗镇砂壤质稻田保肥供肥能力较弱，目前针对该区域的系统肥效试验数据仍较缺乏；同时，随着吨两优900等国审高产杂交籼稻新品种在本区域的应用</w:t>
      </w:r>
      <w:r>
        <w:rPr>
          <w:rFonts w:ascii="Times New Roman" w:cs="Times New Roman" w:eastAsia="宋体" w:hAnsi="Times New Roman"/>
          <w:color w:val="000000"/>
          <w:sz w:val="21"/>
          <w:szCs w:val="21"/>
          <w:vertAlign w:val="superscript"/>
        </w:rPr>
        <w:t xml:space="preserve">[18]</w:t>
      </w:r>
      <w:r>
        <w:rPr>
          <w:rFonts w:ascii="Times New Roman" w:cs="Times New Roman" w:eastAsia="宋体" w:hAnsi="Times New Roman"/>
          <w:color w:val="000000"/>
          <w:sz w:val="21"/>
          <w:szCs w:val="21"/>
        </w:rPr>
        <w:t xml:space="preserve">，原有施肥参数亟需更新。为此，笔者于2025年在范岗镇开展了单季稻“3414”肥料效应田间试验，研究不同氮、磷、钾施肥水平对水稻经济性状、产量和效益的影响，拟合肥料效应方程，评价土壤供肥能力，以期为当地单季稻科学施肥和测土配方施肥指标体系的完善提供依据。</w:t>
      </w:r>
    </w:p>
    <w:p>
      <w:pPr>
        <w:keepNext/>
        <w:spacing w:after="80" w:before="160" w:line="36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60" w:lineRule="auto"/>
        <w:ind/>
        <w:jc w:val="left"/>
      </w:pPr>
      <w:r>
        <w:rPr>
          <w:rFonts w:ascii="Times New Roman" w:cs="Times New Roman" w:eastAsia="黑体" w:hAnsi="Times New Roman"/>
          <w:b/>
          <w:bCs/>
          <w:color w:val="000000"/>
          <w:sz w:val="21"/>
          <w:szCs w:val="21"/>
        </w:rPr>
        <w:t xml:space="preserve">1.1　试验地概况</w:t>
      </w:r>
    </w:p>
    <w:p>
      <w:pPr>
        <w:spacing w:after="0" w:before="0" w:line="36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6.1，耕层土壤有机质含量</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g/kg、碱解氮</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mg/kg、有效磷</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mg/kg、速效钾</w:t>
      </w:r>
      <w:r>
        <w:rPr>
          <w:rFonts w:ascii="Times New Roman" w:cs="Times New Roman" w:eastAsia="宋体" w:hAnsi="Times New Roman"/>
          <w:color w:val="000000"/>
          <w:sz w:val="21"/>
          <w:szCs w:val="21"/>
          <w:highlight w:val="yellow"/>
          <w:highlightCs w:val="yellow"/>
        </w:rPr>
        <w:t xml:space="preserve">【  】</w:t>
      </w:r>
      <w:r>
        <w:rPr>
          <w:rFonts w:ascii="Times New Roman" w:cs="Times New Roman" w:eastAsia="宋体" w:hAnsi="Times New Roman"/>
          <w:color w:val="000000"/>
          <w:sz w:val="21"/>
          <w:szCs w:val="21"/>
        </w:rPr>
        <w:t xml:space="preserve">mg/kg（供试田块土壤养分测定值，请按化验报告填写；如暂缺，可删去本句，本文土壤供肥能力评价以缺素区相对产量为依据）。</w:t>
      </w:r>
    </w:p>
    <w:p>
      <w:pPr>
        <w:keepNext/>
        <w:spacing w:after="40" w:before="100" w:line="360" w:lineRule="auto"/>
        <w:ind/>
        <w:jc w:val="left"/>
      </w:pPr>
      <w:r>
        <w:rPr>
          <w:rFonts w:ascii="Times New Roman" w:cs="Times New Roman" w:eastAsia="黑体" w:hAnsi="Times New Roman"/>
          <w:b/>
          <w:bCs/>
          <w:color w:val="000000"/>
          <w:sz w:val="21"/>
          <w:szCs w:val="21"/>
        </w:rPr>
        <w:t xml:space="preserve">1.2　供试材料</w:t>
      </w:r>
    </w:p>
    <w:p>
      <w:pPr>
        <w:spacing w:after="0" w:before="0" w:line="360" w:lineRule="auto"/>
        <w:ind w:firstLine="420"/>
        <w:jc w:val="both"/>
      </w:pPr>
      <w:r>
        <w:rPr>
          <w:rFonts w:ascii="Times New Roman" w:cs="Times New Roman" w:eastAsia="宋体" w:hAnsi="Times New Roman"/>
          <w:color w:val="000000"/>
          <w:sz w:val="21"/>
          <w:szCs w:val="21"/>
        </w:rPr>
        <w:t xml:space="preserve">供试水稻品种为杂交籼稻吨两优900。供试肥料：尿素（N 46.3%，安徽昊源化工集团有限公司生产）、颗粒过磷酸钙（P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≥12%，铜陵市化学工业集团有限公司生产）、氯化钾（K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O≥60%，俄罗斯乌拉尔钾肥公司生产）。</w:t>
      </w:r>
    </w:p>
    <w:p>
      <w:pPr>
        <w:keepNext/>
        <w:spacing w:after="40" w:before="100" w:line="360" w:lineRule="auto"/>
        <w:ind/>
        <w:jc w:val="left"/>
      </w:pPr>
      <w:r>
        <w:rPr>
          <w:rFonts w:ascii="Times New Roman" w:cs="Times New Roman" w:eastAsia="黑体" w:hAnsi="Times New Roman"/>
          <w:b/>
          <w:bCs/>
          <w:color w:val="000000"/>
          <w:sz w:val="21"/>
          <w:szCs w:val="21"/>
        </w:rPr>
        <w:t xml:space="preserve">1.3　试验设计</w:t>
      </w:r>
    </w:p>
    <w:p>
      <w:pPr>
        <w:spacing w:after="0" w:before="0" w:line="36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60" w:lineRule="auto"/>
        <w:ind w:firstLine="420"/>
        <w:jc w:val="both"/>
      </w:pPr>
      <w:r>
        <w:rPr>
          <w:rFonts w:ascii="Times New Roman" w:cs="Times New Roman" w:eastAsia="宋体" w:hAnsi="Times New Roman"/>
          <w:color w:val="000000"/>
          <w:sz w:val="21"/>
          <w:szCs w:val="21"/>
        </w:rPr>
        <w:t xml:space="preserve">需要说明的是，本试验2水平高于安徽省单季稻常规推荐量（一般N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[13,16]</w:t>
      </w:r>
      <w:r>
        <w:rPr>
          <w:rFonts w:ascii="Times New Roman" w:cs="Times New Roman" w:eastAsia="宋体" w:hAnsi="Times New Roman"/>
          <w:color w:val="000000"/>
          <w:sz w:val="21"/>
          <w:szCs w:val="21"/>
        </w:rPr>
        <w:t xml:space="preserve">，因此本试验实际考察的是常规推荐量及其以上区间的肥料效应，对低于1水平的施肥量无法提供响应信息。小区面积30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m），14个小区分2排布置、每排7个，随机排列，不设重复；因不设重复，无法通过区组校正可能存在的田间肥力梯度。小区间人工筑埂分隔，田埂宽30 cm、高30 cm，并用塑料薄膜包裹，防止肥水串渗；试验区四周设置保护行和排灌沟，各小区单排单灌。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1114"/>
        <w:gridCol w:w="1316"/>
        <w:gridCol w:w="810"/>
        <w:gridCol w:w="810"/>
        <w:gridCol w:w="810"/>
        <w:gridCol w:w="1215"/>
        <w:gridCol w:w="1215"/>
        <w:gridCol w:w="1215"/>
      </w:tblGrid>
      <w:tr>
        <w:trPr>
          <w:cantSplit/>
          <w:tblHeader/>
        </w:trPr>
        <w:tc>
          <w:tcPr>
            <w:tcW w:type="dxa" w:w="1114"/>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316"/>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430"/>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64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10"/>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1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1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3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1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3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1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b/>
          <w:bCs/>
          <w:color w:val="000000"/>
          <w:sz w:val="21"/>
          <w:szCs w:val="21"/>
        </w:rPr>
        <w:t xml:space="preserve">1.4　田间管理</w:t>
      </w:r>
    </w:p>
    <w:p>
      <w:pPr>
        <w:spacing w:after="0" w:before="0" w:line="36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分3次施用，磷肥全部作基肥一次性施用，钾肥按基肥∶穗肥=60%∶40%分2次施用；基肥于6月6日移栽前撒施，分蘖肥于6月13日撒施，穗肥于8月10日撒施。7月18日第1次用药防治二化螟、稻纵卷叶螟、白背飞虱和纹枯病，8月23日第2次用药防治二化螟、稻纵卷叶螟、稻飞虱及纹枯病、稻瘟病和稻曲病，两次施药的药剂种类、用量及施药方式各小区完全一致。各小区水分管理等其他措施均与当地常规栽培一致。</w:t>
      </w:r>
    </w:p>
    <w:p>
      <w:pPr>
        <w:keepNext/>
        <w:spacing w:after="40" w:before="100" w:line="36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6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成熟期每小区选取有代表性稻株10穴，调查单穴有效穗数，按实际栽插密度16.7万穴/hm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）全部单收单打，脱粒、晒干扬净后称重，折算成单位面积产量（kg/hm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）。试验前采集耕层（0～20 cm）混合土样，按《测土配方施肥技术规程》（NY/T 2911—2016）测定有机质、碱解氮、有效磷和速效钾含量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keepNext/>
        <w:spacing w:after="40" w:before="100" w:line="360" w:lineRule="auto"/>
        <w:ind/>
        <w:jc w:val="left"/>
      </w:pPr>
      <w:r>
        <w:rPr>
          <w:rFonts w:ascii="Times New Roman" w:cs="Times New Roman" w:eastAsia="黑体" w:hAnsi="Times New Roman"/>
          <w:b/>
          <w:bCs/>
          <w:color w:val="000000"/>
          <w:sz w:val="21"/>
          <w:szCs w:val="21"/>
        </w:rPr>
        <w:t xml:space="preserve">1.6　数据处理</w:t>
      </w:r>
    </w:p>
    <w:p>
      <w:pPr>
        <w:spacing w:after="0" w:before="0" w:line="360" w:lineRule="auto"/>
        <w:ind w:firstLine="420"/>
        <w:jc w:val="both"/>
      </w:pPr>
      <w:r>
        <w:rPr>
          <w:rFonts w:ascii="Times New Roman" w:cs="Times New Roman" w:eastAsia="宋体" w:hAnsi="Times New Roman"/>
          <w:color w:val="000000"/>
          <w:sz w:val="21"/>
          <w:szCs w:val="21"/>
        </w:rPr>
        <w:t xml:space="preserve">数据采用Microsoft Excel 2019整理，采用Python 3.12（NumPy、SciPy）进行回归拟合和Pearson相关分析，相关系数的显著性采用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6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[5]</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[7,19-20]</w:t>
      </w:r>
      <w:r>
        <w:rPr>
          <w:rFonts w:ascii="Times New Roman" w:cs="Times New Roman" w:eastAsia="宋体" w:hAnsi="Times New Roman"/>
          <w:color w:val="000000"/>
          <w:sz w:val="21"/>
          <w:szCs w:val="21"/>
        </w:rPr>
        <w:t xml:space="preserve">，其中一元二次方程分别以处理2、3、6、11（氮）、处理4、5、6、7（磷）和处理8、9、6、10（钾）的产量拟合；最高产量施肥量由方程一阶偏导数为0求得。因本试验三元二次方程未通过典型性检验、磷钾方程极值点远超试验设计范围，最佳经济施肥量改用相邻施肥水平间的边际分析（边际产值与边际肥料成本之比）评价</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经济效益分析中，肥料价格按试验当年当地市场价计：尿素2.10元/kg、颗粒过磷酸钙0.80元/kg、氯化钾3.20元/kg，折合纯N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5.33元/kg；稻谷价格按2025年国家中晚籼稻最低收购价（129元/50 kg）折合2.58元/kg计。产值=产量×稻谷价格；扣除肥料成本后收益=产值−肥料成本；增产值=（施肥处理产量−无肥区产量）×稻谷价格；增收=增产值−肥料成本；产投比=增产值/肥料成本。因各处理除肥料外的投入完全相同，本文仅以肥料成本作为差异性成本，所得收益值仅用于处理间比较，不代表水稻生产的实际纯收益。</w:t>
      </w:r>
    </w:p>
    <w:p>
      <w:pPr>
        <w:spacing w:after="0" w:before="0" w:line="360" w:lineRule="auto"/>
        <w:ind w:firstLine="420"/>
        <w:jc w:val="both"/>
      </w:pPr>
      <w:r>
        <w:rPr>
          <w:rFonts w:ascii="Times New Roman" w:cs="Times New Roman" w:eastAsia="宋体" w:hAnsi="Times New Roman"/>
          <w:color w:val="000000"/>
          <w:sz w:val="21"/>
          <w:szCs w:val="21"/>
        </w:rPr>
        <w:t xml:space="preserve">本试验不设重复，无法估计试验误差，故未进行方差分析和多重比较，处理间产量差异仅作趋势性描述；单因素效应方程以处理小区观测值为单位拟合，残差中不含独立的试验误差估计，所给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值仅用于比较模型拟合优劣，不作为肥效显著性的统计推断依据。全文除相关分析外，不使用“显著”等统计学推断术语。</w:t>
      </w:r>
    </w:p>
    <w:p>
      <w:pPr>
        <w:keepNext/>
        <w:spacing w:after="80" w:before="160" w:line="36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6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60" w:lineRule="auto"/>
        <w:ind w:firstLine="420"/>
        <w:jc w:val="both"/>
      </w:pPr>
      <w:r>
        <w:rPr>
          <w:rFonts w:ascii="Times New Roman" w:cs="Times New Roman" w:eastAsia="宋体" w:hAnsi="Times New Roman"/>
          <w:color w:val="000000"/>
          <w:sz w:val="21"/>
          <w:szCs w:val="21"/>
        </w:rPr>
        <w:t xml:space="preserve">由表2可知，各处理水稻株高为115.2～120.7 cm，穗长23.8～25.8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，每穗总粒数187.5～208.9粒，每穗实粒数161.3～183.1粒，结实率80.5%～87.6%，千粒重23.1～23.8 g。无肥区（处理1）株高、穗长、有效穗数、每穗总粒数和每穗实粒数均为各处理最低，但其结实率（86.0%）和千粒重（23.2 g）处于中上水平，说明不施肥主要通过限制群体大小和穗粒数、而非籽粒灌浆充实度来降低产量。</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，株高由116.1 cm增至120.7 cm，穗长由23.9 cm增至25.8 cm，有效穗数由210.0万穗/hm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，每穗总粒数由189.7粒增至202.5粒（N2水平后不再增加），表明增施氮肥能明显扩大群体、增加有效穗数，而对每穗总粒数的促进作用在N2水平即已达上限。但结实率由87.0%降至80.5%，千粒重在N2水平最高（23.5 g）、至N3水平降至23.1 g，其中处理11（N3）的结实率为各处理最低，说明施氮量超过270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后群体过大，结实率和千粒重随之下降。</w:t>
      </w:r>
    </w:p>
    <w:p>
      <w:pPr>
        <w:spacing w:after="0" w:before="0" w:line="360" w:lineRule="auto"/>
        <w:ind w:firstLine="420"/>
        <w:jc w:val="both"/>
      </w:pPr>
      <w:r>
        <w:rPr>
          <w:rFonts w:ascii="Times New Roman" w:cs="Times New Roman" w:eastAsia="宋体" w:hAnsi="Times New Roman"/>
          <w:color w:val="000000"/>
          <w:sz w:val="21"/>
          <w:szCs w:val="21"/>
        </w:rPr>
        <w:t xml:space="preserve">在氮、钾肥均为2水平的条件下，随施磷量由0增至270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，每穗实粒数由164.6粒增至176.7粒，千粒重由23.1 g增至23.6 g，均呈增加趋势；在氮、磷肥均为2水平的条件下，随施钾量由0增至337.5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，结实率由84.2%提高到87.6%，千粒重由23.1 g增至23.8 g，说明增施钾肥有利于提高结实率和千粒重。相关分析以14个处理的观测值为单位（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=0.979）、有效穗数（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=0.936）、穗长（</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=0.807）、株高（</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=0.801）和每穗实粒数（</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=0.748）均呈极显著正相关（</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&lt;0.01），与千粒重呈正相关但未达显著水平（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=0.517，</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=0.058），与结实率相关不显著（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=−0.126）。上述相关系数系基于处理观测值计算，且各产量构成因素与产量在数量上互为乘积关系，因而只能说明本试验中产量的提高主要伴随有效穗数和每穗总粒数的增加，不能据此判定因果关系或因素主次。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773"/>
        <w:gridCol w:w="967"/>
        <w:gridCol w:w="967"/>
        <w:gridCol w:w="1353"/>
        <w:gridCol w:w="1257"/>
        <w:gridCol w:w="1257"/>
        <w:gridCol w:w="967"/>
        <w:gridCol w:w="967"/>
      </w:tblGrid>
      <w:tr>
        <w:trPr>
          <w:cantSplit/>
          <w:tblHeader/>
        </w:trPr>
        <w:tc>
          <w:tcPr>
            <w:tcW w:type="dxa" w:w="7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35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2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96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7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35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2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96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7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35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2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96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6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60" w:lineRule="auto"/>
        <w:ind w:firstLine="420"/>
        <w:jc w:val="both"/>
      </w:pPr>
      <w:r>
        <w:rPr>
          <w:rFonts w:ascii="Times New Roman" w:cs="Times New Roman" w:eastAsia="宋体" w:hAnsi="Times New Roman"/>
          <w:color w:val="000000"/>
          <w:sz w:val="21"/>
          <w:szCs w:val="21"/>
        </w:rPr>
        <w:t xml:space="preserve">由表3可知，各处理产量为6600.0～10200.0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）最高，达10200.0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，较无肥区（处理1）增产3600.0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）、处理9（N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1</w:t>
      </w:r>
      <w:r>
        <w:rPr>
          <w:rFonts w:ascii="Times New Roman" w:cs="Times New Roman" w:eastAsia="宋体" w:hAnsi="Times New Roman"/>
          <w:color w:val="000000"/>
          <w:sz w:val="21"/>
          <w:szCs w:val="21"/>
        </w:rPr>
        <w:t xml:space="preserve">）和处理6（N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），分别较无肥区增产46.0%、40.4%和39.4%；无肥区产量最低。缺氮区（处理2）产量仅6833.3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，较无肥区仅增产3.5%，远低于缺磷区（处理4，增产19.2%）和缺钾区（处理8，增产32.3%），说明氮素是限制该试验田水稻产量的首要因子，磷次之，钾的限制作用相对较小。需要指出的是，小区实收误差0.1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，在不设重复的条件下，处理间产量差异较小时不宜据以判定优劣。</w:t>
      </w:r>
    </w:p>
    <w:p>
      <w:pPr>
        <w:spacing w:after="0" w:before="0" w:line="360" w:lineRule="auto"/>
        <w:ind w:firstLine="420"/>
        <w:jc w:val="both"/>
      </w:pPr>
      <w:r>
        <w:rPr>
          <w:rFonts w:ascii="Times New Roman" w:cs="Times New Roman" w:eastAsia="宋体" w:hAnsi="Times New Roman"/>
          <w:color w:val="000000"/>
          <w:sz w:val="21"/>
          <w:szCs w:val="21"/>
        </w:rPr>
        <w:t xml:space="preserve">在磷、钾肥均为2水平的条件下，N0、N1、N2、N3处理的产量分别为6833.3、7600.0、9200.0和9166.7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，N2较N1增产21.1%，而N3较N2减产0.4%，表明施氮量达到270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后产量趋于平台，继续增施氮肥不再增产。在氮、钾肥均为2水平的条件下，P0～P3处理的产量分别为7866.7、8366.7、9200.0和9633.3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，随施磷量增加而持续增加，P3较P2增产4.7%。在氮、磷肥均为2水平的条件下，K0～K3处理的产量分别为8733.3、9266.7、9200.0和10200.0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，总体呈上升趋势，K3较K2增产10.9%，但K1与K2产量接近且序列内部非单调，可能与试验未设重复、存在田间误差有关。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884"/>
        <w:gridCol w:w="1215"/>
        <w:gridCol w:w="1215"/>
        <w:gridCol w:w="1547"/>
        <w:gridCol w:w="1657"/>
        <w:gridCol w:w="1105"/>
        <w:gridCol w:w="884"/>
      </w:tblGrid>
      <w:tr>
        <w:trPr>
          <w:cantSplit/>
          <w:tblHeader/>
        </w:trPr>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小区产量/kg</w:t>
            </w:r>
          </w:p>
        </w:tc>
        <w:tc>
          <w:tcPr>
            <w:tcW w:type="dxa" w:w="15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比CK增产/(kg/hm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0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88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26.2</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27.8</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30.6</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3600.0</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27.5</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1366.7</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r>
      <w:tr>
        <w:trPr>
          <w:cantSplit/>
          <w:tblHeader w:val="false"/>
        </w:trPr>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5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6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1633.3</w:t>
            </w:r>
          </w:p>
        </w:tc>
        <w:tc>
          <w:tcPr>
            <w:tcW w:type="dxa" w:w="110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88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r>
      <w:tr>
        <w:trPr>
          <w:cantSplit/>
          <w:tblHeader w:val="false"/>
        </w:trPr>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5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6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1666.7</w:t>
            </w:r>
          </w:p>
        </w:tc>
        <w:tc>
          <w:tcPr>
            <w:tcW w:type="dxa" w:w="110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88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w:t>
      </w:r>
    </w:p>
    <w:p>
      <w:pPr>
        <w:keepNext/>
        <w:spacing w:after="40" w:before="100" w:line="36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6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全肥区较无肥区增产39.4%。缺氮区、缺磷区和缺钾区的相对产量分别为74.3%、85.5%和94.9%，按照相对产量划分标准，试验田土壤供氮能力属“低”水平，供磷、供钾能力属“中”水平，其中供钾能力已接近“高”水平。氮、磷、钾肥的贡献率分别为25.7%、14.5%和5.1%，农学效率分别为8.77、7.41和2.07 kg/kg，肥料增产效应表现为N&gt;P&gt;K，与缺素区产量分析的结果一致</w:t>
      </w:r>
      <w:r>
        <w:rPr>
          <w:rFonts w:ascii="Times New Roman" w:cs="Times New Roman" w:eastAsia="宋体" w:hAnsi="Times New Roman"/>
          <w:color w:val="000000"/>
          <w:sz w:val="21"/>
          <w:szCs w:val="21"/>
          <w:vertAlign w:val="superscript"/>
        </w:rPr>
        <w:t xml:space="preserve">[21]</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需要说明的是，缺氮区相对产量（74.3%）紧邻“低”与“中”的分级临界值（75%），相当于小区实收相差0.2 kg即可改变等级判定；相对产量还对全肥区基数的选择较敏感（若以本试验产量最高的处理10为基数，三者分别为67.0%、77.1%和85.6%）。故上述丰缺等级为初步判定，尚需结合土壤测试值和多点试验加以验证。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1816"/>
        <w:gridCol w:w="1242"/>
        <w:gridCol w:w="1051"/>
        <w:gridCol w:w="1147"/>
        <w:gridCol w:w="1338"/>
        <w:gridCol w:w="1338"/>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8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3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8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05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3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8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05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3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6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6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6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6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6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=0.043），但14个观测值需拟合10个参数，残差自由度仅为4，校正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降至0.7939，拟合优度的表观偏高主要源于自由度不足。方程中K的一次项系数为负、二次项系数为正，不符合肥料效应报酬递减规律；方程的驻点为N 671.4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分别为试验最高用量的1.7倍和4.0倍，远超试验设计范围，K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O则远低于2水平用量，均无农艺学意义；且二阶偏导数矩阵的特征值一正二负（0.0402、−0.0067、−0.0502），驻点为鞍点而非极大值点。故该方程未通过典型性检验，不能直接用于推荐施肥量的计算</w:t>
      </w:r>
      <w:r>
        <w:rPr>
          <w:rFonts w:ascii="Times New Roman" w:cs="Times New Roman" w:eastAsia="宋体" w:hAnsi="Times New Roman"/>
          <w:color w:val="000000"/>
          <w:sz w:val="21"/>
          <w:szCs w:val="21"/>
          <w:vertAlign w:val="superscript"/>
        </w:rPr>
        <w:t xml:space="preserve">[7,19]</w:t>
      </w:r>
      <w:r>
        <w:rPr>
          <w:rFonts w:ascii="Times New Roman" w:cs="Times New Roman" w:eastAsia="宋体" w:hAnsi="Times New Roman"/>
          <w:color w:val="000000"/>
          <w:sz w:val="21"/>
          <w:szCs w:val="21"/>
        </w:rPr>
        <w:t xml:space="preserve">。在磷、钾肥效应出现拐点的试验中，三元二次方程可获得较好的拟合并据以推荐施肥</w:t>
      </w:r>
      <w:r>
        <w:rPr>
          <w:rFonts w:ascii="Times New Roman" w:cs="Times New Roman" w:eastAsia="宋体" w:hAnsi="Times New Roman"/>
          <w:color w:val="000000"/>
          <w:sz w:val="21"/>
          <w:szCs w:val="21"/>
          <w:vertAlign w:val="superscript"/>
        </w:rPr>
        <w:t xml:space="preserve">[22]</w:t>
      </w:r>
      <w:r>
        <w:rPr>
          <w:rFonts w:ascii="Times New Roman" w:cs="Times New Roman" w:eastAsia="宋体" w:hAnsi="Times New Roman"/>
          <w:color w:val="000000"/>
          <w:sz w:val="21"/>
          <w:szCs w:val="21"/>
        </w:rPr>
        <w:t xml:space="preserve">，本试验未能如此。方程未通过典型性检验，可能与磷、钾肥效应在试验设计范围内尚未出现拐点、以及试验未设重复、试验误差无法估计有关。</w:t>
      </w:r>
    </w:p>
    <w:p>
      <w:pPr>
        <w:keepNext/>
        <w:spacing w:after="20" w:before="60" w:line="36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6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6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=0.9269），符合报酬递减规律，属典型方程。但由其计算的最高产量施氮量为492.7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，超出了试验设计范围，这是由于产量在N2与N3水平之间已趋于平台、而一元二次方程的曲率较小所致。改用线性加平台模型拟合，得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≥282.0），残差平方和小于一元二次方程（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分别为0.9722和0.9269）。该模型估计的拐点约为280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；因平台段仅有N3一个观测点，其置信区间在本数据条件下无法估计，但与处理间直接比较（N2与N3产量基本持平）的结果方向一致。</w:t>
      </w:r>
    </w:p>
    <w:p>
      <w:pPr>
        <w:spacing w:after="0" w:before="0" w:line="36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=0.9859），二次项系数接近于0，产量在0～270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=0.9926）。由二次方程计算的最高产量施磷量（1791.0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）无实际意义，说明在试验范围内磷肥效应尚未达到拐点。钾肥效应方程为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537"/>
        <w:gridCol w:w="806"/>
        <w:gridCol w:w="2686"/>
        <w:gridCol w:w="627"/>
        <w:gridCol w:w="537"/>
        <w:gridCol w:w="537"/>
        <w:gridCol w:w="716"/>
        <w:gridCol w:w="1074"/>
        <w:gridCol w:w="985"/>
      </w:tblGrid>
      <w:tr>
        <w:trPr>
          <w:cantSplit/>
          <w:tblHeader/>
        </w:trPr>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0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68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2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3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1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07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98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0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68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2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3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1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07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0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68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2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3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1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7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98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6115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2288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6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60" w:lineRule="auto"/>
        <w:ind w:firstLine="420"/>
        <w:jc w:val="both"/>
      </w:pPr>
      <w:r>
        <w:rPr>
          <w:rFonts w:ascii="Times New Roman" w:cs="Times New Roman" w:eastAsia="宋体" w:hAnsi="Times New Roman"/>
          <w:color w:val="000000"/>
          <w:sz w:val="21"/>
          <w:szCs w:val="21"/>
        </w:rPr>
        <w:t xml:space="preserve">由于磷、钾肥效应方程无法直接求得最佳经济施肥量，进一步采用边际分析法比较相邻施肥水平间的边际效益（表6）</w:t>
      </w:r>
      <w:r>
        <w:rPr>
          <w:rFonts w:ascii="Times New Roman" w:cs="Times New Roman" w:eastAsia="宋体" w:hAnsi="Times New Roman"/>
          <w:color w:val="000000"/>
          <w:sz w:val="21"/>
          <w:szCs w:val="21"/>
          <w:vertAlign w:val="superscript"/>
        </w:rPr>
        <w:t xml:space="preserve">[8]</w:t>
      </w:r>
      <w:r>
        <w:rPr>
          <w:rFonts w:ascii="Times New Roman" w:cs="Times New Roman" w:eastAsia="宋体" w:hAnsi="Times New Roman"/>
          <w:color w:val="000000"/>
          <w:sz w:val="21"/>
          <w:szCs w:val="21"/>
        </w:rPr>
        <w:t xml:space="preserve">。氮肥由N0增至N1、由N1增至N2时，边际产投比分别为3.23和6.74，而由N2增至N3时边际产量为负值，说明施氮量以270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由P0至P1、P1至P2、P2至P3的边际产投比分别为2.15、3.58和1.86，均大于1，在试验范围内增施磷肥仍有增收效果，但由P2至P3的边际效益已明显下降。钾肥边际效益在K0→K1为2.29、K1→K2为负值、K2→K3又回升至4.30，序列内部不一致，表明钾肥效应已接近本试验的误差检出限，不宜据单一相邻水平的边际产投比推断最适用量。</w:t>
      </w:r>
    </w:p>
    <w:p>
      <w:pPr>
        <w:spacing w:after="0" w:before="0" w:line="36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958"/>
        <w:gridCol w:w="1438"/>
        <w:gridCol w:w="1557"/>
        <w:gridCol w:w="1557"/>
        <w:gridCol w:w="1797"/>
        <w:gridCol w:w="1198"/>
      </w:tblGrid>
      <w:tr>
        <w:trPr>
          <w:cantSplit/>
          <w:tblHeader/>
        </w:trPr>
        <w:tc>
          <w:tcPr>
            <w:tcW w:type="dxa" w:w="95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43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55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79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9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95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55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79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95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43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55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79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19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6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60" w:lineRule="auto"/>
        <w:ind w:firstLine="420"/>
        <w:jc w:val="both"/>
      </w:pPr>
      <w:r>
        <w:rPr>
          <w:rFonts w:ascii="Times New Roman" w:cs="Times New Roman" w:eastAsia="宋体" w:hAnsi="Times New Roman"/>
          <w:color w:val="000000"/>
          <w:sz w:val="21"/>
          <w:szCs w:val="21"/>
        </w:rPr>
        <w:t xml:space="preserve">由表7可知，各处理产值为17028.0～26316.0元/hm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，肥料成本为0～4236.9元/hm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。该项收益以处理10最高，达22091.4元/hm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；其次为处理9（20883.4元/hm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）和处理7（20629.4元/hm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）。缺氮区（处理2）和低氮处理（处理3）的增产值不足以抵消肥料成本，增收分别为−1798.0和−432.3元/hm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，说明氮肥供应不足时磷、钾肥的投入难以发挥效益。产投比以处理8和处理9最高（均为2.27），处理10次之（2.20），处理11因施氮量过大、产量未再增加而肥料成本最高（4236.9元/hm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），产投比仅1.56。综合产量、收益和产投比，处理9（N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）是投入较低、效益较好的施肥方案。</w:t>
      </w:r>
    </w:p>
    <w:p>
      <w:pPr>
        <w:keepNext/>
        <w:spacing w:after="60" w:before="120" w:line="240" w:lineRule="auto"/>
        <w:ind/>
        <w:jc w:val="center"/>
      </w:pPr>
      <w:r>
        <w:rPr>
          <w:rFonts w:ascii="Times New Roman" w:cs="Times New Roman" w:eastAsia="黑体" w:hAnsi="Times New Roman"/>
          <w:color w:val="000000"/>
          <w:sz w:val="18"/>
          <w:szCs w:val="18"/>
        </w:rPr>
        <w:t xml:space="preserve">表7　不同施肥处理水稻经济效益</w:t>
      </w:r>
    </w:p>
    <w:tbl>
      <w:tblPr>
        <w:tblW w:type="dxa" w:w="8506"/>
        <w:jc w:val="center"/>
        <w:tblBorders>
          <w:top w:val="single" w:color="auto" w:sz="4"/>
          <w:left w:val="single" w:color="auto" w:sz="4"/>
          <w:bottom w:val="single" w:color="auto" w:sz="4"/>
          <w:right w:val="single" w:color="auto" w:sz="4"/>
          <w:insideH w:val="single" w:color="auto" w:sz="4"/>
          <w:insideV w:val="single" w:color="auto" w:sz="4"/>
        </w:tblBorders>
      </w:tblPr>
      <w:tblGrid>
        <w:gridCol w:w="669"/>
        <w:gridCol w:w="1147"/>
        <w:gridCol w:w="1147"/>
        <w:gridCol w:w="1242"/>
        <w:gridCol w:w="1147"/>
        <w:gridCol w:w="1147"/>
        <w:gridCol w:w="1147"/>
        <w:gridCol w:w="860"/>
      </w:tblGrid>
      <w:tr>
        <w:trPr>
          <w:cantSplit/>
          <w:tblHeader/>
        </w:trPr>
        <w:tc>
          <w:tcPr>
            <w:tcW w:type="dxa" w:w="66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纯收益/(元/hm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4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增收/(元/hm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−1798.0</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−432.3</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3268.0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4558.0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1533.4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6708.0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3083.4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3601.4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5504.0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3079.4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6880.0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3855.4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9288.0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5063.4</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6622.0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2385.1</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3526.0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1113.7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6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4214.0</w:t>
            </w:r>
          </w:p>
        </w:tc>
        <w:tc>
          <w:tcPr>
            <w:tcW w:type="dxa" w:w="114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1801.7</w:t>
            </w:r>
          </w:p>
        </w:tc>
        <w:tc>
          <w:tcPr>
            <w:tcW w:type="dxa" w:w="8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6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4300.0</w:t>
            </w:r>
          </w:p>
        </w:tc>
        <w:tc>
          <w:tcPr>
            <w:tcW w:type="dxa" w:w="114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1875.4</w:t>
            </w:r>
          </w:p>
        </w:tc>
        <w:tc>
          <w:tcPr>
            <w:tcW w:type="dxa" w:w="8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注：增产值=（各处理产量−处理1产量）×稻谷价格；增收=增产值−肥料成本；产投比=增产值/肥料成本。因各处理除肥料外投入相同，表中收益仅用于处理间比较，不代表实际纯收益。</w:t>
      </w:r>
    </w:p>
    <w:p>
      <w:pPr>
        <w:keepNext/>
        <w:spacing w:after="80" w:before="160" w:line="360" w:lineRule="auto"/>
        <w:ind/>
        <w:jc w:val="left"/>
      </w:pPr>
      <w:r>
        <w:rPr>
          <w:rFonts w:ascii="Times New Roman" w:cs="Times New Roman" w:eastAsia="黑体" w:hAnsi="Times New Roman"/>
          <w:b/>
          <w:bCs/>
          <w:color w:val="000000"/>
          <w:sz w:val="24"/>
          <w:szCs w:val="24"/>
        </w:rPr>
        <w:t xml:space="preserve">3　讨论</w:t>
      </w:r>
    </w:p>
    <w:p>
      <w:pPr>
        <w:spacing w:after="0" w:before="0" w:line="360" w:lineRule="auto"/>
        <w:ind w:firstLine="420"/>
        <w:jc w:val="both"/>
      </w:pPr>
      <w:r>
        <w:rPr>
          <w:rFonts w:ascii="Times New Roman" w:cs="Times New Roman" w:eastAsia="宋体" w:hAnsi="Times New Roman"/>
          <w:color w:val="000000"/>
          <w:sz w:val="21"/>
          <w:szCs w:val="21"/>
        </w:rPr>
        <w:t xml:space="preserve">本试验中缺氮区相对产量为74.3%，氮肥贡献率达25.7%，氮肥的增产作用远大于磷、钾肥，这与安徽潜山</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、旌德</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以及其他稻区</w:t>
      </w:r>
      <w:r>
        <w:rPr>
          <w:rFonts w:ascii="Times New Roman" w:cs="Times New Roman" w:eastAsia="宋体" w:hAnsi="Times New Roman"/>
          <w:color w:val="000000"/>
          <w:sz w:val="21"/>
          <w:szCs w:val="21"/>
          <w:vertAlign w:val="superscript"/>
        </w:rPr>
        <w:t xml:space="preserve">[9,12]</w:t>
      </w:r>
      <w:r>
        <w:rPr>
          <w:rFonts w:ascii="Times New Roman" w:cs="Times New Roman" w:eastAsia="宋体" w:hAnsi="Times New Roman"/>
          <w:color w:val="000000"/>
          <w:sz w:val="21"/>
          <w:szCs w:val="21"/>
        </w:rPr>
        <w:t xml:space="preserve">的“3414”试验结果一致，表明氮素是该区域砂壤质稻田单季稻产量形成的首要限制因子。潜山试验缺氮区相对产量为75.6%</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，与本试验的74.3%接近。随施氮量增加，水稻有效穗数和每穗总粒数增加，但当施氮量超过270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后，结实率和千粒重下降，产量不再增加，这与前人关于降低施氮量、优化群体仍可维持高产并提高氮素利用率的研究结果相呼应</w:t>
      </w:r>
      <w:r>
        <w:rPr>
          <w:rFonts w:ascii="Times New Roman" w:cs="Times New Roman" w:eastAsia="宋体" w:hAnsi="Times New Roman"/>
          <w:color w:val="000000"/>
          <w:sz w:val="21"/>
          <w:szCs w:val="21"/>
          <w:vertAlign w:val="superscript"/>
        </w:rPr>
        <w:t xml:space="preserve">[23]</w:t>
      </w:r>
      <w:r>
        <w:rPr>
          <w:rFonts w:ascii="Times New Roman" w:cs="Times New Roman" w:eastAsia="宋体" w:hAnsi="Times New Roman"/>
          <w:color w:val="000000"/>
          <w:sz w:val="21"/>
          <w:szCs w:val="21"/>
        </w:rPr>
        <w:t xml:space="preserve">，也与长江流域中稻氮肥增产效应随用量提高而递减的统计特征一致</w:t>
      </w:r>
      <w:r>
        <w:rPr>
          <w:rFonts w:ascii="Times New Roman" w:cs="Times New Roman" w:eastAsia="宋体" w:hAnsi="Times New Roman"/>
          <w:color w:val="000000"/>
          <w:sz w:val="21"/>
          <w:szCs w:val="21"/>
          <w:vertAlign w:val="superscript"/>
        </w:rPr>
        <w:t xml:space="preserve">[24]</w:t>
      </w:r>
      <w:r>
        <w:rPr>
          <w:rFonts w:ascii="Times New Roman" w:cs="Times New Roman" w:eastAsia="宋体" w:hAnsi="Times New Roman"/>
          <w:color w:val="000000"/>
          <w:sz w:val="21"/>
          <w:szCs w:val="21"/>
        </w:rPr>
        <w:t xml:space="preserve">。因此，生产上应将氮肥总量控制在270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左右，并通过氮肥后移等运筹措施进一步提高氮肥利用率</w:t>
      </w:r>
      <w:r>
        <w:rPr>
          <w:rFonts w:ascii="Times New Roman" w:cs="Times New Roman" w:eastAsia="宋体" w:hAnsi="Times New Roman"/>
          <w:color w:val="000000"/>
          <w:sz w:val="21"/>
          <w:szCs w:val="21"/>
          <w:vertAlign w:val="superscript"/>
        </w:rPr>
        <w:t xml:space="preserve">[6,24]</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“3414”试验三元二次方程拟合失败或出现非典型方程的情况在生产性试验中较为常见</w:t>
      </w:r>
      <w:r>
        <w:rPr>
          <w:rFonts w:ascii="Times New Roman" w:cs="Times New Roman" w:eastAsia="宋体" w:hAnsi="Times New Roman"/>
          <w:color w:val="000000"/>
          <w:sz w:val="21"/>
          <w:szCs w:val="21"/>
          <w:vertAlign w:val="superscript"/>
        </w:rPr>
        <w:t xml:space="preserve">[7-8,19]</w:t>
      </w:r>
      <w:r>
        <w:rPr>
          <w:rFonts w:ascii="Times New Roman" w:cs="Times New Roman" w:eastAsia="宋体" w:hAnsi="Times New Roman"/>
          <w:color w:val="000000"/>
          <w:sz w:val="21"/>
          <w:szCs w:val="21"/>
        </w:rPr>
        <w:t xml:space="preserve">。本试验三元二次方程虽然</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较高，但校正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且因磷、钾肥效应在设计范围内未出现拐点，方程的驻点落在试验范围之外或无农艺学意义，不能用于推荐施肥。在这种情况下，将一元二次方程、线性加平台模型和边际分析等方法相结合确定推荐施肥量更为稳妥</w:t>
      </w:r>
      <w:r>
        <w:rPr>
          <w:rFonts w:ascii="Times New Roman" w:cs="Times New Roman" w:eastAsia="宋体" w:hAnsi="Times New Roman"/>
          <w:color w:val="000000"/>
          <w:sz w:val="21"/>
          <w:szCs w:val="21"/>
          <w:vertAlign w:val="superscript"/>
        </w:rPr>
        <w:t xml:space="preserve">[19-20]</w:t>
      </w:r>
      <w:r>
        <w:rPr>
          <w:rFonts w:ascii="Times New Roman" w:cs="Times New Roman" w:eastAsia="宋体" w:hAnsi="Times New Roman"/>
          <w:color w:val="000000"/>
          <w:sz w:val="21"/>
          <w:szCs w:val="21"/>
        </w:rPr>
        <w:t xml:space="preserve">。本试验氮肥的线性加平台模型残差平方和小于一元二次方程，其拐点估计值与处理间直接比较的结果方向一致，说明对于产量已出现平台的养分，线性加平台模型具有更好的适用性；但受试验水平数和重复数限制，该拐点仅为粗略估计。</w:t>
      </w:r>
    </w:p>
    <w:p>
      <w:pPr>
        <w:spacing w:after="0" w:before="0" w:line="360" w:lineRule="auto"/>
        <w:ind w:firstLine="420"/>
        <w:jc w:val="both"/>
      </w:pPr>
      <w:r>
        <w:rPr>
          <w:rFonts w:ascii="Times New Roman" w:cs="Times New Roman" w:eastAsia="宋体" w:hAnsi="Times New Roman"/>
          <w:color w:val="000000"/>
          <w:sz w:val="21"/>
          <w:szCs w:val="21"/>
        </w:rPr>
        <w:t xml:space="preserve">本试验磷、钾肥在设计范围内均表现出持续的增产效应，这在很大程度上是试验设计的结果：本试验2水平高于安徽省单季稻常规推荐量，磷、钾肥效应在试验范围内未出现拐点应部分归因于此，而非土壤磷钾供应的真实响应上限。缺磷区相对产量为85.5%，土壤供磷能力属“中”等水平，这可能与试验田质地砂壤、保肥供肥能力较弱有关；邻近的潜山市同为砂壤质水稻土，其耕层碱解氮128 mg/kg、有效磷13.0 mg/kg、速效钾54 mg/kg</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速效钾水平偏低，与本区域砂壤质稻田钾素易淋失的特点一致；缺钾区相对产量达94.9%、接近“高”水平，说明土壤钾素基础供应较好，但砂壤质土壤保钾能力相对较弱，在高产条件下增施钾肥仍表现出一定的增产效应，施钾提高水稻结实率和千粒重的作用也见于双季稻研究</w:t>
      </w:r>
      <w:r>
        <w:rPr>
          <w:rFonts w:ascii="Times New Roman" w:cs="Times New Roman" w:eastAsia="宋体" w:hAnsi="Times New Roman"/>
          <w:color w:val="000000"/>
          <w:sz w:val="21"/>
          <w:szCs w:val="21"/>
          <w:vertAlign w:val="superscript"/>
        </w:rPr>
        <w:t xml:space="preserve">[25]</w:t>
      </w:r>
      <w:r>
        <w:rPr>
          <w:rFonts w:ascii="Times New Roman" w:cs="Times New Roman" w:eastAsia="宋体" w:hAnsi="Times New Roman"/>
          <w:color w:val="000000"/>
          <w:sz w:val="21"/>
          <w:szCs w:val="21"/>
        </w:rPr>
        <w:t xml:space="preserve">。需要指出的是，本试验推荐的磷、钾用量仍高于潜山（P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54.7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122.3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等邻近县区的结果，其绝对水平不宜直接外推；磷素在土壤中易累积，长期大量施用存在环境风险</w:t>
      </w:r>
      <w:r>
        <w:rPr>
          <w:rFonts w:ascii="Times New Roman" w:cs="Times New Roman" w:eastAsia="宋体" w:hAnsi="Times New Roman"/>
          <w:color w:val="000000"/>
          <w:sz w:val="21"/>
          <w:szCs w:val="21"/>
          <w:vertAlign w:val="superscript"/>
        </w:rPr>
        <w:t xml:space="preserve">[6,21]</w:t>
      </w:r>
      <w:r>
        <w:rPr>
          <w:rFonts w:ascii="Times New Roman" w:cs="Times New Roman" w:eastAsia="宋体" w:hAnsi="Times New Roman"/>
          <w:color w:val="000000"/>
          <w:sz w:val="21"/>
          <w:szCs w:val="21"/>
        </w:rPr>
        <w:t xml:space="preserve">，因此生产上建议以处理6、7、9的施肥量为基础，根据土壤有效磷、速效钾测定值适当调整磷、钾肥用量。此外，本试验为单年单点试验且未设重复，无法进行方差分析和多重比较，部分处理（如K1与K2）产量的波动可能包含田间误差，上述推荐施肥量还需通过多年多点试验和大田示范进一步验证，并结合有机肥与化肥配施、缓控释肥等措施进行优化</w:t>
      </w:r>
      <w:r>
        <w:rPr>
          <w:rFonts w:ascii="Times New Roman" w:cs="Times New Roman" w:eastAsia="宋体" w:hAnsi="Times New Roman"/>
          <w:color w:val="000000"/>
          <w:sz w:val="21"/>
          <w:szCs w:val="21"/>
          <w:vertAlign w:val="superscript"/>
        </w:rPr>
        <w:t xml:space="preserve">[6]</w:t>
      </w:r>
      <w:r>
        <w:rPr>
          <w:rFonts w:ascii="Times New Roman" w:cs="Times New Roman" w:eastAsia="宋体" w:hAnsi="Times New Roman"/>
          <w:color w:val="000000"/>
          <w:sz w:val="21"/>
          <w:szCs w:val="21"/>
        </w:rPr>
        <w:t xml:space="preserve">。</w:t>
      </w:r>
    </w:p>
    <w:p>
      <w:pPr>
        <w:keepNext/>
        <w:spacing w:after="80" w:before="160" w:line="360" w:lineRule="auto"/>
        <w:ind/>
        <w:jc w:val="left"/>
      </w:pPr>
      <w:r>
        <w:rPr>
          <w:rFonts w:ascii="Times New Roman" w:cs="Times New Roman" w:eastAsia="黑体" w:hAnsi="Times New Roman"/>
          <w:b/>
          <w:bCs/>
          <w:color w:val="000000"/>
          <w:sz w:val="24"/>
          <w:szCs w:val="24"/>
        </w:rPr>
        <w:t xml:space="preserve">4　结论</w:t>
      </w:r>
    </w:p>
    <w:p>
      <w:pPr>
        <w:spacing w:after="0" w:before="0" w:line="360" w:lineRule="auto"/>
        <w:ind w:firstLine="420"/>
        <w:jc w:val="both"/>
      </w:pPr>
      <w:r>
        <w:rPr>
          <w:rFonts w:ascii="Times New Roman" w:cs="Times New Roman" w:eastAsia="宋体" w:hAnsi="Times New Roman"/>
          <w:color w:val="000000"/>
          <w:sz w:val="21"/>
          <w:szCs w:val="21"/>
        </w:rPr>
        <w:t xml:space="preserve">（1）施肥明显改善水稻经济性状并大幅提高产量（本试验未设重复，未作差异显著性检验）。处理10（N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6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60" w:lineRule="auto"/>
        <w:ind w:firstLine="420"/>
        <w:jc w:val="both"/>
      </w:pPr>
      <w:r>
        <w:rPr>
          <w:rFonts w:ascii="Times New Roman" w:cs="Times New Roman" w:eastAsia="宋体" w:hAnsi="Times New Roman"/>
          <w:color w:val="000000"/>
          <w:sz w:val="21"/>
          <w:szCs w:val="21"/>
        </w:rPr>
        <w:t xml:space="preserve">（3）三元二次肥料效应方程未通过典型性检验；各单因素方程回归均未达显著水平，仅作趋势描述。氮肥响应在施N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左右趋于平台（线性加平台模型估计拐点约280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），施氮量超过270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后结实率和千粒重下降、产量不再增加；磷、钾肥效应在试验范围内未出现拐点。</w:t>
      </w:r>
    </w:p>
    <w:p>
      <w:pPr>
        <w:spacing w:after="0" w:before="0" w:line="360" w:lineRule="auto"/>
        <w:ind w:firstLine="420"/>
        <w:jc w:val="both"/>
      </w:pPr>
      <w:r>
        <w:rPr>
          <w:rFonts w:ascii="Times New Roman" w:cs="Times New Roman" w:eastAsia="宋体" w:hAnsi="Times New Roman"/>
          <w:color w:val="000000"/>
          <w:sz w:val="21"/>
          <w:szCs w:val="21"/>
        </w:rPr>
        <w:t xml:space="preserve">（4）在单年单点、不设重复的条件下，初步提出范岗镇砂壤质稻田单季稻施N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上述推荐量系单年单点试验的初步结果，其中磷、钾肥的适宜用量因试验设计的2水平高于当地常规推荐量、在试验范围内未出现拐点，可靠性相对较低，尚需多点多年重复试验验证；生产上应用时应结合土壤有效磷、速效钾测试值适当下调。</w:t>
      </w:r>
    </w:p>
    <w:p>
      <w:pPr>
        <w:keepNext/>
        <w:spacing w:after="80" w:before="200" w:line="36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张福锁, 王激清, 张卫峰, 等. 中国主要粮食作物肥料利用率现状与提高途径[J]. 土壤学报, 2008, 45(5): 915-924.</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朱兆良. 农田中氮肥的损失与对策[J]. 土壤与环境, 2000, 9(1): 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白由路, 杨俐苹. 我国农业中的测土配方施肥[J]. 土壤肥料, 2006(2): 3-7.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王圣瑞, 陈新平, 高祥照, 等. “3414”肥料试验模型拟合的探讨[J]. 植物营养与肥料学报, 2002, 8(4): 409-413.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杨俐苹, 白由路, 王贺, 等. 测土配方施肥指标体系建立中“3414”试验方案应用探讨——以内蒙古海拉尔地区油菜“3414”试验为例[J]. 植物营养与肥料学报, 2011, 17(4): 1018-1023.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陈冬松, 李江南, 徐卫华. 水稻“3414”肥料效应田间试验[J]. 广东农业科学, 2011(22): 49-52.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高定如, 夏永龙, 姚永兵, 等. 机插水稻测土配方施肥3414试验初报[J]. 江西农业学报, 2009(6): 78-80.</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刘金松. 旌德县水稻“3414”试验对水稻产量效应研究试验报告[J]. 农家参谋, </w:t>
      </w:r>
      <w:r>
        <w:rPr>
          <w:rFonts w:ascii="Times New Roman" w:cs="Times New Roman" w:eastAsia="宋体" w:hAnsi="Times New Roman"/>
          <w:color w:val="000000"/>
          <w:sz w:val="18"/>
          <w:szCs w:val="18"/>
          <w:highlight w:val="yellow"/>
          <w:highlightCs w:val="yellow"/>
        </w:rPr>
        <w:t xml:space="preserve">【发表年份待核，约2020】</w:t>
      </w:r>
      <w:r>
        <w:rPr>
          <w:rFonts w:ascii="Times New Roman" w:cs="Times New Roman" w:eastAsia="宋体" w:hAnsi="Times New Roman"/>
          <w:color w:val="000000"/>
          <w:sz w:val="18"/>
          <w:szCs w:val="18"/>
        </w:rPr>
        <w:t xml:space="preserve">(</w:t>
      </w:r>
      <w:r>
        <w:rPr>
          <w:rFonts w:ascii="Times New Roman" w:cs="Times New Roman" w:eastAsia="宋体" w:hAnsi="Times New Roman"/>
          <w:color w:val="000000"/>
          <w:sz w:val="18"/>
          <w:szCs w:val="18"/>
          <w:highlight w:val="yellow"/>
          <w:highlightCs w:val="yellow"/>
        </w:rPr>
        <w:t xml:space="preserve">【期号待核】</w:t>
      </w:r>
      <w:r>
        <w:rPr>
          <w:rFonts w:ascii="Times New Roman" w:cs="Times New Roman" w:eastAsia="宋体" w:hAnsi="Times New Roman"/>
          <w:color w:val="000000"/>
          <w:sz w:val="18"/>
          <w:szCs w:val="18"/>
        </w:rPr>
        <w:t xml:space="preserve">): 74-75.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王华良, 何小卫. 2008年绩溪县水稻“3414”肥料效应田间试验报告[J]. 土壤, 2009, 41(2): 320-323.</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李永友, 吕和平, 宛晓萍, 等. 早籼稻超高产栽培的N、P、K肥料效应研究[J]. 安徽农业科学, 2007, 35(23): 7215-7218.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国家水稻数据中心. 吨两优900（审定编号：国审稻20200021）[EB/OL]. [2026-09-14]. https://www.ricedata.cn/variety/varis/622623.htm.</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[19]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谢小兵, 周雪峰, 蒋鹏, 等. 低氮密植栽培对超级稻产量和氮素利用率的影响[J]. 作物学报, 2015, 41(10): 1591-1602.</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76" w:lineRule="auto"/>
        <w:ind w:left="480" w:hanging="480"/>
        <w:jc w:val="left"/>
      </w:pPr>
      <w:r>
        <w:rPr>
          <w:rFonts w:ascii="Times New Roman" w:cs="Times New Roman" w:eastAsia="宋体" w:hAnsi="Times New Roman"/>
          <w:color w:val="000000"/>
          <w:sz w:val="18"/>
          <w:szCs w:val="18"/>
        </w:rPr>
        <w:t xml:space="preserve">[25]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徐新朋, 王秀斌, 李大明, 等. 双季稻最佳磷肥和钾肥用量与密度组合研究[J]. 植物营养与肥料学报, 2016, 22(3): 598-608.</w:t>
      </w:r>
    </w:p>
    <w:sectPr>
      <w:footerReference w:type="default" r:id="rId7"/>
      <w:footerReference w:type="first" r:id="rId8"/>
      <w:pgSz w:w="11906" w:h="16838" w:orient="portrait"/>
      <w:pgMar w:top="1440" w:right="1700" w:bottom="1440" w:left="17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r>
      <w:rPr>
        <w:rFonts w:ascii="Times New Roman" w:cs="Times New Roman" w:eastAsia="宋体" w:hAnsi="Times New Roman"/>
        <w:color w:val="000000"/>
        <w:sz w:val="15"/>
        <w:szCs w:val="15"/>
      </w:rPr>
      <w:t xml:space="preserve">基金项目　</w:t>
    </w:r>
    <w:r>
      <w:rPr>
        <w:rFonts w:ascii="Times New Roman" w:cs="Times New Roman" w:eastAsia="宋体" w:hAnsi="Times New Roman"/>
        <w:color w:val="000000"/>
        <w:sz w:val="15"/>
        <w:szCs w:val="15"/>
        <w:highlight w:val="yellow"/>
        <w:highlightCs w:val="yellow"/>
      </w:rPr>
      <w:t xml:space="preserve">【基金项目名称及编号；若无请删除此项】</w:t>
    </w:r>
    <w:r>
      <w:rPr>
        <w:rFonts w:ascii="Times New Roman" w:cs="Times New Roman" w:eastAsia="宋体" w:hAnsi="Times New Roman"/>
        <w:color w:val="000000"/>
        <w:sz w:val="15"/>
        <w:szCs w:val="15"/>
      </w:rPr>
      <w:t xml:space="preserve">。</w:t>
    </w:r>
  </w:p>
  <w:p>
    <w:pPr>
      <w:spacing w:after="0" w:before="0" w:line="240" w:lineRule="auto"/>
      <w:ind/>
      <w:jc w:val="left"/>
    </w:pPr>
    <w:r>
      <w:rPr>
        <w:rFonts w:ascii="Times New Roman" w:cs="Times New Roman" w:eastAsia="宋体" w:hAnsi="Times New Roman"/>
        <w:color w:val="000000"/>
        <w:sz w:val="15"/>
        <w:szCs w:val="15"/>
      </w:rPr>
      <w:t xml:space="preserve">作者简介　叶四明（</w:t>
    </w:r>
    <w:r>
      <w:rPr>
        <w:rFonts w:ascii="Times New Roman" w:cs="Times New Roman" w:eastAsia="宋体" w:hAnsi="Times New Roman"/>
        <w:color w:val="000000"/>
        <w:sz w:val="15"/>
        <w:szCs w:val="15"/>
        <w:highlight w:val="yellow"/>
        <w:highlightCs w:val="yellow"/>
      </w:rPr>
      <w:t xml:space="preserve">【出生年】</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【性别】</w:t>
    </w:r>
    <w:r>
      <w:rPr>
        <w:rFonts w:ascii="Times New Roman" w:cs="Times New Roman" w:eastAsia="宋体" w:hAnsi="Times New Roman"/>
        <w:color w:val="000000"/>
        <w:sz w:val="15"/>
        <w:szCs w:val="15"/>
      </w:rPr>
      <w:t xml:space="preserve">，安徽桐城人，</w:t>
    </w:r>
    <w:r>
      <w:rPr>
        <w:rFonts w:ascii="Times New Roman" w:cs="Times New Roman" w:eastAsia="宋体" w:hAnsi="Times New Roman"/>
        <w:color w:val="000000"/>
        <w:sz w:val="15"/>
        <w:szCs w:val="15"/>
        <w:highlight w:val="yellow"/>
        <w:highlightCs w:val="yellow"/>
      </w:rPr>
      <w:t xml:space="preserve">【职称】</w:t>
    </w:r>
    <w:r>
      <w:rPr>
        <w:rFonts w:ascii="Times New Roman" w:cs="Times New Roman" w:eastAsia="宋体" w:hAnsi="Times New Roman"/>
        <w:color w:val="000000"/>
        <w:sz w:val="15"/>
        <w:szCs w:val="15"/>
      </w:rPr>
      <w:t xml:space="preserve">，从事</w:t>
    </w:r>
    <w:r>
      <w:rPr>
        <w:rFonts w:ascii="Times New Roman" w:cs="Times New Roman" w:eastAsia="宋体" w:hAnsi="Times New Roman"/>
        <w:color w:val="000000"/>
        <w:sz w:val="15"/>
        <w:szCs w:val="15"/>
        <w:highlight w:val="yellow"/>
        <w:highlightCs w:val="yellow"/>
      </w:rPr>
      <w:t xml:space="preserve">【研究方向】</w:t>
    </w:r>
    <w:r>
      <w:rPr>
        <w:rFonts w:ascii="Times New Roman" w:cs="Times New Roman" w:eastAsia="宋体" w:hAnsi="Times New Roman"/>
        <w:color w:val="000000"/>
        <w:sz w:val="15"/>
        <w:szCs w:val="15"/>
      </w:rPr>
      <w:t xml:space="preserve">工作。</w:t>
    </w:r>
  </w:p>
  <w:p>
    <w:pPr>
      <w:spacing w:after="0" w:before="0" w:line="240" w:lineRule="auto"/>
      <w:ind/>
      <w:jc w:val="left"/>
    </w:pPr>
    <w:r>
      <w:rPr>
        <w:rFonts w:ascii="Times New Roman" w:cs="Times New Roman" w:eastAsia="宋体" w:hAnsi="Times New Roman"/>
        <w:color w:val="000000"/>
        <w:sz w:val="15"/>
        <w:szCs w:val="15"/>
      </w:rPr>
      <w:t xml:space="preserve">收稿日期　2026-</w:t>
    </w:r>
    <w:r>
      <w:rPr>
        <w:rFonts w:ascii="Times New Roman" w:cs="Times New Roman" w:eastAsia="宋体" w:hAnsi="Times New Roman"/>
        <w:color w:val="000000"/>
        <w:sz w:val="15"/>
        <w:szCs w:val="15"/>
        <w:highlight w:val="yellow"/>
        <w:highlightCs w:val="yellow"/>
      </w:rPr>
      <w:t xml:space="preserve">【  】</w:t>
    </w:r>
    <w:r>
      <w:rPr>
        <w:rFonts w:ascii="Times New Roman" w:cs="Times New Roman" w:eastAsia="宋体" w:hAnsi="Times New Roman"/>
        <w:color w:val="000000"/>
        <w:sz w:val="15"/>
        <w:szCs w:val="15"/>
      </w:rPr>
      <w:t xml:space="preserve">-</w:t>
    </w:r>
    <w:r>
      <w:rPr>
        <w:rFonts w:ascii="Times New Roman" w:cs="Times New Roman" w:eastAsia="宋体" w:hAnsi="Times New Roman"/>
        <w:color w:val="000000"/>
        <w:sz w:val="15"/>
        <w:szCs w:val="15"/>
        <w:highlight w:val="yellow"/>
        <w:highlightCs w:val="yellow"/>
      </w:rPr>
      <w:t xml:space="preserve">【  】</w:t>
    </w: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2026-09-14T17:44:29.171Z</dcterms:created>
  <dcterms:modified xsi:type="dcterms:W3CDTF">2026-09-14T17:44:29.171Z</dcterms:modified>
</cp:coreProperties>
</file>

<file path=docProps/custom.xml><?xml version="1.0" encoding="utf-8"?>
<Properties xmlns="http://schemas.openxmlformats.org/officeDocument/2006/custom-properties" xmlns:vt="http://schemas.openxmlformats.org/officeDocument/2006/docPropsVTypes"/>
</file>