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773" w14:textId="77777777" w:rsidR="00A90C56" w:rsidRDefault="00A90C56">
      <w:pPr>
        <w:jc w:val="both"/>
        <w:rPr>
          <w:rFonts w:ascii="Times New Roman" w:hAnsi="Times New Roman" w:cs="Times New Roman"/>
          <w:sz w:val="24"/>
          <w:szCs w:val="24"/>
        </w:rPr>
      </w:pPr>
    </w:p>
    <w:p w14:paraId="3358A173" w14:textId="77777777" w:rsidR="00A90C56" w:rsidRDefault="00000000">
      <w:pPr>
        <w:pStyle w:val="Title"/>
        <w:jc w:val="center"/>
      </w:pPr>
      <w:r>
        <w:t>Chapitre 20</w:t>
      </w:r>
    </w:p>
    <w:p w14:paraId="6A3674DE" w14:textId="77777777" w:rsidR="00A90C56" w:rsidRDefault="00000000">
      <w:pPr>
        <w:pStyle w:val="Title"/>
        <w:jc w:val="center"/>
      </w:pPr>
      <w:r>
        <w:t>Les organes génitaux masculins</w:t>
      </w:r>
    </w:p>
    <w:p w14:paraId="462E5C6A" w14:textId="77777777" w:rsidR="00A90C56" w:rsidRDefault="00000000">
      <w:pPr>
        <w:pStyle w:val="Heading1"/>
        <w:spacing w:before="160" w:after="80"/>
        <w:rPr>
          <w:color w:val="auto"/>
        </w:rPr>
      </w:pPr>
      <w:r>
        <w:t>1. Présentation</w:t>
      </w:r>
    </w:p>
    <w:p w14:paraId="7B9C1A55" w14:textId="77777777" w:rsidR="00A90C56" w:rsidRDefault="00000000">
      <w:pPr>
        <w:pStyle w:val="ListParagraph"/>
        <w:jc w:val="both"/>
        <w:rPr>
          <w:rFonts w:ascii="Times New Roman" w:hAnsi="Times New Roman" w:cs="Times New Roman"/>
          <w:sz w:val="24"/>
          <w:szCs w:val="24"/>
        </w:rPr>
      </w:pPr>
      <w:r>
        <w:t>Vers la soixantaine, la prostate grossit par déséquilibre hormonal et exerce plus de pression sur l’urètre et la vessie. C’est alors que beaucoup d’hommes commencent à avoir des ennuis urinaires dont les répercussions atteignent aussi leur vie sexuelle et psycho-émotionnelle.</w:t>
      </w:r>
    </w:p>
    <w:p w14:paraId="2EAB2830" w14:textId="77777777" w:rsidR="00A90C56" w:rsidRDefault="00000000">
      <w:pPr>
        <w:pStyle w:val="ListParagraph"/>
        <w:jc w:val="both"/>
        <w:rPr>
          <w:rFonts w:ascii="Times New Roman" w:hAnsi="Times New Roman" w:cs="Times New Roman"/>
          <w:sz w:val="24"/>
          <w:szCs w:val="24"/>
        </w:rPr>
      </w:pPr>
      <w:r>
        <w:t>La prostate fournit aussi son lot de troubles de la statique pelvienne, lombo-sciatalgies ou périnéalgies qui peuvent cacher une dysfonction vésico-prostatique et qui sont accentués par la sédentarité, l’obésité et une mauvaise hygiène de vie.</w:t>
      </w:r>
    </w:p>
    <w:p w14:paraId="77319645" w14:textId="77777777" w:rsidR="00A90C56" w:rsidRDefault="00000000">
      <w:pPr>
        <w:pStyle w:val="ListParagraph"/>
        <w:jc w:val="both"/>
        <w:rPr>
          <w:rFonts w:ascii="Times New Roman" w:hAnsi="Times New Roman" w:cs="Times New Roman"/>
          <w:sz w:val="24"/>
          <w:szCs w:val="24"/>
        </w:rPr>
      </w:pPr>
      <w:r>
        <w:t>Plus que les femmes, parler de « ces choses-là » pour la plupart des hommes est encore souvent difficile. La chirurgie et les traitements médicamenteux ne sont pas sans risques car ils entraînent des effets secondaires mal vécus: impuissance, incontinence et éjaculation rétrograde.</w:t>
      </w:r>
    </w:p>
    <w:p w14:paraId="445ED74B" w14:textId="77777777" w:rsidR="00A90C56" w:rsidRDefault="00000000">
      <w:pPr>
        <w:pStyle w:val="ListParagraph"/>
        <w:jc w:val="both"/>
        <w:rPr>
          <w:rFonts w:ascii="Times New Roman" w:hAnsi="Times New Roman" w:cs="Times New Roman"/>
          <w:sz w:val="24"/>
          <w:szCs w:val="24"/>
        </w:rPr>
      </w:pPr>
      <w:r>
        <w:t>La ROP peut contribuer à diminuer les conséquences des problèmes prostatiques à condition que le patient associe une bonne hygiène de vie. La ROP est sans effets iatrogènes et préserve la pudeur des hommes par notre action à distance.</w:t>
      </w:r>
    </w:p>
    <w:p w14:paraId="05762666" w14:textId="77777777" w:rsidR="00A90C56" w:rsidRDefault="00A90C56">
      <w:pPr>
        <w:pStyle w:val="ListParagraph"/>
        <w:jc w:val="both"/>
        <w:rPr>
          <w:rFonts w:ascii="Times New Roman" w:hAnsi="Times New Roman" w:cs="Times New Roman"/>
          <w:sz w:val="24"/>
          <w:szCs w:val="24"/>
        </w:rPr>
      </w:pPr>
    </w:p>
    <w:p w14:paraId="20ABDBD7" w14:textId="1166CDA8" w:rsidR="00A90C56" w:rsidRDefault="00000000">
      <w:pPr>
        <w:pStyle w:val="ListParagraph"/>
        <w:numPr>
          <w:ilvl w:val="0"/>
          <w:numId w:val="18"/>
        </w:numPr>
        <w:jc w:val="both"/>
        <w:rPr>
          <w:rFonts w:ascii="Times New Roman" w:hAnsi="Times New Roman" w:cs="Times New Roman"/>
          <w:sz w:val="24"/>
          <w:szCs w:val="24"/>
        </w:rPr>
      </w:pPr>
      <w:r>
        <w:t>Appareil de reproduction de l’homme: il comprend: les testicules, les épididymes, les conduits déférents, les vésicules séminales, les conduits éjaculateurs, la prostate, l’urètre et le pénis.</w:t>
      </w:r>
      <w:proofErr w:type="gramStart"/>
      <w:r/>
      <w:proofErr w:type="gramEnd"/>
      <w:r/>
      <w:proofErr w:type="gramStart"/>
      <w:r/>
      <w:proofErr w:type="gramEnd"/>
      <w:r/>
    </w:p>
    <w:p w14:paraId="7C1D9733" w14:textId="77777777" w:rsidR="00A90C56" w:rsidRDefault="00A90C56">
      <w:pPr>
        <w:pStyle w:val="ListParagraph"/>
        <w:ind w:left="1069"/>
        <w:jc w:val="both"/>
        <w:rPr>
          <w:rFonts w:ascii="Times New Roman" w:hAnsi="Times New Roman" w:cs="Times New Roman"/>
          <w:sz w:val="24"/>
          <w:szCs w:val="24"/>
        </w:rPr>
      </w:pPr>
    </w:p>
    <w:p w14:paraId="163E8667" w14:textId="77777777" w:rsidR="00A90C56" w:rsidRDefault="00000000">
      <w:pPr>
        <w:pStyle w:val="Heading1"/>
        <w:spacing w:before="160" w:after="80"/>
        <w:rPr>
          <w:color w:val="auto"/>
          <w:szCs w:val="24"/>
        </w:rPr>
      </w:pPr>
      <w:r>
        <w:t>2. Situation</w:t>
      </w:r>
    </w:p>
    <w:p w14:paraId="77B6CF18" w14:textId="77777777" w:rsidR="00A90C56" w:rsidRDefault="00000000">
      <w:pPr>
        <w:pStyle w:val="Heading2"/>
        <w:spacing w:before="160" w:after="80"/>
        <w:jc w:val="both"/>
        <w:rPr>
          <w:rFonts w:ascii="Times New Roman" w:hAnsi="Times New Roman" w:cs="Times New Roman"/>
          <w:sz w:val="24"/>
          <w:szCs w:val="24"/>
        </w:rPr>
      </w:pPr>
      <w:r>
        <w:t>2.1. Migration embryonnaire des gonades</w:t>
      </w:r>
    </w:p>
    <w:p>
      <w:pPr>
        <w:pStyle w:val="ListParagraph"/>
      </w:pPr>
      <w:r>
        <w:t>Les gonades se forment initialement près des reins. À partir du 3e mois de gestation, elles amorcent leur migration depuis la paroi abdominale postérieure, guidées notamment par le gubernaculum. Leur devenir diffère ensuite selon le sexe.</w:t>
      </w:r>
    </w:p>
    <w:p w14:paraId="3B33B5F8" w14:textId="77777777" w:rsidR="00A90C56" w:rsidRDefault="00000000">
      <w:pPr>
        <w:pStyle w:val="ListParagraph"/>
        <w:numPr>
          <w:ilvl w:val="0"/>
          <w:numId w:val="17"/>
        </w:numPr>
        <w:jc w:val="both"/>
        <w:rPr>
          <w:rFonts w:ascii="Times New Roman" w:hAnsi="Times New Roman" w:cs="Times New Roman"/>
          <w:sz w:val="24"/>
          <w:szCs w:val="24"/>
        </w:rPr>
      </w:pPr>
      <w:r>
        <w:t>Chez la femme: seul le ligament rond qui est un reliquat du gubernaculum, continue sa migration à travers du canal inguinal.</w:t>
      </w:r>
    </w:p>
    <w:p w14:paraId="49D8B473" w14:textId="5B84B7C1" w:rsidR="00A90C56" w:rsidRDefault="00000000">
      <w:pPr>
        <w:pStyle w:val="ListParagraph"/>
        <w:numPr>
          <w:ilvl w:val="0"/>
          <w:numId w:val="17"/>
        </w:numPr>
        <w:jc w:val="both"/>
        <w:rPr>
          <w:rFonts w:ascii="Times New Roman" w:hAnsi="Times New Roman" w:cs="Times New Roman"/>
          <w:sz w:val="24"/>
          <w:szCs w:val="24"/>
        </w:rPr>
      </w:pPr>
      <w:r>
        <w:t>Chez l’homme, les testicules continuent à migrer dans le canal inguinal, en entraînant avec eux artères, veines, lymphatiques, nerfs et le canal déférent. Les testicules atteignent l’orifice profond du canal inguinal autour du 6ème mois, franchissent le canal durant le 7ème mois et atteignent leur position intra-scrotale définitive vers la fin du 8ème mois. Cette migration est réglée par le système hormonal, la croissance du fœtus et l’augmentation de poids des testicules.</w:t>
      </w:r>
    </w:p>
    <w:p w14:paraId="198F72F3" w14:textId="77777777" w:rsidR="00A90C56" w:rsidRDefault="00000000">
      <w:pPr>
        <w:pStyle w:val="ListParagraph"/>
        <w:ind w:left="1211"/>
        <w:jc w:val="both"/>
        <w:rPr>
          <w:rFonts w:ascii="Times New Roman" w:hAnsi="Times New Roman" w:cs="Times New Roman"/>
          <w:sz w:val="24"/>
          <w:szCs w:val="24"/>
        </w:rPr>
      </w:pPr>
      <w:r>
        <w:t>Les anomalies sont fréquentes, allant de l’ectopie simple inguino-scrotale à la cryptorchidie pelvienne, iliaque ou lombale, causes de stérilité ou de cancer.</w:t>
      </w:r>
    </w:p>
    <w:p w14:paraId="2F399F95" w14:textId="77777777" w:rsidR="00A90C56" w:rsidRDefault="00000000">
      <w:pPr>
        <w:pStyle w:val="Heading2"/>
        <w:spacing w:before="160" w:after="80"/>
        <w:jc w:val="both"/>
        <w:rPr>
          <w:rFonts w:ascii="Times New Roman" w:hAnsi="Times New Roman" w:cs="Times New Roman"/>
          <w:sz w:val="24"/>
          <w:szCs w:val="24"/>
        </w:rPr>
      </w:pPr>
      <w:r>
        <w:lastRenderedPageBreak/>
        <w:t>2.2. Testicules</w:t>
      </w:r>
    </w:p>
    <w:p>
      <w:pPr>
        <w:pStyle w:val="ListParagraph"/>
      </w:pPr>
      <w:r>
        <w:t>Les testicules sont situés à l’extérieur de la cavité pelvienne, dans le scrotum, sous le périnée. Cette position permet de maintenir une température légèrement inférieure à celle de la cavité abdominale, condition nécessaire au déroulement normal de la spermatogenèse.</w:t>
      </w:r>
    </w:p>
    <w:p w14:paraId="50ABDFA9" w14:textId="77777777" w:rsidR="00A90C56" w:rsidRDefault="00000000">
      <w:pPr>
        <w:pStyle w:val="EncadreROP"/>
        <w:ind w:left="927"/>
        <w:jc w:val="both"/>
        <w:rPr>
          <w:rFonts w:ascii="Times New Roman" w:hAnsi="Times New Roman" w:cs="Times New Roman"/>
          <w:sz w:val="24"/>
          <w:szCs w:val="24"/>
        </w:rPr>
      </w:pPr>
      <w:r>
        <w:t>INTÉRÊT EN ROP</w:t>
      </w:r>
    </w:p>
    <w:p w14:paraId="6CB029A3" w14:textId="77777777" w:rsidR="00A90C56" w:rsidRDefault="00000000">
      <w:pPr>
        <w:pStyle w:val="ListParagraph"/>
        <w:ind w:left="927"/>
        <w:jc w:val="both"/>
        <w:rPr>
          <w:rFonts w:ascii="Times New Roman" w:hAnsi="Times New Roman" w:cs="Times New Roman"/>
          <w:sz w:val="24"/>
          <w:szCs w:val="24"/>
        </w:rPr>
      </w:pPr>
      <w:r>
        <w:t>La même zone réflexe des ovaires et des testicules s’explique par leur migration embryologique commune jusqu’à la cavité pelvienne.</w:t>
      </w:r>
    </w:p>
    <w:p w14:paraId="3D3A4ADA" w14:textId="77777777" w:rsidR="00A90C56" w:rsidRDefault="00000000">
      <w:pPr>
        <w:pStyle w:val="Heading2"/>
        <w:spacing w:before="160" w:after="80"/>
        <w:jc w:val="both"/>
        <w:rPr>
          <w:rFonts w:ascii="Times New Roman" w:hAnsi="Times New Roman" w:cs="Times New Roman"/>
          <w:sz w:val="24"/>
          <w:szCs w:val="24"/>
        </w:rPr>
      </w:pPr>
      <w:r>
        <w:t>2.3. Prostate</w:t>
      </w:r>
    </w:p>
    <w:p>
      <w:pPr>
        <w:pStyle w:val="ListParagraph"/>
      </w:pPr>
      <w:r>
        <w:t>La prostate est profondément située dans la cavité pelvienne, sous le col de la vessie et au-dessus du plancher périnéal. Elle se trouve environ 2 à 3 cm en arrière de la symphyse pubienne et en avant de l’ampoule rectale.</w:t>
      </w:r>
    </w:p>
    <w:p w14:paraId="005651C2" w14:textId="77777777" w:rsidR="00A90C56" w:rsidRDefault="00000000">
      <w:pPr>
        <w:pStyle w:val="Heading1"/>
        <w:spacing w:before="160" w:after="80"/>
        <w:rPr>
          <w:color w:val="auto"/>
        </w:rPr>
      </w:pPr>
      <w:r>
        <w:t>3. Anatomie</w:t>
      </w:r>
    </w:p>
    <w:p w14:paraId="0A8B3AAC" w14:textId="77777777" w:rsidR="00A90C56" w:rsidRDefault="00000000">
      <w:pPr>
        <w:pStyle w:val="Heading2"/>
        <w:spacing w:before="160" w:after="80"/>
        <w:jc w:val="both"/>
        <w:rPr>
          <w:rFonts w:ascii="Times New Roman" w:hAnsi="Times New Roman" w:cs="Times New Roman"/>
          <w:sz w:val="24"/>
          <w:szCs w:val="24"/>
        </w:rPr>
      </w:pPr>
      <w:r>
        <w:t>3.1. Testicules</w:t>
      </w:r>
    </w:p>
    <w:p>
      <w:pPr>
        <w:pStyle w:val="ListParagraph"/>
      </w:pPr>
      <w:r>
        <w:t>Dans le scrotum, les testicules sont le siège de la production des spermatozoïdes et de la sécrétion de testostérone.</w:t>
      </w:r>
    </w:p>
    <w:p w14:paraId="1A569EFF" w14:textId="0D8A3E42" w:rsidR="00A90C56" w:rsidRDefault="00000000">
      <w:pPr>
        <w:pStyle w:val="ListParagraph"/>
        <w:ind w:left="1353"/>
        <w:jc w:val="both"/>
        <w:rPr>
          <w:rFonts w:ascii="Times New Roman" w:hAnsi="Times New Roman" w:cs="Times New Roman"/>
          <w:sz w:val="24"/>
          <w:szCs w:val="24"/>
        </w:rPr>
      </w:pPr>
      <w:r>
        <w:t>De forme ovoïde de 5 cm de long chez l’adulte, le testicule est recouvert par une membrane résistante, l’albuginée. Il est entouré par une gaine, le processus vaginal  . Sa constitution interne  comprend des lobules contenant 400 à 600 canalicules séminifères, lieu de production et de maturation des spermatozoïdes (spermatogenèse). Ces canalicules débouchent, au pôle supérieur du testicule, dans le canal de l’épididyme.</w:t>
      </w:r>
      <w:proofErr w:type="gramStart"/>
      <w:r/>
      <w:proofErr w:type="gramEnd"/>
      <w:r/>
    </w:p>
    <w:p w14:paraId="081E5B92" w14:textId="77777777" w:rsidR="00A90C56" w:rsidRDefault="00000000">
      <w:pPr>
        <w:pStyle w:val="Heading2"/>
        <w:spacing w:before="160" w:after="80"/>
        <w:jc w:val="both"/>
        <w:rPr>
          <w:rFonts w:ascii="Times New Roman" w:hAnsi="Times New Roman" w:cs="Times New Roman"/>
          <w:sz w:val="24"/>
          <w:szCs w:val="24"/>
        </w:rPr>
      </w:pPr>
      <w:r>
        <w:t>3.2. Épididyme</w:t>
      </w:r>
    </w:p>
    <w:p>
      <w:pPr>
        <w:pStyle w:val="ListParagraph"/>
      </w:pPr>
      <w:r>
        <w:t>L’épididyme coiffe le testicule puis descend le long de son bord postérieur jusqu’au pôle inférieur, où il se poursuit par le conduit déférent. Il reçoit les spermatozoïdes issus du testicule et participe à leur maturation et à l’acquisition de leur mobilité.</w:t>
      </w:r>
    </w:p>
    <w:p w14:paraId="0FABAA73" w14:textId="77777777" w:rsidR="00A90C56" w:rsidRDefault="00000000">
      <w:pPr>
        <w:pStyle w:val="Heading2"/>
        <w:spacing w:before="160" w:after="80"/>
        <w:jc w:val="both"/>
        <w:rPr>
          <w:rFonts w:ascii="Times New Roman" w:hAnsi="Times New Roman" w:cs="Times New Roman"/>
          <w:sz w:val="24"/>
          <w:szCs w:val="24"/>
        </w:rPr>
      </w:pPr>
      <w:r>
        <w:t>3.3. Conduit déférent</w:t>
      </w:r>
    </w:p>
    <w:p>
      <w:pPr>
        <w:pStyle w:val="ListParagraph"/>
      </w:pPr>
      <w:r>
        <w:t>Le conduit déférent, long d’environ 50 à 60 cm, transporte les spermatozoïdes depuis l’épididyme jusqu’aux conduits éjaculateurs. Il remonte dans le cordon spermatique, traverse le canal inguinal puis gagne la cavité pelvienne.</w:t>
      </w:r>
    </w:p>
    <w:p w14:paraId="47B6B4AA" w14:textId="77777777" w:rsidR="00A90C56" w:rsidRDefault="00000000">
      <w:pPr>
        <w:pStyle w:val="Heading2"/>
        <w:spacing w:before="160" w:after="80"/>
        <w:jc w:val="both"/>
        <w:rPr>
          <w:rFonts w:ascii="Times New Roman" w:hAnsi="Times New Roman" w:cs="Times New Roman"/>
          <w:sz w:val="24"/>
          <w:szCs w:val="24"/>
        </w:rPr>
      </w:pPr>
      <w:r>
        <w:t>3.4. Canal inguinal</w:t>
      </w:r>
    </w:p>
    <w:p>
      <w:pPr>
        <w:pStyle w:val="ListParagraph"/>
      </w:pPr>
      <w:r>
        <w:t>Le canal inguinal est un tunnel d’environ 4 cm traversant la paroi abdominale antérieure, juste au-dessus et parallèlement au ligament inguinal. Il présente un anneau profond et un anneau superficiel.</w:t>
      </w:r>
    </w:p>
    <w:p w14:paraId="473DA667" w14:textId="77777777" w:rsidR="00A90C56" w:rsidRDefault="00000000">
      <w:pPr>
        <w:pStyle w:val="Heading3"/>
        <w:spacing w:before="160" w:after="80"/>
        <w:jc w:val="both"/>
        <w:rPr>
          <w:rFonts w:ascii="Times New Roman" w:hAnsi="Times New Roman" w:cs="Times New Roman"/>
          <w:sz w:val="24"/>
          <w:szCs w:val="24"/>
        </w:rPr>
      </w:pPr>
      <w:r>
        <w:t>3.4.1. Anneau inguinal profond</w:t>
      </w:r>
    </w:p>
    <w:p>
      <w:pPr>
        <w:pStyle w:val="ListParagraph"/>
      </w:pPr>
      <w:r>
        <w:t>L’anneau inguinal profond correspond à l’entrée du canal inguinal. Il se projette approximativement à mi-distance entre l’épine iliaque antéro-supérieure et la symphyse pubienne.</w:t>
      </w:r>
    </w:p>
    <w:p w14:paraId="232587E6" w14:textId="77777777" w:rsidR="00A90C56" w:rsidRDefault="00000000">
      <w:pPr>
        <w:pStyle w:val="Heading3"/>
        <w:spacing w:before="160" w:after="80"/>
        <w:jc w:val="both"/>
        <w:rPr>
          <w:rFonts w:ascii="Times New Roman" w:hAnsi="Times New Roman" w:cs="Times New Roman"/>
          <w:sz w:val="24"/>
          <w:szCs w:val="24"/>
        </w:rPr>
      </w:pPr>
      <w:r>
        <w:t>3.4.2. Anneau inguinal superficiel</w:t>
      </w:r>
    </w:p>
    <w:p>
      <w:pPr>
        <w:pStyle w:val="ListParagraph"/>
      </w:pPr>
      <w:r>
        <w:t>L’anneau inguinal superficiel correspond à la sortie du canal inguinal. Il est situé au-dessus du tubercule du pubis.</w:t>
      </w:r>
    </w:p>
    <w:p w14:paraId="71DB4B28" w14:textId="77777777" w:rsidR="00A90C56" w:rsidRDefault="00000000">
      <w:pPr>
        <w:pStyle w:val="Heading3"/>
        <w:spacing w:before="160" w:after="80"/>
        <w:jc w:val="both"/>
        <w:rPr>
          <w:rFonts w:ascii="Times New Roman" w:hAnsi="Times New Roman" w:cs="Times New Roman"/>
          <w:sz w:val="24"/>
          <w:szCs w:val="24"/>
        </w:rPr>
      </w:pPr>
      <w:r>
        <w:t>3.4.3. Constitution du canal inguinal</w:t>
      </w:r>
    </w:p>
    <w:p>
      <w:pPr>
        <w:pStyle w:val="ListParagraph"/>
      </w:pPr>
      <w:r>
        <w:t>Le canal inguinal est constitué par les différents plans de la paroi abdominale antérieure. Chez l’homme, il livre passage au cordon spermatique, qui contient notamment le conduit déférent, des vaisseaux et des éléments nerveux. La région est également en rapport avec les nerfs ilio-hypogastrique, ilio-inguinal et génito-fémoral, issus du plexus lombal. Ces territoires participent à l’innervation sensitive de la région pubienne et scrotale.</w:t>
      </w:r>
    </w:p>
    <w:p w14:paraId="04DF3E1D" w14:textId="77777777" w:rsidR="00A90C56" w:rsidRDefault="00000000">
      <w:pPr>
        <w:pStyle w:val="Heading3"/>
        <w:spacing w:before="160" w:after="80"/>
        <w:jc w:val="both"/>
        <w:rPr>
          <w:rFonts w:ascii="Times New Roman" w:hAnsi="Times New Roman" w:cs="Times New Roman"/>
          <w:sz w:val="24"/>
          <w:szCs w:val="24"/>
        </w:rPr>
      </w:pPr>
      <w:r>
        <w:t>3.4.4. Hernies inguinales</w:t>
      </w:r>
    </w:p>
    <w:p>
      <w:pPr>
        <w:pStyle w:val="ListParagraph"/>
      </w:pPr>
      <w:r>
        <w:t>Le canal inguinal constitue une zone de faiblesse de la paroi abdominale antérieure. Les hernies inguinales y sont particulièrement fréquentes chez l’homme.</w:t>
      </w:r>
    </w:p>
    <w:p w14:paraId="035E8653" w14:textId="77777777" w:rsidR="00A90C56" w:rsidRDefault="00000000">
      <w:pPr>
        <w:pStyle w:val="Heading3"/>
        <w:spacing w:before="160" w:after="80"/>
        <w:jc w:val="both"/>
        <w:rPr>
          <w:rFonts w:ascii="Times New Roman" w:hAnsi="Times New Roman" w:cs="Times New Roman"/>
          <w:sz w:val="24"/>
          <w:szCs w:val="24"/>
        </w:rPr>
      </w:pPr>
      <w:r>
        <w:t>3.4.5. Muscle crémaster</w:t>
      </w:r>
    </w:p>
    <w:p>
      <w:pPr>
        <w:pStyle w:val="ListParagraph"/>
      </w:pPr>
      <w:r>
        <w:t>Le muscle crémaster accompagne le cordon spermatique. Son insertion proximale se situe au niveau du ligament inguinal et du pubis ; ses fibres descendent autour du cordon et des enveloppes testiculaires. Il est principalement innervé par la branche génitale du nerf génito-fémoral et participe à l’élévation du testicule.</w:t>
      </w:r>
    </w:p>
    <w:p w14:paraId="5C53E2EF" w14:textId="77777777" w:rsidR="00A90C56" w:rsidRDefault="00000000">
      <w:pPr>
        <w:pStyle w:val="EncadreROP"/>
        <w:ind w:left="1416"/>
        <w:jc w:val="both"/>
        <w:rPr>
          <w:rFonts w:ascii="Times New Roman" w:hAnsi="Times New Roman" w:cs="Times New Roman"/>
          <w:sz w:val="24"/>
          <w:szCs w:val="24"/>
        </w:rPr>
      </w:pPr>
      <w:r>
        <w:t>INTÉRÊT EN ROP</w:t>
      </w:r>
    </w:p>
    <w:p w14:paraId="1935E14A" w14:textId="77777777" w:rsidR="00A90C56" w:rsidRDefault="00000000">
      <w:pPr>
        <w:pStyle w:val="ListParagraph"/>
        <w:ind w:left="1416"/>
        <w:jc w:val="both"/>
        <w:rPr>
          <w:rFonts w:ascii="Times New Roman" w:hAnsi="Times New Roman" w:cs="Times New Roman"/>
          <w:sz w:val="24"/>
          <w:szCs w:val="24"/>
        </w:rPr>
      </w:pPr>
      <w:r>
        <w:t>Notre action réflexe conjointe sur le ligament inguinal et les orifices profond et superficiel du canal inguinal, contribue à équilibrer les pressions intra-canalaires sur le cordon spermatique et son contenu vasculaire, nerveux et le canal déférent.</w:t>
      </w:r>
    </w:p>
    <w:p w14:paraId="43108E07" w14:textId="77777777" w:rsidR="00A90C56" w:rsidRDefault="00000000">
      <w:pPr>
        <w:pStyle w:val="Heading2"/>
        <w:spacing w:before="160" w:after="80"/>
        <w:jc w:val="both"/>
        <w:rPr>
          <w:rFonts w:ascii="Times New Roman" w:hAnsi="Times New Roman" w:cs="Times New Roman"/>
          <w:sz w:val="24"/>
          <w:szCs w:val="24"/>
        </w:rPr>
      </w:pPr>
      <w:r>
        <w:t>3.5. Vésicules séminales</w:t>
      </w:r>
    </w:p>
    <w:p>
      <w:pPr>
        <w:pStyle w:val="ListParagraph"/>
      </w:pPr>
      <w:r>
        <w:t>Les vésicules séminales sont des glandes sexuelles accessoires paires, situées en arrière de la vessie et au-dessus de la prostate, au voisinage du fascia de Denonvilliers qui les sépare du rectum.</w:t>
      </w:r>
    </w:p>
    <w:p w14:paraId="6D257A95" w14:textId="77777777" w:rsidR="00A90C56" w:rsidRDefault="00000000">
      <w:pPr>
        <w:pStyle w:val="ListParagraph"/>
        <w:ind w:left="1353"/>
        <w:jc w:val="both"/>
        <w:rPr>
          <w:rFonts w:ascii="Times New Roman" w:hAnsi="Times New Roman" w:cs="Times New Roman"/>
          <w:sz w:val="24"/>
          <w:szCs w:val="24"/>
        </w:rPr>
      </w:pPr>
      <w:r>
        <w:t>Mesurant 5 à 8 cm de long et 1,5 cm de large, les vésicules séminales ont la consistance d’une figue un peu mûre.</w:t>
      </w:r>
    </w:p>
    <w:p w14:paraId="51DC9060" w14:textId="77777777" w:rsidR="00A90C56" w:rsidRDefault="00000000">
      <w:pPr>
        <w:pStyle w:val="ListParagraph"/>
        <w:ind w:left="1353"/>
        <w:jc w:val="both"/>
        <w:rPr>
          <w:rFonts w:ascii="Times New Roman" w:hAnsi="Times New Roman" w:cs="Times New Roman"/>
          <w:sz w:val="24"/>
          <w:szCs w:val="24"/>
        </w:rPr>
      </w:pPr>
      <w:r>
        <w:t>Elles produisent une part importante du liquide séminal, riche notamment en fructose, qui soutient la fonction des spermatozoïdes et contribue au volume de l’éjaculat.</w:t>
      </w:r>
    </w:p>
    <w:p w14:paraId="159BA299" w14:textId="77777777" w:rsidR="00A90C56" w:rsidRDefault="00000000">
      <w:pPr>
        <w:pStyle w:val="Heading2"/>
        <w:spacing w:before="160" w:after="80"/>
        <w:jc w:val="both"/>
        <w:rPr>
          <w:rFonts w:ascii="Times New Roman" w:hAnsi="Times New Roman" w:cs="Times New Roman"/>
          <w:sz w:val="24"/>
          <w:szCs w:val="24"/>
        </w:rPr>
      </w:pPr>
      <w:r>
        <w:lastRenderedPageBreak/>
        <w:t>3.6. Conduits éjaculateurs</w:t>
      </w:r>
    </w:p>
    <w:p>
      <w:pPr>
        <w:pStyle w:val="ListParagraph"/>
      </w:pPr>
      <w:r>
        <w:t>Les conduits éjaculateurs résultent de l’union de l’ampoule du conduit déférent avec le conduit de la vésicule séminale. Ils traversent la prostate et s’abouchent dans l’urètre prostatique.</w:t>
      </w:r>
    </w:p>
    <w:p w14:paraId="0EB97464" w14:textId="77777777" w:rsidR="00A90C56" w:rsidRDefault="00000000">
      <w:pPr>
        <w:pStyle w:val="Heading2"/>
        <w:spacing w:before="160" w:after="80"/>
        <w:jc w:val="both"/>
        <w:rPr>
          <w:rFonts w:ascii="Times New Roman" w:hAnsi="Times New Roman" w:cs="Times New Roman"/>
          <w:sz w:val="24"/>
          <w:szCs w:val="24"/>
        </w:rPr>
      </w:pPr>
      <w:r>
        <w:t>3.7. Prostate</w:t>
      </w:r>
    </w:p>
    <w:p w14:paraId="7BB2EBA1" w14:textId="5795418C" w:rsidR="00A90C56" w:rsidRDefault="00000000">
      <w:pPr>
        <w:pStyle w:val="ListParagraph"/>
        <w:ind w:left="1353"/>
        <w:jc w:val="both"/>
        <w:rPr>
          <w:rFonts w:ascii="Times New Roman" w:hAnsi="Times New Roman" w:cs="Times New Roman"/>
          <w:sz w:val="24"/>
          <w:szCs w:val="24"/>
        </w:rPr>
      </w:pPr>
      <w:r>
        <w:t>Chez un adulte jeune, elle a la forme d’une châtaigne. Sa consistance ferme mais souple est comparable au globe oculaire. Son poids est de 20 à 25 g. Son volume augmentant beaucoup après 60 ans, peut devenir gros comme une orange et exercer une pression sur l’urètre et la vessie et occasionner des troubles de la miction.</w:t>
      </w:r>
    </w:p>
    <w:p w14:paraId="1A066E63" w14:textId="77777777" w:rsidR="00A90C56" w:rsidRDefault="00000000">
      <w:pPr>
        <w:pStyle w:val="ListParagraph"/>
        <w:ind w:left="1353"/>
        <w:jc w:val="both"/>
        <w:rPr>
          <w:rFonts w:ascii="Times New Roman" w:hAnsi="Times New Roman" w:cs="Times New Roman"/>
          <w:sz w:val="24"/>
          <w:szCs w:val="24"/>
        </w:rPr>
      </w:pPr>
      <w:r>
        <w:t>La prostate participe à la composition du sperme et à la protection des spermatozoïdes dans la traversée vagino-utéro-tubaire.</w:t>
      </w:r>
    </w:p>
    <w:p w14:paraId="03C578DA" w14:textId="77777777" w:rsidR="00A90C56" w:rsidRDefault="00000000">
      <w:pPr>
        <w:pStyle w:val="Heading3"/>
        <w:spacing w:before="160" w:after="80"/>
        <w:jc w:val="both"/>
        <w:rPr>
          <w:rFonts w:ascii="Times New Roman" w:hAnsi="Times New Roman" w:cs="Times New Roman"/>
          <w:sz w:val="24"/>
          <w:szCs w:val="24"/>
        </w:rPr>
      </w:pPr>
      <w:r>
        <w:t>3.7.1. Constitution externe</w:t>
      </w:r>
    </w:p>
    <w:p>
      <w:pPr>
        <w:pStyle w:val="ListParagraph"/>
      </w:pPr>
      <w:r>
        <w:t>La prostate est entourée d’une capsule fibro-musculaire. Des travées conjonctivo-musculaires se prolongent vers l’intérieur et participent à l’organisation du tissu prostatique.</w:t>
      </w:r>
    </w:p>
    <w:p w14:paraId="49B9EF1A" w14:textId="77777777" w:rsidR="00A90C56" w:rsidRDefault="00000000">
      <w:pPr>
        <w:pStyle w:val="Heading3"/>
        <w:spacing w:before="160" w:after="80"/>
        <w:jc w:val="both"/>
        <w:rPr>
          <w:rFonts w:ascii="Times New Roman" w:hAnsi="Times New Roman" w:cs="Times New Roman"/>
          <w:sz w:val="24"/>
          <w:szCs w:val="24"/>
        </w:rPr>
      </w:pPr>
      <w:r>
        <w:t>3.7.2. Lobes de la prostate</w:t>
      </w:r>
    </w:p>
    <w:p w14:paraId="7D16A337" w14:textId="77777777" w:rsidR="00A90C56" w:rsidRDefault="00000000">
      <w:pPr>
        <w:pStyle w:val="ListParagraph"/>
        <w:numPr>
          <w:ilvl w:val="0"/>
          <w:numId w:val="13"/>
        </w:numPr>
        <w:jc w:val="both"/>
        <w:rPr>
          <w:rFonts w:ascii="Times New Roman" w:hAnsi="Times New Roman" w:cs="Times New Roman"/>
          <w:sz w:val="24"/>
          <w:szCs w:val="24"/>
        </w:rPr>
      </w:pPr>
      <w:r>
        <w:t>lobes latéraux: stimulés par les hormones mâles, ils sont séparés par un sillon médian qui disparaît quand le lobe moyen de la prostate s’hypertrophie.</w:t>
      </w:r>
    </w:p>
    <w:p w14:paraId="68806EF6" w14:textId="1400773F" w:rsidR="00A90C56" w:rsidRDefault="00000000">
      <w:pPr>
        <w:pStyle w:val="ListParagraph"/>
        <w:numPr>
          <w:ilvl w:val="0"/>
          <w:numId w:val="13"/>
        </w:numPr>
        <w:jc w:val="both"/>
        <w:rPr>
          <w:rFonts w:ascii="Times New Roman" w:hAnsi="Times New Roman" w:cs="Times New Roman"/>
          <w:sz w:val="24"/>
          <w:szCs w:val="24"/>
        </w:rPr>
      </w:pPr>
      <w:r>
        <w:t>lobe moyen: médial, il est parcouru par l’urètre prostatique  qui présente une fente, l’utricule prostatique. Celui-ci est le vestige atrophié des trompes, de l’utérus et du vagin chez la femme. Les anciens l’appelaient le «vagin mâle ».</w:t>
      </w:r>
      <w:proofErr w:type="gramStart"/>
      <w:r/>
      <w:proofErr w:type="gramEnd"/>
      <w:r/>
      <w:proofErr w:type="gramStart"/>
      <w:r/>
      <w:proofErr w:type="gramEnd"/>
      <w:r/>
      <w:proofErr w:type="gramStart"/>
      <w:r/>
      <w:proofErr w:type="gramEnd"/>
      <w:r/>
    </w:p>
    <w:p w14:paraId="222DC87B" w14:textId="77777777" w:rsidR="00A90C56" w:rsidRDefault="00000000">
      <w:pPr>
        <w:pStyle w:val="ListParagraph"/>
        <w:ind w:left="1920"/>
        <w:jc w:val="both"/>
        <w:rPr>
          <w:rFonts w:ascii="Times New Roman" w:hAnsi="Times New Roman" w:cs="Times New Roman"/>
          <w:sz w:val="24"/>
          <w:szCs w:val="24"/>
        </w:rPr>
      </w:pPr>
      <w:r>
        <w:t>Œstrogéno-dépendant, le lobe moyen s’hypertrophie à l’andropause par déséquilibre hormonal entre androgènes et testostérone. Son augmentation de volume comprime l’urètre, rendant la miction difficile et les éjaculations ont un trajet rétrograde vers la vessie.</w:t>
      </w:r>
    </w:p>
    <w:p w14:paraId="5170ECDA" w14:textId="77777777" w:rsidR="00A90C56" w:rsidRDefault="00000000">
      <w:pPr>
        <w:pStyle w:val="Heading3"/>
        <w:spacing w:before="160" w:after="80"/>
        <w:jc w:val="both"/>
        <w:rPr>
          <w:rFonts w:ascii="Times New Roman" w:hAnsi="Times New Roman" w:cs="Times New Roman"/>
          <w:sz w:val="24"/>
          <w:szCs w:val="24"/>
        </w:rPr>
      </w:pPr>
      <w:r>
        <w:t>3.7.3. Constitution interne</w:t>
      </w:r>
    </w:p>
    <w:p>
      <w:pPr>
        <w:pStyle w:val="ListParagraph"/>
      </w:pPr>
      <w:r>
        <w:t>La prostate est constituée de nombreuses glandes tubulo-alvéolaires dont les sécrétions sont déversées dans l’urètre prostatique par de multiples petits canaux.</w:t>
      </w:r>
    </w:p>
    <w:p w14:paraId="743B3CB0" w14:textId="77777777" w:rsidR="00A90C56" w:rsidRDefault="00000000">
      <w:pPr>
        <w:pStyle w:val="Heading2"/>
        <w:spacing w:before="160" w:after="80"/>
        <w:jc w:val="both"/>
        <w:rPr>
          <w:rFonts w:ascii="Times New Roman" w:hAnsi="Times New Roman" w:cs="Times New Roman"/>
          <w:sz w:val="24"/>
          <w:szCs w:val="24"/>
        </w:rPr>
      </w:pPr>
      <w:r>
        <w:t>3.8. Urètre</w:t>
      </w:r>
    </w:p>
    <w:p>
      <w:pPr>
        <w:pStyle w:val="ListParagraph"/>
      </w:pPr>
      <w:r>
        <w:t>Chez l’homme, l’urètre assure à la fois l’évacuation de l’urine et le passage du sperme. Dans le cadre de ce chapitre, l’attention porte principalement sur sa portion prostatique puis sur sa portion membraneuse.</w:t>
      </w:r>
    </w:p>
    <w:p w14:paraId="1F940F72" w14:textId="77777777" w:rsidR="00A90C56" w:rsidRDefault="00000000">
      <w:pPr>
        <w:pStyle w:val="Heading3"/>
        <w:spacing w:before="160" w:after="80"/>
        <w:jc w:val="both"/>
        <w:rPr>
          <w:rFonts w:ascii="Times New Roman" w:hAnsi="Times New Roman" w:cs="Times New Roman"/>
          <w:sz w:val="24"/>
          <w:szCs w:val="24"/>
        </w:rPr>
      </w:pPr>
      <w:r>
        <w:t>3.8.1. Urètre prostatique</w:t>
      </w:r>
    </w:p>
    <w:p>
      <w:pPr>
        <w:pStyle w:val="ListParagraph"/>
      </w:pPr>
      <w:r>
        <w:t>L’urètre prostatique traverse la prostate. Il reçoit les deux conduits éjaculateurs ainsi que de nombreux petits canaux par lesquels s’écoulent les sécrétions prostatiques.</w:t>
      </w:r>
    </w:p>
    <w:p w14:paraId="0E214449" w14:textId="77777777" w:rsidR="00A90C56" w:rsidRDefault="00000000">
      <w:pPr>
        <w:pStyle w:val="Heading3"/>
        <w:spacing w:before="160" w:after="80"/>
        <w:jc w:val="both"/>
        <w:rPr>
          <w:rFonts w:ascii="Times New Roman" w:hAnsi="Times New Roman" w:cs="Times New Roman"/>
          <w:sz w:val="24"/>
          <w:szCs w:val="24"/>
        </w:rPr>
      </w:pPr>
      <w:r>
        <w:t>3.8.2. Colliculus séminal ou veru montanum</w:t>
      </w:r>
    </w:p>
    <w:p>
      <w:pPr>
        <w:pStyle w:val="ListParagraph"/>
      </w:pPr>
      <w:r>
        <w:t>Le colliculus séminal, ou veru montanum, est un relief de la paroi postérieure de l’urètre prostatique. Il constitue un repère anatomique au voisinage de l’abouchement des conduits éjaculateurs et de l’utricule prostatique.</w:t>
      </w:r>
    </w:p>
    <w:p w14:paraId="2D455D04" w14:textId="77777777" w:rsidR="00A90C56" w:rsidRDefault="00000000">
      <w:pPr>
        <w:pStyle w:val="Heading3"/>
        <w:spacing w:before="160" w:after="80"/>
        <w:jc w:val="both"/>
        <w:rPr>
          <w:rFonts w:ascii="Times New Roman" w:hAnsi="Times New Roman" w:cs="Times New Roman"/>
          <w:sz w:val="24"/>
          <w:szCs w:val="24"/>
        </w:rPr>
      </w:pPr>
      <w:r>
        <w:t>3.8.3. Sphincters</w:t>
      </w:r>
    </w:p>
    <w:p>
      <w:pPr>
        <w:pStyle w:val="ListParagraph"/>
      </w:pPr>
      <w:r>
        <w:t>Le sphincter urétral interne, constitué de fibres musculaires lisses, participe au contrôle involontaire du col vésical. Le sphincter urétral externe, strié et sous contrôle somatique via le nerf pudendal, participe au contrôle volontaire de la continence.</w:t>
      </w:r>
    </w:p>
    <w:p w14:paraId="590E3AA4" w14:textId="77777777" w:rsidR="00A90C56" w:rsidRDefault="00000000">
      <w:pPr>
        <w:pStyle w:val="Heading3"/>
        <w:spacing w:before="160" w:after="80"/>
        <w:jc w:val="both"/>
        <w:rPr>
          <w:rFonts w:ascii="Times New Roman" w:hAnsi="Times New Roman" w:cs="Times New Roman"/>
          <w:sz w:val="24"/>
          <w:szCs w:val="24"/>
        </w:rPr>
      </w:pPr>
      <w:r>
        <w:t>3.8.4. Urètre membraneux</w:t>
      </w:r>
    </w:p>
    <w:p>
      <w:pPr>
        <w:pStyle w:val="ListParagraph"/>
      </w:pPr>
      <w:r>
        <w:t>L’urètre membraneux prolonge l’urètre prostatique à travers le plancher pelvien avant de se poursuivre par l’urètre spongieux dans le pénis.</w:t>
      </w:r>
    </w:p>
    <w:p w14:paraId="11EC9DC4" w14:textId="77777777" w:rsidR="00A90C56" w:rsidRDefault="00000000">
      <w:pPr>
        <w:pStyle w:val="Heading1"/>
        <w:spacing w:before="160" w:after="80"/>
        <w:rPr>
          <w:color w:val="auto"/>
          <w:szCs w:val="24"/>
        </w:rPr>
      </w:pPr>
      <w:r>
        <w:t>4. Rapports</w:t>
      </w:r>
    </w:p>
    <w:p w14:paraId="3D6D292B" w14:textId="77777777" w:rsidR="00A90C56" w:rsidRDefault="00000000">
      <w:pPr>
        <w:pStyle w:val="Heading2"/>
        <w:spacing w:before="160" w:after="80"/>
        <w:rPr>
          <w:rFonts w:ascii="Times New Roman" w:hAnsi="Times New Roman" w:cs="Times New Roman"/>
          <w:sz w:val="24"/>
          <w:szCs w:val="24"/>
        </w:rPr>
      </w:pPr>
      <w:r>
        <w:t>4.1. Loge prostatique</w:t>
      </w:r>
    </w:p>
    <w:p>
      <w:pPr>
        <w:pStyle w:val="ListParagraph"/>
      </w:pPr>
      <w:r>
        <w:t>La loge prostatique contient la prostate et ses enveloppes. Ses rapports anatomiques expliquent les liens étroits de la prostate avec la vessie, le plancher pelvien, le rectum, la symphyse pubienne et les réseaux vasculo-nerveux pelviens.</w:t>
      </w:r>
    </w:p>
    <w:p w14:paraId="1FD11C9B" w14:textId="77777777" w:rsidR="00A90C56" w:rsidRDefault="00000000">
      <w:pPr>
        <w:pStyle w:val="ListParagraph"/>
        <w:numPr>
          <w:ilvl w:val="0"/>
          <w:numId w:val="2"/>
        </w:numPr>
        <w:jc w:val="both"/>
        <w:rPr>
          <w:rFonts w:ascii="Times New Roman" w:hAnsi="Times New Roman" w:cs="Times New Roman"/>
          <w:sz w:val="24"/>
          <w:szCs w:val="24"/>
        </w:rPr>
      </w:pPr>
      <w:r>
        <w:t>Face crâniale: elle sert de maintien à la vessie.</w:t>
      </w:r>
    </w:p>
    <w:p w14:paraId="344332D0" w14:textId="77777777" w:rsidR="00A90C56" w:rsidRDefault="00000000">
      <w:pPr>
        <w:pStyle w:val="ListParagraph"/>
        <w:numPr>
          <w:ilvl w:val="0"/>
          <w:numId w:val="2"/>
        </w:numPr>
        <w:jc w:val="both"/>
        <w:rPr>
          <w:rFonts w:ascii="Times New Roman" w:hAnsi="Times New Roman" w:cs="Times New Roman"/>
          <w:sz w:val="24"/>
          <w:szCs w:val="24"/>
        </w:rPr>
      </w:pPr>
      <w:r>
        <w:t>Face ventrale: la symphyse pubienne, les ligaments pubo-urétraux et le plexus veineux de Santorini;</w:t>
      </w:r>
    </w:p>
    <w:p w14:paraId="11011A80" w14:textId="77777777" w:rsidR="00A90C56" w:rsidRDefault="00000000">
      <w:pPr>
        <w:pStyle w:val="ListParagraph"/>
        <w:numPr>
          <w:ilvl w:val="0"/>
          <w:numId w:val="2"/>
        </w:numPr>
        <w:jc w:val="both"/>
        <w:rPr>
          <w:rFonts w:ascii="Times New Roman" w:hAnsi="Times New Roman" w:cs="Times New Roman"/>
          <w:sz w:val="24"/>
          <w:szCs w:val="24"/>
        </w:rPr>
      </w:pPr>
      <w:r>
        <w:t>Face caudale: le plancher périnéal;</w:t>
      </w:r>
    </w:p>
    <w:p w14:paraId="7262582B" w14:textId="77777777" w:rsidR="00A90C56" w:rsidRDefault="00000000">
      <w:pPr>
        <w:pStyle w:val="ListParagraph"/>
        <w:numPr>
          <w:ilvl w:val="0"/>
          <w:numId w:val="2"/>
        </w:numPr>
        <w:jc w:val="both"/>
        <w:rPr>
          <w:rFonts w:ascii="Times New Roman" w:hAnsi="Times New Roman" w:cs="Times New Roman"/>
          <w:sz w:val="24"/>
          <w:szCs w:val="24"/>
        </w:rPr>
      </w:pPr>
      <w:r>
        <w:t>Face dorsale: l’aponévrose prostato-péritonéale de Denonvilliers, s’étendant du périnée au cul-de-sac de Douglas. Elle est l’équivalent du ligament large chez la femme. Elle est riche en fibres musculaires lisses.</w:t>
      </w:r>
    </w:p>
    <w:p w14:paraId="41DD6840" w14:textId="77777777" w:rsidR="00A90C56" w:rsidRDefault="00000000">
      <w:pPr>
        <w:pStyle w:val="ListParagraph"/>
        <w:numPr>
          <w:ilvl w:val="0"/>
          <w:numId w:val="2"/>
        </w:numPr>
        <w:jc w:val="both"/>
        <w:rPr>
          <w:rFonts w:ascii="Times New Roman" w:hAnsi="Times New Roman" w:cs="Times New Roman"/>
          <w:sz w:val="24"/>
          <w:szCs w:val="24"/>
        </w:rPr>
      </w:pPr>
      <w:r>
        <w:t>Parois latérales: les membranes obturatrices et les lames sacro-recto-génito-pubienne constituées de fibres  musculaires lisses. Elles sont parcourues par le plexus hypogastrique inférieur.</w:t>
      </w:r>
    </w:p>
    <w:p w14:paraId="65F53830" w14:textId="77777777" w:rsidR="00A90C56" w:rsidRDefault="00000000">
      <w:pPr>
        <w:pStyle w:val="Heading2"/>
        <w:spacing w:before="160" w:after="80"/>
        <w:jc w:val="both"/>
        <w:rPr>
          <w:rFonts w:ascii="Times New Roman" w:hAnsi="Times New Roman" w:cs="Times New Roman"/>
          <w:sz w:val="24"/>
          <w:szCs w:val="24"/>
        </w:rPr>
      </w:pPr>
      <w:r>
        <w:lastRenderedPageBreak/>
        <w:t>4.2. Vésicules séminales</w:t>
      </w:r>
    </w:p>
    <w:p>
      <w:pPr>
        <w:pStyle w:val="ListParagraph"/>
      </w:pPr>
      <w:r>
        <w:t>Les vésicules séminales sont en rapport, en avant, avec la base de la vessie ; en bas, avec la prostate ; en arrière, avec le rectum ; et en haut, avec le péritoine du cul-de-sac recto-vésical.</w:t>
      </w:r>
    </w:p>
    <w:p w14:paraId="0B797A95" w14:textId="77777777" w:rsidR="00A90C56" w:rsidRDefault="00000000">
      <w:pPr>
        <w:pStyle w:val="Heading1"/>
        <w:spacing w:before="160" w:after="80"/>
        <w:rPr>
          <w:color w:val="auto"/>
        </w:rPr>
      </w:pPr>
      <w:r>
        <w:t>5. Vascularisation</w:t>
      </w:r>
    </w:p>
    <w:p w14:paraId="4E60643E" w14:textId="77777777" w:rsidR="00A90C56" w:rsidRDefault="00000000">
      <w:pPr>
        <w:pStyle w:val="Heading2"/>
        <w:spacing w:before="160" w:after="80"/>
        <w:jc w:val="both"/>
        <w:rPr>
          <w:rFonts w:ascii="Times New Roman" w:hAnsi="Times New Roman" w:cs="Times New Roman"/>
          <w:sz w:val="24"/>
          <w:szCs w:val="24"/>
        </w:rPr>
      </w:pPr>
      <w:r>
        <w:t>5.1. Testicules</w:t>
      </w:r>
    </w:p>
    <w:p>
      <w:pPr>
        <w:pStyle w:val="ListParagraph"/>
      </w:pPr>
      <w:r>
        <w:t>Du fait de leur origine embryologique abdominale et de leur migration secondaire, les testicules conservent un pédicule vasculaire d’origine haute, issu de la région aortique abdominale.</w:t>
      </w:r>
    </w:p>
    <w:p w14:paraId="62F28E9D" w14:textId="5373363B" w:rsidR="00A90C56" w:rsidRDefault="00000000">
      <w:pPr>
        <w:pStyle w:val="ListParagraph"/>
        <w:numPr>
          <w:ilvl w:val="0"/>
          <w:numId w:val="5"/>
        </w:numPr>
        <w:jc w:val="both"/>
        <w:rPr>
          <w:rFonts w:ascii="Times New Roman" w:hAnsi="Times New Roman" w:cs="Times New Roman"/>
          <w:sz w:val="24"/>
          <w:szCs w:val="24"/>
        </w:rPr>
      </w:pPr>
      <w:proofErr w:type="gramStart"/>
      <w:r>
        <w:t>Artérielle:</w:t>
      </w:r>
      <w:proofErr w:type="gramEnd"/>
      <w:r>
        <w:t xml:space="preserve"> l’artère spermatique naît de l’aorte abdominale, près de l’artère </w:t>
      </w:r>
      <w:proofErr w:type="gramStart"/>
      <w:r>
        <w:t>rénale;</w:t>
      </w:r>
      <w:proofErr w:type="gramEnd"/>
    </w:p>
    <w:p w14:paraId="0E56130D" w14:textId="05F4592B" w:rsidR="00A90C56" w:rsidRDefault="00000000">
      <w:pPr>
        <w:pStyle w:val="ListParagraph"/>
        <w:numPr>
          <w:ilvl w:val="0"/>
          <w:numId w:val="5"/>
        </w:numPr>
        <w:jc w:val="both"/>
        <w:rPr>
          <w:rFonts w:ascii="Times New Roman" w:hAnsi="Times New Roman" w:cs="Times New Roman"/>
          <w:sz w:val="24"/>
          <w:szCs w:val="24"/>
        </w:rPr>
      </w:pPr>
      <w:r>
        <w:t>Veineuse : la vascularisation veineuse du testicule présente des particularités proches de celle de l’ovaire. La veine spermatique droite rejoint la veine cave inférieure, tandis que la veine spermatique gauche rejoint la veine rénale gauche. Une stase veineuse gauche peut favoriser une varicocèle et retentir sur le spermogramme. On parle classiquement d’oligozoospermie lorsque la concentration de spermatozoïdes est inférieure aux valeurs de référence, autour de 15 millions/mL selon les référentiels utilisés ; des valeurs très basses correspondent à des formes plus sévères. L’hypospermie correspond à un volume d’éjaculat inférieur aux valeurs attendues.</w:t>
      </w:r>
    </w:p>
    <w:p w14:paraId="1725906C" w14:textId="0A0D7109" w:rsidR="00A90C56" w:rsidRDefault="00000000">
      <w:pPr>
        <w:pStyle w:val="ListParagraph"/>
        <w:ind w:left="1069"/>
        <w:jc w:val="both"/>
        <w:rPr>
          <w:rFonts w:ascii="Times New Roman" w:hAnsi="Times New Roman" w:cs="Times New Roman"/>
          <w:sz w:val="24"/>
          <w:szCs w:val="24"/>
        </w:rPr>
      </w:pPr>
      <w:r>
        <w:t>Le système veineux maintient la prostate en place et amortit les microtraumatismes dont la prostate peut être victime. Le retour veineux est sous le double contrôle du système porte. Comme pour les hémorroïdes, toute congestion du système porte, et donc du foie, entraîne une congestion de la prostate.</w:t>
      </w:r>
    </w:p>
    <w:p w14:paraId="172249A4" w14:textId="77777777" w:rsidR="00A90C56" w:rsidRDefault="00000000">
      <w:pPr>
        <w:pStyle w:val="EncadreROP"/>
        <w:ind w:left="1069"/>
        <w:jc w:val="both"/>
        <w:rPr>
          <w:rFonts w:ascii="Times New Roman" w:hAnsi="Times New Roman" w:cs="Times New Roman"/>
          <w:sz w:val="24"/>
          <w:szCs w:val="24"/>
        </w:rPr>
      </w:pPr>
      <w:r>
        <w:t>INTÉRÊT EN ROP</w:t>
      </w:r>
    </w:p>
    <w:p w14:paraId="196FDA38" w14:textId="77777777" w:rsidR="00A90C56" w:rsidRDefault="00000000">
      <w:pPr>
        <w:pStyle w:val="ListParagraph"/>
        <w:ind w:left="1069"/>
        <w:jc w:val="both"/>
        <w:rPr>
          <w:rFonts w:ascii="Times New Roman" w:hAnsi="Times New Roman" w:cs="Times New Roman"/>
          <w:sz w:val="24"/>
          <w:szCs w:val="24"/>
        </w:rPr>
      </w:pPr>
      <w:r>
        <w:t>Le foie, le rein gauche et l’intestin grêle font partie des zones réflexes à aborder quand on traite le système uro-génital et les problèmes veineux des membres inférieurs.</w:t>
      </w:r>
    </w:p>
    <w:p w14:paraId="73134E50" w14:textId="678EC568" w:rsidR="00A90C56" w:rsidRDefault="00000000">
      <w:pPr>
        <w:pStyle w:val="ListParagraph"/>
        <w:ind w:left="1069"/>
        <w:jc w:val="both"/>
        <w:rPr>
          <w:rFonts w:ascii="Times New Roman" w:hAnsi="Times New Roman" w:cs="Times New Roman"/>
          <w:sz w:val="24"/>
          <w:szCs w:val="24"/>
        </w:rPr>
      </w:pPr>
      <w:r>
        <w:t>La fixation du rein gauche ou le clampage de la veine rénale par la racine du mésentère ou par la pince aorto-mésentérique  à la suite de ptose de l’intestin grêle, freine le retour veineux dans la cavité pelvienne, occasionnant des varicocèles gauches et des varices prédominant dans le membre inférieur gauche.</w:t>
      </w:r>
      <w:proofErr w:type="gramStart"/>
      <w:r/>
      <w:proofErr w:type="gramEnd"/>
      <w:r/>
    </w:p>
    <w:p w14:paraId="46B04734" w14:textId="77777777" w:rsidR="00A90C56" w:rsidRDefault="00000000">
      <w:pPr>
        <w:pStyle w:val="Heading1"/>
        <w:spacing w:before="160" w:after="80"/>
        <w:rPr>
          <w:color w:val="auto"/>
        </w:rPr>
      </w:pPr>
      <w:r>
        <w:t>6. Innervation</w:t>
      </w:r>
    </w:p>
    <w:p w14:paraId="73A85E58" w14:textId="77777777" w:rsidR="00A90C56" w:rsidRDefault="00000000">
      <w:pPr>
        <w:pStyle w:val="Heading2"/>
        <w:spacing w:before="160" w:after="80"/>
        <w:jc w:val="both"/>
        <w:rPr>
          <w:rFonts w:ascii="Times New Roman" w:hAnsi="Times New Roman" w:cs="Times New Roman"/>
          <w:sz w:val="24"/>
          <w:szCs w:val="24"/>
        </w:rPr>
      </w:pPr>
      <w:r>
        <w:t>6.1. Testicules</w:t>
      </w:r>
    </w:p>
    <w:p w14:paraId="1D38489D" w14:textId="40B61267" w:rsidR="00A90C56" w:rsidRDefault="00000000">
      <w:pPr>
        <w:pStyle w:val="ListParagraph"/>
        <w:numPr>
          <w:ilvl w:val="0"/>
          <w:numId w:val="36"/>
        </w:numPr>
        <w:jc w:val="both"/>
        <w:rPr>
          <w:rFonts w:ascii="Times New Roman" w:hAnsi="Times New Roman" w:cs="Times New Roman"/>
          <w:sz w:val="24"/>
          <w:szCs w:val="24"/>
        </w:rPr>
      </w:pPr>
      <w:proofErr w:type="gramStart"/>
      <w:r>
        <w:t>Sympathique: origine médullaire Th10-Th11 et Th12;</w:t>
      </w:r>
      <w:proofErr w:type="gramEnd"/>
      <w:r/>
      <w:proofErr w:type="gramStart"/>
      <w:r/>
      <w:proofErr w:type="gramEnd"/>
      <w:r/>
    </w:p>
    <w:p w14:paraId="13465F38" w14:textId="77777777" w:rsidR="00A90C56" w:rsidRDefault="00000000">
      <w:pPr>
        <w:pStyle w:val="ListParagraph"/>
        <w:numPr>
          <w:ilvl w:val="0"/>
          <w:numId w:val="36"/>
        </w:numPr>
        <w:jc w:val="both"/>
        <w:rPr>
          <w:rFonts w:ascii="Times New Roman" w:hAnsi="Times New Roman" w:cs="Times New Roman"/>
          <w:sz w:val="24"/>
          <w:szCs w:val="24"/>
        </w:rPr>
      </w:pPr>
      <w:r>
        <w:t>Parasympathique pelvien S2 à S4 (à hauteur de la vertèbre L1</w:t>
      </w:r>
      <w:proofErr w:type="gramStart"/>
      <w:r>
        <w:t>);</w:t>
      </w:r>
      <w:proofErr w:type="gramEnd"/>
    </w:p>
    <w:p w14:paraId="0DBF92F5" w14:textId="77777777" w:rsidR="00A90C56" w:rsidRDefault="00000000">
      <w:pPr>
        <w:pStyle w:val="ListParagraph"/>
        <w:numPr>
          <w:ilvl w:val="0"/>
          <w:numId w:val="36"/>
        </w:numPr>
        <w:jc w:val="both"/>
        <w:rPr>
          <w:rFonts w:ascii="Times New Roman" w:hAnsi="Times New Roman" w:cs="Times New Roman"/>
          <w:sz w:val="24"/>
          <w:szCs w:val="24"/>
        </w:rPr>
      </w:pPr>
      <w:r>
        <w:t>Plexus aortorénal: situé en avant de l’artère rénale, il reçoit le nerf petit splanchnique issu des 10ème, 11ème et 12ème ganglions thoraciques et du 1er  ganglion lombaire. Il est destiné au rein et au testicule.</w:t>
      </w:r>
    </w:p>
    <w:p w14:paraId="0975698B" w14:textId="77777777" w:rsidR="00A90C56" w:rsidRDefault="00000000">
      <w:pPr>
        <w:pStyle w:val="Heading2"/>
        <w:spacing w:before="160" w:after="80"/>
        <w:jc w:val="both"/>
        <w:rPr>
          <w:rFonts w:ascii="Times New Roman" w:hAnsi="Times New Roman" w:cs="Times New Roman"/>
          <w:sz w:val="24"/>
          <w:szCs w:val="24"/>
        </w:rPr>
      </w:pPr>
      <w:r>
        <w:t>6.2. Prostate</w:t>
      </w:r>
    </w:p>
    <w:p w14:paraId="785EB73C" w14:textId="77777777" w:rsidR="00A90C56" w:rsidRDefault="00000000">
      <w:pPr>
        <w:pStyle w:val="ListParagraph"/>
        <w:numPr>
          <w:ilvl w:val="0"/>
          <w:numId w:val="37"/>
        </w:numPr>
        <w:jc w:val="both"/>
        <w:rPr>
          <w:rFonts w:ascii="Times New Roman" w:hAnsi="Times New Roman" w:cs="Times New Roman"/>
          <w:sz w:val="24"/>
          <w:szCs w:val="24"/>
        </w:rPr>
      </w:pPr>
      <w:r>
        <w:t>Sympathique: Th12-L1-L2 et ganglion mésentérique inférieur;</w:t>
      </w:r>
    </w:p>
    <w:p w14:paraId="64A86C69" w14:textId="77777777" w:rsidR="00A90C56" w:rsidRDefault="00000000">
      <w:pPr>
        <w:pStyle w:val="ListParagraph"/>
        <w:numPr>
          <w:ilvl w:val="0"/>
          <w:numId w:val="37"/>
        </w:numPr>
        <w:jc w:val="both"/>
        <w:rPr>
          <w:rFonts w:ascii="Times New Roman" w:hAnsi="Times New Roman" w:cs="Times New Roman"/>
          <w:sz w:val="24"/>
          <w:szCs w:val="24"/>
        </w:rPr>
      </w:pPr>
      <w:r>
        <w:t>Parasympathique: l’origine est la moelle sacrée S2 à S4, à hauteur de la vertèbre L1. Les  2ème, 3ème et 4ème racines sacrées  forment le nerf érecteur d’Eckardt destiné aux organes pelviens;</w:t>
      </w:r>
    </w:p>
    <w:p w14:paraId="2C53DC7A" w14:textId="01E1462D" w:rsidR="00A90C56" w:rsidRDefault="00000000">
      <w:pPr>
        <w:pStyle w:val="ListParagraph"/>
        <w:numPr>
          <w:ilvl w:val="0"/>
          <w:numId w:val="37"/>
        </w:numPr>
        <w:jc w:val="both"/>
        <w:rPr>
          <w:rFonts w:ascii="Times New Roman" w:hAnsi="Times New Roman" w:cs="Times New Roman"/>
          <w:sz w:val="24"/>
          <w:szCs w:val="24"/>
        </w:rPr>
      </w:pPr>
      <w:r>
        <w:t>Plexus hypogastrique supérieur: il apporte l’innervation sympathique au plexus hypogastrique inférieur.</w:t>
      </w:r>
      <w:proofErr w:type="gramStart"/>
      <w:r/>
      <w:proofErr w:type="gramEnd"/>
      <w:r/>
    </w:p>
    <w:p w14:paraId="283DF01D" w14:textId="77777777" w:rsidR="00A90C56" w:rsidRDefault="00000000">
      <w:pPr>
        <w:pStyle w:val="ListParagraph"/>
        <w:numPr>
          <w:ilvl w:val="0"/>
          <w:numId w:val="37"/>
        </w:numPr>
        <w:jc w:val="both"/>
        <w:rPr>
          <w:rFonts w:ascii="Times New Roman" w:hAnsi="Times New Roman" w:cs="Times New Roman"/>
          <w:sz w:val="24"/>
          <w:szCs w:val="24"/>
        </w:rPr>
      </w:pPr>
      <w:r>
        <w:t xml:space="preserve">Plexus hypogastrique </w:t>
      </w:r>
      <w:proofErr w:type="gramStart"/>
      <w:r>
        <w:t>inférieur:</w:t>
      </w:r>
      <w:proofErr w:type="gramEnd"/>
      <w:r>
        <w:t xml:space="preserve"> il est situé dans la cavité pelvienne, contenu dans la lame sacro-recto-génito-pubienne. Il apporte l’innervation autonome aux organes pelviens.</w:t>
      </w:r>
    </w:p>
    <w:p w14:paraId="6B31606C" w14:textId="77777777" w:rsidR="00A90C56" w:rsidRDefault="00A90C56">
      <w:pPr>
        <w:pStyle w:val="ListParagraph"/>
        <w:ind w:left="660"/>
        <w:jc w:val="both"/>
        <w:rPr>
          <w:rFonts w:ascii="Times New Roman" w:hAnsi="Times New Roman" w:cs="Times New Roman"/>
          <w:sz w:val="24"/>
          <w:szCs w:val="24"/>
        </w:rPr>
      </w:pPr>
    </w:p>
    <w:p w14:paraId="604D11E8" w14:textId="77777777" w:rsidR="00A90C56" w:rsidRDefault="00000000">
      <w:pPr>
        <w:pStyle w:val="Heading1"/>
        <w:spacing w:before="160" w:after="80"/>
        <w:rPr>
          <w:color w:val="auto"/>
        </w:rPr>
      </w:pPr>
      <w:r>
        <w:t>7. Physiologie</w:t>
      </w:r>
    </w:p>
    <w:p w14:paraId="07B4E918" w14:textId="77777777" w:rsidR="00A90C56" w:rsidRDefault="00000000">
      <w:pPr>
        <w:pStyle w:val="Heading2"/>
        <w:spacing w:before="160" w:after="80"/>
        <w:jc w:val="both"/>
        <w:rPr>
          <w:rFonts w:ascii="Times New Roman" w:hAnsi="Times New Roman" w:cs="Times New Roman"/>
          <w:sz w:val="24"/>
          <w:szCs w:val="24"/>
        </w:rPr>
      </w:pPr>
      <w:r>
        <w:t>7.1. Testicules</w:t>
      </w:r>
    </w:p>
    <w:p>
      <w:pPr/>
      <w:r>
        <w:t>Les testicules assurent deux fonctions principales : la spermatogenèse et la stéroïdogenèse. Ces fonctions sont intégrées à une régulation endocrinienne centrale et à un environnement local spécifique.</w:t>
      </w:r>
    </w:p>
    <w:p w14:paraId="425F0234" w14:textId="77777777" w:rsidR="00A90C56" w:rsidRDefault="00000000">
      <w:pPr>
        <w:pStyle w:val="Heading3"/>
        <w:spacing w:before="160" w:after="80"/>
        <w:rPr>
          <w:rFonts w:ascii="Times New Roman" w:hAnsi="Times New Roman" w:cs="Times New Roman"/>
          <w:sz w:val="24"/>
          <w:szCs w:val="24"/>
        </w:rPr>
      </w:pPr>
      <w:r>
        <w:t>7.1.1. Spermatogenèse</w:t>
      </w:r>
    </w:p>
    <w:p>
      <w:pPr/>
      <w:r>
        <w:t>La spermatogenèse correspond à la production des spermatozoïdes à partir des cellules germinales. Elle débute à la puberté et se déroule dans les tubes séminifères, selon un processus continu dont l’efficacité peut évoluer avec l’âge.</w:t>
      </w:r>
    </w:p>
    <w:p w14:paraId="51E45F7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7.1.2. Stéroïdogenèse</w:t>
      </w:r>
    </w:p>
    <w:p>
      <w:pPr/>
      <w:r>
        <w:t>La stéroïdogenèse testiculaire correspond principalement à la production de testostérone. Cette hormone intervient dans la différenciation sexuelle masculine, le développement des caractères sexuels, le maintien de la spermatogenèse et la fonction sexuelle.</w:t>
      </w:r>
    </w:p>
    <w:p w14:paraId="412FBC50"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7.1.3. Contribution des corticosurrénales</w:t>
      </w:r>
    </w:p>
    <w:p>
      <w:pPr/>
      <w:r>
        <w:t>La zone réticulée des corticosurrénales, sous l’influence de l’ACTH, produit également des androgènes surrénaliens. Leur contribution est complémentaire de la production hormonale gonadique.</w:t>
      </w:r>
    </w:p>
    <w:p w14:paraId="5F581F9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7.1.4. Régulation par les centres supérieurs</w:t>
      </w:r>
    </w:p>
    <w:p>
      <w:pPr/>
      <w:r>
        <w:t>La fonction testiculaire est régulée par l’axe hypothalamo-hypophysaire-gonadique. L’hypothalamus contrôle la sécrétion hypophysaire de FSH et de LH, qui participent respectivement à la spermatogenèse et à la production de testostérone. Cette régulation endocrine s’intègre aux fonctions centrales impliquées dans la sexualité, le comportement et l’adaptation.</w:t>
      </w:r>
    </w:p>
    <w:p w14:paraId="52C14F4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7.1.5. Immunité</w:t>
      </w:r>
    </w:p>
    <w:p>
      <w:pPr/>
      <w:r>
        <w:t>Les cellules germinales apparaissant après la mise en place de la tolérance immunitaire nécessitent un environnement protecteur. Le testicule présente ainsi des mécanismes de barrière et de régulation immunitaire locale qui contribuent à protéger la spermatogenèse.</w:t>
      </w:r>
    </w:p>
    <w:p w14:paraId="5D0B4C0E" w14:textId="77777777" w:rsidR="00A90C56" w:rsidRDefault="00A90C56">
      <w:pPr>
        <w:pStyle w:val="ListParagraph"/>
        <w:spacing w:before="100" w:beforeAutospacing="1" w:after="24" w:line="240" w:lineRule="auto"/>
        <w:ind w:left="927"/>
        <w:rPr>
          <w:rFonts w:ascii="Times New Roman" w:eastAsia="Times New Roman" w:hAnsi="Times New Roman" w:cs="Times New Roman"/>
          <w:color w:val="202122"/>
          <w:sz w:val="24"/>
          <w:szCs w:val="24"/>
          <w:lang w:eastAsia="fr-FR"/>
        </w:rPr>
      </w:pPr>
    </w:p>
    <w:p w14:paraId="15719931" w14:textId="77777777" w:rsidR="00A90C56" w:rsidRDefault="00000000">
      <w:pPr>
        <w:pStyle w:val="Heading2"/>
        <w:spacing w:before="160" w:beforeAutospacing="1" w:after="80" w:line="240" w:lineRule="auto"/>
        <w:rPr>
          <w:rFonts w:ascii="Times New Roman" w:eastAsia="Times New Roman" w:hAnsi="Times New Roman" w:cs="Times New Roman"/>
          <w:color w:val="202122"/>
          <w:sz w:val="24"/>
          <w:szCs w:val="24"/>
          <w:lang w:eastAsia="fr-FR"/>
        </w:rPr>
      </w:pPr>
      <w:r>
        <w:t>7.2. Prostate et vésicules séminales</w:t>
      </w:r>
    </w:p>
    <w:p w14:paraId="420EBA0D"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7.2.1. Rôle mécanique</w:t>
      </w:r>
    </w:p>
    <w:p>
      <w:pPr/>
      <w:r>
        <w:t>Par sa position sous le col vésical et ses rapports avec les structures du plancher pelvien, la prostate participe à l’organisation mécanique de la région vésico-urétrale. Ses moyens de fixité et son environnement veineux contribuent à la stabilité de cette région.</w:t>
      </w:r>
    </w:p>
    <w:p w14:paraId="4A0468F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7.2.2. Continence urinaire</w:t>
      </w:r>
    </w:p>
    <w:p>
      <w:pPr/>
      <w:r>
        <w:t>La continence urinaire dépend de la coordination du col vésical, du sphincter urétral interne, du sphincter urétral externe et du plancher pelvien. La proximité anatomique de la prostate avec ces structures explique qu’une modification de son volume ou de sa consistance puisse retentir sur la miction.</w:t>
      </w:r>
    </w:p>
    <w:p w14:paraId="263C1A03"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7.2.3. Constitution du sperme</w:t>
      </w:r>
    </w:p>
    <w:p>
      <w:pPr/>
      <w:r>
        <w:t>Le sperme associe les spermatozoïdes d’origine testiculaire aux sécrétions des voies génitales et des glandes sexuelles accessoires, notamment les vésicules séminales et la prostate. Ces sécrétions participent au volume de l’éjaculat, à son pH et aux conditions nécessaires à la mobilité et à la survie des spermatozoïdes.</w:t>
      </w:r>
    </w:p>
    <w:p w14:paraId="6ABE9ABC" w14:textId="77777777" w:rsidR="00A90C56" w:rsidRDefault="00000000">
      <w:pPr>
        <w:pStyle w:val="Heading3"/>
        <w:spacing w:before="160" w:after="80"/>
        <w:jc w:val="both"/>
        <w:rPr>
          <w:rFonts w:ascii="Times New Roman" w:hAnsi="Times New Roman" w:cs="Times New Roman"/>
          <w:sz w:val="24"/>
          <w:szCs w:val="24"/>
        </w:rPr>
      </w:pPr>
      <w:r>
        <w:t>7.2.4. Rôle des sécrétions prostatiques</w:t>
      </w:r>
    </w:p>
    <w:p w14:paraId="2D432099" w14:textId="77777777" w:rsidR="00A90C56" w:rsidRDefault="00000000">
      <w:pPr>
        <w:pStyle w:val="ListParagraph"/>
        <w:numPr>
          <w:ilvl w:val="0"/>
          <w:numId w:val="38"/>
        </w:numPr>
        <w:jc w:val="both"/>
        <w:rPr>
          <w:rFonts w:ascii="Times New Roman" w:hAnsi="Times New Roman" w:cs="Times New Roman"/>
          <w:sz w:val="24"/>
          <w:szCs w:val="24"/>
        </w:rPr>
      </w:pPr>
      <w:r>
        <w:t>La fluidité du liquide séminal grâce à des enzymes prostatiques, dont l’antigène prostatique spécifique (PSA) ;</w:t>
      </w:r>
    </w:p>
    <w:p w14:paraId="0346628E" w14:textId="77777777" w:rsidR="00A90C56" w:rsidRDefault="00000000">
      <w:pPr>
        <w:pStyle w:val="ListParagraph"/>
        <w:numPr>
          <w:ilvl w:val="0"/>
          <w:numId w:val="38"/>
        </w:numPr>
        <w:jc w:val="both"/>
        <w:rPr>
          <w:rFonts w:ascii="Times New Roman" w:hAnsi="Times New Roman" w:cs="Times New Roman"/>
          <w:sz w:val="24"/>
          <w:szCs w:val="24"/>
        </w:rPr>
      </w:pPr>
      <w:r>
        <w:t>L’apport de composants tels que le citrate, le zinc et des enzymes participant à la fonction du sperme ;</w:t>
      </w:r>
    </w:p>
    <w:p w14:paraId="3E3F9450" w14:textId="77777777" w:rsidR="00A90C56" w:rsidRDefault="00000000">
      <w:pPr>
        <w:pStyle w:val="ListParagraph"/>
        <w:numPr>
          <w:ilvl w:val="0"/>
          <w:numId w:val="38"/>
        </w:numPr>
        <w:jc w:val="both"/>
        <w:rPr>
          <w:rFonts w:ascii="Times New Roman" w:hAnsi="Times New Roman" w:cs="Times New Roman"/>
          <w:sz w:val="24"/>
          <w:szCs w:val="24"/>
        </w:rPr>
      </w:pPr>
      <w:r>
        <w:t>La participation à l’équilibre du pH du sperme, en complément des sécrétions des vésicules séminales.</w:t>
      </w:r>
    </w:p>
    <w:p w14:paraId="282999C8" w14:textId="77777777" w:rsidR="00A90C56" w:rsidRDefault="00000000">
      <w:pPr>
        <w:pStyle w:val="ListParagraph"/>
        <w:ind w:left="2046"/>
        <w:jc w:val="both"/>
        <w:rPr>
          <w:rFonts w:ascii="Times New Roman" w:eastAsia="Times New Roman" w:hAnsi="Times New Roman" w:cs="Times New Roman"/>
          <w:color w:val="202122"/>
          <w:sz w:val="24"/>
          <w:szCs w:val="24"/>
          <w:lang w:eastAsia="fr-FR"/>
        </w:rPr>
      </w:pPr>
      <w:r>
        <w:t>Par ses sécrétions, la prostate contribue à la mobilité et à la viabilité des spermatozoïdes, sans être à elle seule responsable de la fécondance du sperme.</w:t>
      </w:r>
    </w:p>
    <w:p w14:paraId="5EFD5A8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7.2.5. Rôle des vésicules séminales</w:t>
      </w:r>
    </w:p>
    <w:p>
      <w:pPr/>
      <w:r>
        <w:t>Les vésicules séminales produisent une part importante du liquide séminal. Leur sécrétion, notamment riche en fructose, contribue au volume de l’éjaculat et fournit des substrats utiles au métabolisme des spermatozoïdes.</w:t>
      </w:r>
    </w:p>
    <w:p w14:paraId="3886FB2F" w14:textId="77777777" w:rsidR="00A90C56" w:rsidRDefault="00000000">
      <w:pPr>
        <w:pStyle w:val="Heading1"/>
        <w:spacing w:before="160" w:after="80"/>
        <w:rPr>
          <w:rFonts w:eastAsia="Times New Roman"/>
          <w:color w:val="auto"/>
          <w:lang w:eastAsia="fr-FR"/>
        </w:rPr>
      </w:pPr>
      <w:r>
        <w:t>8. Pathologies courantes</w:t>
      </w:r>
    </w:p>
    <w:p w14:paraId="2D5F0381" w14:textId="77777777" w:rsidR="00A90C56" w:rsidRDefault="00000000">
      <w:pPr>
        <w:pStyle w:val="Heading2"/>
        <w:spacing w:before="160" w:after="80"/>
        <w:rPr>
          <w:rFonts w:ascii="Times New Roman" w:hAnsi="Times New Roman" w:cs="Times New Roman"/>
          <w:sz w:val="24"/>
          <w:szCs w:val="24"/>
          <w:lang w:eastAsia="fr-FR"/>
        </w:rPr>
      </w:pPr>
      <w:r>
        <w:t>8.1. Diagnostic d’exclusion</w:t>
      </w:r>
    </w:p>
    <w:p w14:paraId="31164601" w14:textId="77777777" w:rsidR="00A90C56" w:rsidRDefault="00000000">
      <w:pPr>
        <w:pStyle w:val="Heading3"/>
        <w:spacing w:before="160" w:after="80"/>
        <w:rPr>
          <w:rFonts w:ascii="Times New Roman" w:hAnsi="Times New Roman" w:cs="Times New Roman"/>
          <w:sz w:val="24"/>
          <w:szCs w:val="24"/>
          <w:lang w:eastAsia="fr-FR"/>
        </w:rPr>
      </w:pPr>
      <w:r>
        <w:t>8.1.1. Cancer du testicule</w:t>
      </w:r>
    </w:p>
    <w:p>
      <w:pPr>
        <w:pStyle w:val="ListParagraph"/>
      </w:pPr>
      <w:r>
        <w:t>Le cancer du testicule concerne principalement l’homme jeune, avec une fréquence particulière entre l’adolescence tardive et le début de l’âge adulte. Toute masse ou augmentation persistante du volume testiculaire impose une évaluation médicale.</w:t>
      </w:r>
    </w:p>
    <w:p w14:paraId="3E885B8C" w14:textId="77777777" w:rsidR="00A90C56" w:rsidRDefault="00000000">
      <w:pPr>
        <w:pStyle w:val="ListParagraph"/>
        <w:ind w:left="1353"/>
        <w:rPr>
          <w:rFonts w:ascii="Times New Roman" w:hAnsi="Times New Roman" w:cs="Times New Roman"/>
          <w:color w:val="000000"/>
          <w:sz w:val="24"/>
          <w:szCs w:val="24"/>
          <w:shd w:val="clear" w:color="auto" w:fill="FFFFFF"/>
        </w:rPr>
      </w:pPr>
      <w:r>
        <w:t>Le mode de découverte le plus fréquent est l'augmentation de volume. La cause est une mutation de l'ADN des cellules du testicule qui se multiplient rapidement pour former une tumeur. La cryptorchidie (testicule non descendu) est cause de cancer du testicule.</w:t>
      </w:r>
    </w:p>
    <w:p w14:paraId="102CD2C5" w14:textId="77777777" w:rsidR="00A90C56" w:rsidRDefault="00000000">
      <w:pPr>
        <w:pStyle w:val="ListParagraph"/>
        <w:numPr>
          <w:ilvl w:val="0"/>
          <w:numId w:val="39"/>
        </w:numPr>
        <w:rPr>
          <w:rFonts w:ascii="Times New Roman" w:hAnsi="Times New Roman" w:cs="Times New Roman"/>
          <w:color w:val="000000"/>
          <w:sz w:val="24"/>
          <w:szCs w:val="24"/>
          <w:shd w:val="clear" w:color="auto" w:fill="FFFFFF"/>
        </w:rPr>
      </w:pPr>
      <w:r>
        <w:lastRenderedPageBreak/>
        <w:t>Evolution: c’est le risque de métastases aux ganglions lymphatiques, au foie et aux poumons.</w:t>
      </w:r>
    </w:p>
    <w:p w14:paraId="229E78EE" w14:textId="77777777" w:rsidR="00A90C56" w:rsidRDefault="00000000">
      <w:pPr>
        <w:pStyle w:val="ListParagraph"/>
        <w:keepNext/>
        <w:numPr>
          <w:ilvl w:val="0"/>
          <w:numId w:val="39"/>
        </w:numPr>
        <w:rPr>
          <w:rFonts w:ascii="Times New Roman" w:hAnsi="Times New Roman" w:cs="Times New Roman"/>
          <w:color w:val="000000"/>
          <w:sz w:val="24"/>
          <w:szCs w:val="24"/>
          <w:shd w:val="clear" w:color="auto" w:fill="FFFFFF"/>
        </w:rPr>
      </w:pPr>
      <w:r>
        <w:t>Symptômes:</w:t>
      </w:r>
    </w:p>
    <w:p w14:paraId="34920021"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Grosseur ou gonflement dans le testicule;</w:t>
      </w:r>
    </w:p>
    <w:p w14:paraId="601BB845"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gêne au niveau du testicule;</w:t>
      </w:r>
    </w:p>
    <w:p w14:paraId="22791772"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Douleur ou une sensation de lourdeur dans le bas de l'abdomen ou du dos;</w:t>
      </w:r>
    </w:p>
    <w:p w14:paraId="1A8524DE"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Hypertrophie du tissu mammaire;</w:t>
      </w:r>
    </w:p>
    <w:p w14:paraId="00E411D3"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Modification de la voix et la croissance des poils du visage et du corps chez les garçons prépubères.</w:t>
      </w:r>
    </w:p>
    <w:p w14:paraId="488C6F78" w14:textId="77777777" w:rsidR="00A90C56" w:rsidRDefault="00000000">
      <w:pPr>
        <w:pStyle w:val="ListParagraph"/>
        <w:ind w:left="993"/>
        <w:jc w:val="center"/>
        <w:rPr>
          <w:rFonts w:ascii="Times New Roman" w:hAnsi="Times New Roman" w:cs="Times New Roman"/>
          <w:color w:val="333333"/>
          <w:sz w:val="24"/>
          <w:szCs w:val="24"/>
          <w:shd w:val="clear" w:color="auto" w:fill="FFFFFF"/>
        </w:rPr>
      </w:pPr>
      <w:r>
        <w:t>Le principal traitement est l’ablation du testicule (orchidectomie).</w:t>
      </w:r>
    </w:p>
    <w:p w14:paraId="4E9D21B1" w14:textId="77777777" w:rsidR="00A90C56" w:rsidRDefault="00A90C56">
      <w:pPr>
        <w:pStyle w:val="ListParagraph"/>
        <w:ind w:left="1429"/>
        <w:rPr>
          <w:rFonts w:ascii="Times New Roman" w:eastAsia="Times New Roman" w:hAnsi="Times New Roman" w:cs="Times New Roman"/>
          <w:color w:val="000000"/>
          <w:sz w:val="24"/>
          <w:szCs w:val="24"/>
          <w:lang w:eastAsia="fr-FR"/>
        </w:rPr>
      </w:pPr>
    </w:p>
    <w:p w14:paraId="7D225319" w14:textId="77777777" w:rsidR="00A90C56" w:rsidRDefault="00000000">
      <w:pPr>
        <w:pStyle w:val="Heading3"/>
        <w:spacing w:before="160" w:after="80"/>
        <w:jc w:val="both"/>
        <w:rPr>
          <w:rFonts w:ascii="Times New Roman" w:eastAsia="Times New Roman" w:hAnsi="Times New Roman" w:cs="Times New Roman"/>
          <w:color w:val="000000"/>
          <w:sz w:val="24"/>
          <w:szCs w:val="24"/>
          <w:lang w:eastAsia="fr-FR"/>
        </w:rPr>
      </w:pPr>
      <w:r>
        <w:t>8.1.2. Torsion testiculaire</w:t>
      </w:r>
    </w:p>
    <w:p>
      <w:pPr>
        <w:pStyle w:val="ListParagraph"/>
      </w:pPr>
      <w:r>
        <w:t>La torsion testiculaire correspond à une rotation du cordon spermatique compromettant brutalement la vascularisation du testicule. Le risque de souffrance puis de nécrose testiculaire augmente rapidement : il s’agit d’une urgence chirurgicale nécessitant une prise en charge immédiate.</w:t>
      </w:r>
    </w:p>
    <w:p w14:paraId="28DAD115" w14:textId="77777777" w:rsidR="00A90C56" w:rsidRDefault="00000000">
      <w:pPr>
        <w:pStyle w:val="ListParagraph"/>
        <w:keepNext/>
        <w:ind w:left="1494"/>
        <w:rPr>
          <w:rFonts w:ascii="source_sans_proregular" w:hAnsi="source_sans_proregular"/>
          <w:color w:val="000000"/>
          <w:sz w:val="24"/>
          <w:szCs w:val="24"/>
          <w:shd w:val="clear" w:color="auto" w:fill="FFFFFF"/>
        </w:rPr>
      </w:pPr>
      <w:r>
        <w:t>Les deux périodes de découverte de la torsion testiculaire sont:</w:t>
      </w:r>
    </w:p>
    <w:p w14:paraId="6D93D4CA" w14:textId="77777777" w:rsidR="00A90C56" w:rsidRDefault="00000000">
      <w:pPr>
        <w:pStyle w:val="text-align-justify"/>
        <w:numPr>
          <w:ilvl w:val="0"/>
          <w:numId w:val="30"/>
        </w:numPr>
        <w:spacing w:before="0" w:beforeAutospacing="0"/>
        <w:jc w:val="both"/>
        <w:rPr>
          <w:color w:val="000000"/>
        </w:rPr>
      </w:pPr>
      <w:r>
        <w:t>Période périnatale: la torsion testiculaire se manifeste par une augmentation du volume du testicule, qui prend une couleur bleutée ou rouge. Le testicule devient particulièrement sensible au toucher et le nouveau-né manifeste la douleur ressentie par des pleurs soudains.</w:t>
      </w:r>
    </w:p>
    <w:p w14:paraId="5B573222" w14:textId="77777777" w:rsidR="00A90C56" w:rsidRDefault="00000000">
      <w:pPr>
        <w:pStyle w:val="ListParagraph"/>
        <w:numPr>
          <w:ilvl w:val="0"/>
          <w:numId w:val="29"/>
        </w:numPr>
        <w:rPr>
          <w:rFonts w:ascii="Times New Roman" w:hAnsi="Times New Roman" w:cs="Times New Roman"/>
          <w:color w:val="000000"/>
          <w:sz w:val="24"/>
          <w:szCs w:val="24"/>
          <w:shd w:val="clear" w:color="auto" w:fill="FFFFFF"/>
        </w:rPr>
      </w:pPr>
      <w:r>
        <w:t>Période pubertaire: la torsion testiculaire peut survenir à l’adolescence, avec l’augmentation rapide du volume des testicules au moment de la puberté.</w:t>
      </w:r>
    </w:p>
    <w:p w14:paraId="3B2B19CB" w14:textId="77777777" w:rsidR="00A90C56" w:rsidRDefault="00000000">
      <w:pPr>
        <w:pStyle w:val="ListParagraph"/>
        <w:ind w:left="1636"/>
        <w:rPr>
          <w:rFonts w:ascii="Times New Roman" w:hAnsi="Times New Roman" w:cs="Times New Roman"/>
          <w:color w:val="000000"/>
          <w:sz w:val="24"/>
          <w:szCs w:val="24"/>
          <w:shd w:val="clear" w:color="auto" w:fill="FFFFFF"/>
        </w:rPr>
      </w:pPr>
      <w:r>
        <w:t>Les symptômes sont une douleur intense et soudaine ressentie au niveau du testicule. Elle peut se propager au niveau de l’aine et/ou dans la région lombaire. L’intervention chirurgicale est le seul traitement viable: l’ablation du testicule (orchidectomie).</w:t>
      </w:r>
    </w:p>
    <w:p w14:paraId="7F89599C" w14:textId="77777777" w:rsidR="00A90C56" w:rsidRDefault="00000000">
      <w:pPr>
        <w:ind w:left="1429"/>
        <w:rPr>
          <w:rFonts w:ascii="Times New Roman" w:hAnsi="Times New Roman" w:cs="Times New Roman"/>
          <w:color w:val="000000"/>
          <w:sz w:val="24"/>
          <w:szCs w:val="24"/>
          <w:shd w:val="clear" w:color="auto" w:fill="FFFFFF"/>
        </w:rPr>
      </w:pPr>
      <w:r>
        <w:t>La torsion testiculaire ne constitue pas un facteur d’infertilité pour l’homme. Le testicule restant suffit à la production de spermatozoïdes, bien que l’on constate souvent une diminution de la fertilité.</w:t>
      </w:r>
    </w:p>
    <w:p w14:paraId="533F9FD8" w14:textId="77777777" w:rsidR="00A90C56" w:rsidRDefault="00000000">
      <w:pPr>
        <w:pStyle w:val="Heading3"/>
        <w:spacing w:before="160" w:after="80"/>
        <w:jc w:val="both"/>
        <w:rPr>
          <w:rFonts w:ascii="Times New Roman" w:hAnsi="Times New Roman" w:cs="Times New Roman"/>
          <w:sz w:val="24"/>
          <w:szCs w:val="24"/>
        </w:rPr>
      </w:pPr>
      <w:r>
        <w:t>8.1.3. Cancer de la prostate</w:t>
      </w:r>
    </w:p>
    <w:p>
      <w:pPr>
        <w:pStyle w:val="ListParagraph"/>
      </w:pPr>
      <w:r>
        <w:t>Le cancer de la prostate est le plus souvent un adénocarcinome développé aux dépens du tissu glandulaire prostatique. Son évolution peut rester longtemps silencieuse, ce qui explique l’importance de l’évaluation médicale adaptée au contexte clinique et aux facteurs de risque.</w:t>
      </w:r>
    </w:p>
    <w:p w14:paraId="4AE40A25" w14:textId="77777777" w:rsidR="00A90C56" w:rsidRDefault="00000000">
      <w:pPr>
        <w:pStyle w:val="ListParagraph"/>
        <w:numPr>
          <w:ilvl w:val="0"/>
          <w:numId w:val="21"/>
        </w:numPr>
        <w:jc w:val="both"/>
        <w:rPr>
          <w:rFonts w:ascii="Times New Roman" w:hAnsi="Times New Roman" w:cs="Times New Roman"/>
          <w:sz w:val="24"/>
          <w:szCs w:val="24"/>
        </w:rPr>
      </w:pPr>
      <w:r>
        <w:t>Diagnostic: il se fait par le toucher rectal (prostate pierreuse, relief induré, anomalie de contour) et par la recherche du taux de PSA qui est produit en trop grande quantité par les cellules cancéreuses. Ce taux doit être inférieur à 4ng/ml de sang après 50 ans. Cependant, toute augmentation du taux de PSA n’est pas synonyme de cancer. Il existe deux types de PSA dans le sang. Ce qui est important dans la prise de sang, c’est le dosage de PSA libre par rapport au PSA total. Plus ce rapport baisse, plus la probabilité de cancer augmente. La biopsie confirme le cancer.</w:t>
      </w:r>
    </w:p>
    <w:p w14:paraId="2965FDC4" w14:textId="77777777" w:rsidR="00A90C56" w:rsidRDefault="00000000">
      <w:pPr>
        <w:pStyle w:val="ListParagraph"/>
        <w:numPr>
          <w:ilvl w:val="0"/>
          <w:numId w:val="21"/>
        </w:numPr>
        <w:jc w:val="both"/>
        <w:rPr>
          <w:rFonts w:ascii="Times New Roman" w:hAnsi="Times New Roman" w:cs="Times New Roman"/>
          <w:sz w:val="24"/>
          <w:szCs w:val="24"/>
        </w:rPr>
      </w:pPr>
      <w:r>
        <w:t>Evolution: le PSA est un bon marqueur pour surveiller l’évolution du cancer. L’âge après 50 ans, les facteurs génétiques, ethniques (afro-américains) et hygiéno-diététiques favorisent le cancer de la prostate.</w:t>
      </w:r>
    </w:p>
    <w:p w14:paraId="48C51741" w14:textId="77777777" w:rsidR="00A90C56" w:rsidRDefault="00000000">
      <w:pPr>
        <w:pStyle w:val="ListParagraph"/>
        <w:numPr>
          <w:ilvl w:val="0"/>
          <w:numId w:val="21"/>
        </w:numPr>
        <w:jc w:val="both"/>
        <w:rPr>
          <w:rFonts w:ascii="Times New Roman" w:hAnsi="Times New Roman" w:cs="Times New Roman"/>
          <w:sz w:val="24"/>
          <w:szCs w:val="24"/>
        </w:rPr>
      </w:pPr>
      <w:r>
        <w:t xml:space="preserve">Métastases: c’est un cancer qui métastase et qui est souvent de diagnostic tardif car les symptômes du début sont ceux de l’hypertrophie bénigne de la prostate (HBP) mais plus tardifs et moins significatifs car ne concernent pas le </w:t>
      </w:r>
      <w:r>
        <w:lastRenderedPageBreak/>
        <w:t>lobe moyen qui entoure l’urètre. Mais quand les métastases ont migré, les douleurs vertébrales sont très importantes: les patients souffrent de lombalgie et de sciatalgie aiguës, à prédominance nocturne.</w:t>
      </w:r>
    </w:p>
    <w:p w14:paraId="4C19E44A" w14:textId="77777777" w:rsidR="00A90C56" w:rsidRDefault="00000000">
      <w:pPr>
        <w:ind w:left="1353"/>
        <w:jc w:val="both"/>
        <w:rPr>
          <w:rFonts w:ascii="Times New Roman" w:hAnsi="Times New Roman" w:cs="Times New Roman"/>
          <w:sz w:val="24"/>
          <w:szCs w:val="24"/>
        </w:rPr>
      </w:pPr>
      <w:r>
        <w:t>La ROP ne peut pas grand-chose pour eux. Le traitement médical repose sur le blocage androgénique (chimiothérapie, hormonothérapie) et morphine.</w:t>
      </w:r>
    </w:p>
    <w:p w14:paraId="1857D642" w14:textId="77777777" w:rsidR="00A90C56" w:rsidRDefault="00000000">
      <w:pPr>
        <w:pStyle w:val="Heading3"/>
        <w:spacing w:before="160" w:after="80"/>
        <w:rPr>
          <w:rFonts w:ascii="Times New Roman" w:hAnsi="Times New Roman" w:cs="Times New Roman"/>
          <w:sz w:val="24"/>
          <w:szCs w:val="24"/>
          <w:lang w:eastAsia="fr-FR"/>
        </w:rPr>
      </w:pPr>
      <w:r>
        <w:t>8.1.4. Prostatite aiguë</w:t>
      </w:r>
    </w:p>
    <w:p>
      <w:pPr>
        <w:pStyle w:val="ListParagraph"/>
      </w:pPr>
      <w:r>
        <w:t>La prostatite aiguë est un tableau infectieux et inflammatoire de la prostate. Elle peut associer fièvre, fatigue importante, brûlures mictionnelles, hématurie et douleurs génitales ou abdomino-pelviennes. Elle relève d’une évaluation médicale et, lorsqu’une origine bactérienne est retenue, d’un traitement antibiotique adapté.</w:t>
      </w:r>
    </w:p>
    <w:p w14:paraId="7CC3609D" w14:textId="77777777" w:rsidR="00A90C56" w:rsidRDefault="00000000">
      <w:pPr>
        <w:pStyle w:val="ListParagraph"/>
        <w:ind w:left="1353"/>
        <w:rPr>
          <w:rFonts w:ascii="Times New Roman" w:hAnsi="Times New Roman" w:cs="Times New Roman"/>
          <w:sz w:val="24"/>
          <w:szCs w:val="24"/>
          <w:lang w:eastAsia="fr-FR"/>
        </w:rPr>
      </w:pPr>
      <w:r>
        <w:t>Au toucher rectal, la prostate est peu dure et très douloureuse.</w:t>
      </w:r>
    </w:p>
    <w:p w14:paraId="6E5E618A" w14:textId="77777777" w:rsidR="00A90C56" w:rsidRDefault="00A90C56">
      <w:pPr>
        <w:pStyle w:val="ListParagraph"/>
        <w:ind w:left="1353"/>
        <w:rPr>
          <w:rFonts w:ascii="Times New Roman" w:hAnsi="Times New Roman" w:cs="Times New Roman"/>
          <w:sz w:val="24"/>
          <w:szCs w:val="24"/>
          <w:lang w:eastAsia="fr-FR"/>
        </w:rPr>
      </w:pPr>
    </w:p>
    <w:p w14:paraId="35D0EABD" w14:textId="77777777" w:rsidR="00A90C56" w:rsidRDefault="00000000">
      <w:pPr>
        <w:pStyle w:val="Heading2"/>
        <w:spacing w:before="160" w:after="80"/>
        <w:rPr>
          <w:rFonts w:ascii="Times New Roman" w:hAnsi="Times New Roman" w:cs="Times New Roman"/>
          <w:sz w:val="24"/>
          <w:szCs w:val="24"/>
          <w:lang w:eastAsia="fr-FR"/>
        </w:rPr>
      </w:pPr>
      <w:r>
        <w:t>8.2. Indications : troubles fonctionnels</w:t>
      </w:r>
    </w:p>
    <w:p w14:paraId="2ACA1506" w14:textId="77777777" w:rsidR="00A90C56" w:rsidRDefault="00000000">
      <w:pPr>
        <w:pStyle w:val="Heading3"/>
        <w:spacing w:before="160" w:after="80"/>
        <w:jc w:val="both"/>
        <w:rPr>
          <w:rFonts w:ascii="Times New Roman" w:hAnsi="Times New Roman" w:cs="Times New Roman"/>
          <w:sz w:val="24"/>
          <w:szCs w:val="24"/>
        </w:rPr>
      </w:pPr>
      <w:r>
        <w:t>8.2.1. Hypertrophie bénigne de la prostate</w:t>
      </w:r>
    </w:p>
    <w:p>
      <w:pPr>
        <w:pStyle w:val="ListParagraph"/>
      </w:pPr>
      <w:r>
        <w:t>L’hypertrophie bénigne de la prostate (HBP), ou adénome prostatique, devient fréquente avec l’âge. Il s’agit d’une augmentation bénigne du volume prostatique pouvant comprimer l’urètre et provoquer des symptômes du bas appareil urinaire, sans constituer en elle-même un cancer.</w:t>
      </w:r>
    </w:p>
    <w:p w14:paraId="25956225" w14:textId="77777777" w:rsidR="00A90C56" w:rsidRDefault="00000000">
      <w:pPr>
        <w:pStyle w:val="ListParagraph"/>
        <w:numPr>
          <w:ilvl w:val="0"/>
          <w:numId w:val="11"/>
        </w:numPr>
        <w:rPr>
          <w:rFonts w:ascii="Times New Roman" w:hAnsi="Times New Roman" w:cs="Times New Roman"/>
          <w:b/>
          <w:sz w:val="24"/>
          <w:szCs w:val="24"/>
          <w:lang w:eastAsia="fr-FR"/>
        </w:rPr>
      </w:pPr>
      <w:r>
        <w:t>Cause: elle est hormonale. Les facteurs favorisants sont  l’alcool, le tabac, les excès de protéines animales, le manque d’activité physique, des désordres vertébraux et coccygiens.</w:t>
      </w:r>
    </w:p>
    <w:p w14:paraId="6EE2EC8C" w14:textId="77777777" w:rsidR="00A90C56" w:rsidRDefault="00000000">
      <w:pPr>
        <w:pStyle w:val="ListParagraph"/>
        <w:keepNext/>
        <w:numPr>
          <w:ilvl w:val="0"/>
          <w:numId w:val="11"/>
        </w:numPr>
        <w:rPr>
          <w:rFonts w:ascii="Times New Roman" w:hAnsi="Times New Roman" w:cs="Times New Roman"/>
          <w:b/>
          <w:sz w:val="24"/>
          <w:szCs w:val="24"/>
          <w:lang w:eastAsia="fr-FR"/>
        </w:rPr>
      </w:pPr>
      <w:r>
        <w:t>Signes cliniques:</w:t>
      </w:r>
    </w:p>
    <w:p w14:paraId="12999F2A" w14:textId="77777777" w:rsidR="00A90C56" w:rsidRDefault="00000000">
      <w:pPr>
        <w:pStyle w:val="ListParagraph"/>
        <w:numPr>
          <w:ilvl w:val="0"/>
          <w:numId w:val="22"/>
        </w:numPr>
        <w:rPr>
          <w:rFonts w:ascii="Times New Roman" w:hAnsi="Times New Roman" w:cs="Times New Roman"/>
          <w:b/>
          <w:sz w:val="24"/>
          <w:szCs w:val="24"/>
          <w:lang w:eastAsia="fr-FR"/>
        </w:rPr>
      </w:pPr>
      <w:r>
        <w:t>Urinaires: jet faible et intermittent avec participation abdominale, besoin impérieux et pollakiurie. Le besoin de pousser pour uriner hypertrophie le détrusor: c’est la vessie de lutte. Des diverticules se forment et favorisent une mauvaise vidange de la vessie et des infections. Ce n’est pas tant l’hypertrophie de la prostate qui est responsable des troubles urinaires mais sa dureté qui va comprimer l’urètre.</w:t>
      </w:r>
    </w:p>
    <w:p w14:paraId="2A7BBBBE" w14:textId="77777777" w:rsidR="00A90C56" w:rsidRDefault="00000000">
      <w:pPr>
        <w:pStyle w:val="ListParagraph"/>
        <w:ind w:left="2124"/>
        <w:rPr>
          <w:rFonts w:ascii="Times New Roman" w:hAnsi="Times New Roman" w:cs="Times New Roman"/>
          <w:sz w:val="24"/>
          <w:szCs w:val="24"/>
          <w:lang w:eastAsia="fr-FR"/>
        </w:rPr>
      </w:pPr>
      <w:r>
        <w:t>L’hypertrophie rend les sphincters moins fonctionnels entraînant une incontinence.</w:t>
      </w:r>
    </w:p>
    <w:p w14:paraId="67DE2550" w14:textId="77777777" w:rsidR="00A90C56" w:rsidRDefault="00000000">
      <w:pPr>
        <w:pStyle w:val="ListParagraph"/>
        <w:numPr>
          <w:ilvl w:val="0"/>
          <w:numId w:val="22"/>
        </w:numPr>
        <w:rPr>
          <w:rFonts w:ascii="Times New Roman" w:hAnsi="Times New Roman" w:cs="Times New Roman"/>
          <w:sz w:val="24"/>
          <w:szCs w:val="24"/>
          <w:lang w:eastAsia="fr-FR"/>
        </w:rPr>
      </w:pPr>
      <w:r>
        <w:t>Lombo-sciatalgies: elles sont le plus souvent du côté gauche en raison du retour veineux spermatique vers la veine rénale gauche;</w:t>
      </w:r>
    </w:p>
    <w:p w14:paraId="504A5E3B" w14:textId="77777777" w:rsidR="00A90C56" w:rsidRDefault="00000000">
      <w:pPr>
        <w:pStyle w:val="ListParagraph"/>
        <w:numPr>
          <w:ilvl w:val="0"/>
          <w:numId w:val="16"/>
        </w:numPr>
        <w:rPr>
          <w:rFonts w:ascii="Times New Roman" w:hAnsi="Times New Roman" w:cs="Times New Roman"/>
          <w:sz w:val="24"/>
          <w:szCs w:val="24"/>
          <w:lang w:eastAsia="fr-FR"/>
        </w:rPr>
      </w:pPr>
      <w:r>
        <w:t>Sexuels: impuissance, éjaculation rétrograde;</w:t>
      </w:r>
    </w:p>
    <w:p w14:paraId="500DD40D" w14:textId="77777777" w:rsidR="00A90C56" w:rsidRDefault="00000000">
      <w:pPr>
        <w:pStyle w:val="ListParagraph"/>
        <w:numPr>
          <w:ilvl w:val="0"/>
          <w:numId w:val="16"/>
        </w:numPr>
        <w:rPr>
          <w:rFonts w:ascii="Times New Roman" w:hAnsi="Times New Roman" w:cs="Times New Roman"/>
          <w:sz w:val="24"/>
          <w:szCs w:val="24"/>
          <w:lang w:eastAsia="fr-FR"/>
        </w:rPr>
      </w:pPr>
      <w:r>
        <w:t>Vasculaires: hémorroïdes, hernies inguinales.</w:t>
      </w:r>
    </w:p>
    <w:p w14:paraId="3D8CCFAA" w14:textId="77777777" w:rsidR="00A90C56" w:rsidRDefault="00A90C56">
      <w:pPr>
        <w:pStyle w:val="ListParagraph"/>
        <w:ind w:left="2345"/>
        <w:rPr>
          <w:rFonts w:ascii="Times New Roman" w:hAnsi="Times New Roman" w:cs="Times New Roman"/>
          <w:sz w:val="24"/>
          <w:szCs w:val="24"/>
          <w:lang w:eastAsia="fr-FR"/>
        </w:rPr>
      </w:pPr>
    </w:p>
    <w:p w14:paraId="5E077789" w14:textId="77777777" w:rsidR="00A90C56" w:rsidRDefault="00000000">
      <w:pPr>
        <w:pStyle w:val="EncadreROP"/>
        <w:ind w:left="1778"/>
        <w:jc w:val="both"/>
        <w:rPr>
          <w:rFonts w:ascii="Times New Roman" w:hAnsi="Times New Roman" w:cs="Times New Roman"/>
          <w:sz w:val="24"/>
          <w:szCs w:val="24"/>
        </w:rPr>
      </w:pPr>
      <w:r>
        <w:t>INTÉRÊT EN ROP</w:t>
      </w:r>
    </w:p>
    <w:p w14:paraId="5F81A73F" w14:textId="77777777" w:rsidR="00A90C56" w:rsidRDefault="00000000">
      <w:pPr>
        <w:pStyle w:val="ListParagraph"/>
        <w:ind w:left="1778"/>
        <w:jc w:val="both"/>
        <w:rPr>
          <w:rFonts w:ascii="Times New Roman" w:hAnsi="Times New Roman" w:cs="Times New Roman"/>
          <w:sz w:val="24"/>
          <w:szCs w:val="24"/>
        </w:rPr>
      </w:pPr>
      <w:r>
        <w:t>L’hypertrophie de la prostate rend les faces latérales de la loge prostatique plus rigides. Elle met en tension les lames sacro-recto-génito-pubiennes et les plexus hypogastriques inférieurs. Elle perturbe la mobilité des sacro-iliaques et explique les lombo-sciatalgies ou périnéalgies d’origine congestive ou irritative et non de type mécanique, signes avant-coureurs bien avant les troubles mictionnels.</w:t>
      </w:r>
    </w:p>
    <w:p w14:paraId="0BFA0BFC" w14:textId="77777777" w:rsidR="00A90C56" w:rsidRDefault="00A90C56">
      <w:pPr>
        <w:pStyle w:val="ListParagraph"/>
        <w:ind w:left="1985"/>
        <w:rPr>
          <w:rFonts w:ascii="Times New Roman" w:hAnsi="Times New Roman" w:cs="Times New Roman"/>
          <w:sz w:val="24"/>
          <w:szCs w:val="24"/>
          <w:lang w:eastAsia="fr-FR"/>
        </w:rPr>
      </w:pPr>
    </w:p>
    <w:p w14:paraId="12AA6BD6" w14:textId="77777777" w:rsidR="00A90C56" w:rsidRDefault="00000000">
      <w:pPr>
        <w:pStyle w:val="Heading3"/>
        <w:spacing w:before="160" w:after="80"/>
        <w:rPr>
          <w:rFonts w:ascii="Times New Roman" w:hAnsi="Times New Roman" w:cs="Times New Roman"/>
          <w:sz w:val="24"/>
          <w:szCs w:val="24"/>
          <w:lang w:eastAsia="fr-FR"/>
        </w:rPr>
      </w:pPr>
      <w:r>
        <w:t>8.2.2. Prostatite chronique</w:t>
      </w:r>
    </w:p>
    <w:p>
      <w:pPr>
        <w:pStyle w:val="ListParagraph"/>
      </w:pPr>
      <w:r>
        <w:t>La prostatite chronique et les syndromes douloureux pelviens chroniques peuvent évoluer par poussées et s’accompagner de symptômes urinaires, pelviens, génitaux ou sexuels. Contrairement à la forme aiguë, la fièvre est généralement absente.</w:t>
      </w:r>
    </w:p>
    <w:p w14:paraId="2EF7A771" w14:textId="77777777" w:rsidR="00A90C56" w:rsidRDefault="00000000">
      <w:pPr>
        <w:pStyle w:val="ListParagraph"/>
        <w:keepNext/>
        <w:numPr>
          <w:ilvl w:val="0"/>
          <w:numId w:val="23"/>
        </w:numPr>
        <w:rPr>
          <w:rFonts w:ascii="Times New Roman" w:hAnsi="Times New Roman" w:cs="Times New Roman"/>
          <w:sz w:val="24"/>
          <w:szCs w:val="24"/>
          <w:lang w:eastAsia="fr-FR"/>
        </w:rPr>
      </w:pPr>
      <w:r>
        <w:t>Signes cliniques:</w:t>
      </w:r>
    </w:p>
    <w:p w14:paraId="6DDF6474" w14:textId="77777777" w:rsidR="00A90C56" w:rsidRDefault="00000000">
      <w:pPr>
        <w:pStyle w:val="ListParagraph"/>
        <w:numPr>
          <w:ilvl w:val="0"/>
          <w:numId w:val="24"/>
        </w:numPr>
        <w:jc w:val="both"/>
        <w:rPr>
          <w:rFonts w:ascii="Times New Roman" w:hAnsi="Times New Roman" w:cs="Times New Roman"/>
          <w:sz w:val="24"/>
          <w:szCs w:val="24"/>
        </w:rPr>
      </w:pPr>
      <w:r>
        <w:t>dysurie: difficulté à uriner;</w:t>
      </w:r>
    </w:p>
    <w:p w14:paraId="2E1D9E24" w14:textId="77777777" w:rsidR="00A90C56" w:rsidRDefault="00000000">
      <w:pPr>
        <w:pStyle w:val="ListParagraph"/>
        <w:numPr>
          <w:ilvl w:val="0"/>
          <w:numId w:val="24"/>
        </w:numPr>
        <w:jc w:val="both"/>
        <w:rPr>
          <w:rFonts w:ascii="Times New Roman" w:hAnsi="Times New Roman" w:cs="Times New Roman"/>
          <w:sz w:val="24"/>
          <w:szCs w:val="24"/>
        </w:rPr>
      </w:pPr>
      <w:r>
        <w:t>pollakiurie: urine souvent et peu;</w:t>
      </w:r>
    </w:p>
    <w:p w14:paraId="4148A96A" w14:textId="77777777" w:rsidR="00A90C56" w:rsidRDefault="00000000">
      <w:pPr>
        <w:pStyle w:val="ListParagraph"/>
        <w:numPr>
          <w:ilvl w:val="0"/>
          <w:numId w:val="24"/>
        </w:numPr>
        <w:jc w:val="both"/>
        <w:rPr>
          <w:rFonts w:ascii="Times New Roman" w:hAnsi="Times New Roman" w:cs="Times New Roman"/>
          <w:sz w:val="24"/>
          <w:szCs w:val="24"/>
        </w:rPr>
      </w:pPr>
      <w:r>
        <w:t>brûlure à la miction;</w:t>
      </w:r>
    </w:p>
    <w:p w14:paraId="1B981549" w14:textId="77777777" w:rsidR="00A90C56" w:rsidRDefault="00000000">
      <w:pPr>
        <w:pStyle w:val="ListParagraph"/>
        <w:numPr>
          <w:ilvl w:val="0"/>
          <w:numId w:val="24"/>
        </w:numPr>
        <w:jc w:val="both"/>
        <w:rPr>
          <w:rFonts w:ascii="Times New Roman" w:hAnsi="Times New Roman" w:cs="Times New Roman"/>
          <w:sz w:val="24"/>
          <w:szCs w:val="24"/>
        </w:rPr>
      </w:pPr>
      <w:r>
        <w:t>douleurs lombaires, pelviennes et génitales;</w:t>
      </w:r>
    </w:p>
    <w:p w14:paraId="347559D4" w14:textId="77777777" w:rsidR="00A90C56" w:rsidRDefault="00000000">
      <w:pPr>
        <w:pStyle w:val="ListParagraph"/>
        <w:numPr>
          <w:ilvl w:val="0"/>
          <w:numId w:val="24"/>
        </w:numPr>
        <w:jc w:val="both"/>
        <w:rPr>
          <w:rFonts w:ascii="Times New Roman" w:hAnsi="Times New Roman" w:cs="Times New Roman"/>
          <w:sz w:val="24"/>
          <w:szCs w:val="24"/>
        </w:rPr>
      </w:pPr>
      <w:r>
        <w:t>stérilité, impuissance.</w:t>
      </w:r>
    </w:p>
    <w:p w14:paraId="1503D85C" w14:textId="77777777" w:rsidR="00A90C56" w:rsidRDefault="00000000">
      <w:pPr>
        <w:pStyle w:val="ListParagraph"/>
        <w:numPr>
          <w:ilvl w:val="0"/>
          <w:numId w:val="23"/>
        </w:numPr>
        <w:jc w:val="both"/>
        <w:rPr>
          <w:rFonts w:ascii="Times New Roman" w:hAnsi="Times New Roman" w:cs="Times New Roman"/>
          <w:sz w:val="24"/>
          <w:szCs w:val="24"/>
        </w:rPr>
      </w:pPr>
      <w:r>
        <w:t>Examen: au toucher rectal, la prostate est augmentée de volume, de consistance ferme mais non douloureuse.</w:t>
      </w:r>
    </w:p>
    <w:p w14:paraId="4F8FF9B1" w14:textId="77777777" w:rsidR="00A90C56" w:rsidRDefault="00A90C56">
      <w:pPr>
        <w:pStyle w:val="ListParagraph"/>
        <w:ind w:left="2203"/>
        <w:jc w:val="both"/>
        <w:rPr>
          <w:rFonts w:ascii="Times New Roman" w:hAnsi="Times New Roman" w:cs="Times New Roman"/>
          <w:sz w:val="24"/>
          <w:szCs w:val="24"/>
        </w:rPr>
      </w:pPr>
    </w:p>
    <w:p w14:paraId="616AE4F3" w14:textId="77777777" w:rsidR="00A90C56" w:rsidRDefault="00000000">
      <w:pPr>
        <w:pStyle w:val="Heading1"/>
        <w:spacing w:before="160" w:after="80"/>
        <w:rPr>
          <w:color w:val="auto"/>
        </w:rPr>
      </w:pPr>
      <w:r>
        <w:t>9. Relations viscéro-somatiques</w:t>
      </w:r>
    </w:p>
    <w:p w14:paraId="5CDE1C76" w14:textId="77777777" w:rsidR="00A90C56" w:rsidRPr="005A45CC" w:rsidRDefault="00000000">
      <w:pPr>
        <w:pStyle w:val="ListParagraph"/>
        <w:numPr>
          <w:ilvl w:val="0"/>
          <w:numId w:val="4"/>
        </w:numPr>
        <w:rPr>
          <w:rFonts w:ascii="Times New Roman" w:hAnsi="Times New Roman" w:cs="Times New Roman"/>
          <w:sz w:val="24"/>
          <w:szCs w:val="24"/>
          <w:lang w:val="en-US"/>
        </w:rPr>
      </w:pPr>
      <w:proofErr w:type="spellStart"/>
      <w:r w:rsidRPr="005A45CC">
        <w:rPr>
          <w:lang w:val="en-US"/>
        </w:rPr>
        <w:t>Vertèbres</w:t>
      </w:r>
      <w:proofErr w:type="spellEnd"/>
      <w:r w:rsidRPr="005A45CC">
        <w:rPr>
          <w:lang w:val="en-US"/>
        </w:rPr>
        <w:t xml:space="preserve"> Th12-L1, L5-sacrum, coccyx;</w:t>
      </w:r>
    </w:p>
    <w:p w14:paraId="4FF6C112" w14:textId="77777777" w:rsidR="00A90C56" w:rsidRDefault="00000000">
      <w:pPr>
        <w:pStyle w:val="ListParagraph"/>
        <w:numPr>
          <w:ilvl w:val="0"/>
          <w:numId w:val="4"/>
        </w:numPr>
        <w:rPr>
          <w:rFonts w:ascii="Times New Roman" w:hAnsi="Times New Roman" w:cs="Times New Roman"/>
          <w:sz w:val="24"/>
          <w:szCs w:val="24"/>
        </w:rPr>
      </w:pPr>
      <w:r>
        <w:t>Membre inférieur, pied.</w:t>
      </w:r>
    </w:p>
    <w:p w14:paraId="4859A016" w14:textId="77777777" w:rsidR="00A90C56" w:rsidRDefault="00000000">
      <w:pPr>
        <w:pStyle w:val="Heading1"/>
        <w:spacing w:before="160" w:after="80"/>
      </w:pPr>
      <w:r>
        <w:t xml:space="preserve">10. Relations </w:t>
      </w:r>
      <w:proofErr w:type="spellStart"/>
      <w:r>
        <w:t>viscéro</w:t>
      </w:r>
      <w:proofErr w:type="spellEnd"/>
      <w:r>
        <w:t>-émotionnelles</w:t>
      </w:r>
    </w:p>
    <w:p w14:paraId="25617846" w14:textId="77777777" w:rsidR="00DB37D8" w:rsidRPr="00DB37D8" w:rsidRDefault="00DB37D8" w:rsidP="00DB37D8">
      <w:r w:rsidRPr="00DB37D8">
        <w:t>Les fonctions urinaires et sexuelles sont étroitement intégrées aux réseaux cérébraux impliqués dans l’</w:t>
      </w:r>
      <w:proofErr w:type="spellStart"/>
      <w:r w:rsidRPr="00DB37D8">
        <w:t>interoception</w:t>
      </w:r>
      <w:proofErr w:type="spellEnd"/>
      <w:r w:rsidRPr="00DB37D8">
        <w:t>, les émotions, l’attention et la régulation autonome. Le stress ne constitue pas à lui seul une cause de dysfonction prostatique, mais il peut modifier le tonus neuro-végétatif, le sommeil, la perception corporelle et la fonction sexuelle, et ainsi majorer le retentissement de certains symptômes uro-génitaux.</w:t>
      </w:r>
    </w:p>
    <w:p w14:paraId="274FE621" w14:textId="77777777" w:rsidR="00DB37D8" w:rsidRPr="00DB37D8" w:rsidRDefault="00DB37D8" w:rsidP="00DB37D8">
      <w:r w:rsidRPr="00DB37D8">
        <w:t>Avec l’âge, les modifications urinaires ou sexuelles peuvent également influencer l’image corporelle, la confiance en soi et la qualité de vie. La retraite, les changements de rôle social ou familial, les préoccupations liées au vieillissement ou la crainte d’une diminution des performances sexuelles peuvent constituer des facteurs de stress chez certains hommes. Leur importance varie cependant considérablement d’une personne à l’autre.</w:t>
      </w:r>
    </w:p>
    <w:p w14:paraId="3F3C4B84" w14:textId="77777777" w:rsidR="00DB37D8" w:rsidRPr="00DB37D8" w:rsidRDefault="00DB37D8" w:rsidP="00DB37D8">
      <w:r w:rsidRPr="00DB37D8">
        <w:t>La relation est bidirectionnelle : les troubles urinaires, les douleurs pelviennes ou les difficultés sexuelles peuvent générer anxiété, anticipation et évitement ; inversement, ces états peuvent amplifier la perception des symptômes et les réponses autonomes associées.</w:t>
      </w:r>
    </w:p>
    <w:p w14:paraId="0729E464" w14:textId="77777777" w:rsidR="00DB37D8" w:rsidRPr="00DB37D8" w:rsidRDefault="00DB37D8" w:rsidP="00DB37D8">
      <w:r w:rsidRPr="00DB37D8">
        <w:t xml:space="preserve">Dans la ROP, cette dimension est abordée dans le cadre de </w:t>
      </w:r>
      <w:r w:rsidRPr="00DB37D8">
        <w:rPr>
          <w:b/>
          <w:bCs/>
        </w:rPr>
        <w:t>l’axe cerveau–sphère génitale masculine</w:t>
      </w:r>
      <w:r w:rsidRPr="00DB37D8">
        <w:t>. Elle complète l’évaluation anatomique, neuro-végétative et loco-régionale, sans définir une « personnalité prostate » et sans attribuer automatiquement les symptômes à une origine émotionnelle.</w:t>
      </w:r>
    </w:p>
    <w:p>
      <w:pPr>
        <w:pStyle w:val="Heading1"/>
      </w:pPr>
      <w:r>
        <w:t>11. Zones réflexes ROP</w:t>
      </w:r>
    </w:p>
    <w:p>
      <w:pPr/>
      <w:r>
        <w:t>Les localisations décrites ci-dessous appartiennent à la cartographie clinique de la ROP. Leur sélection dépend de l’anamnèse, des tests, des réactions palpatoires et du tableau fonctionnel.</w:t>
      </w:r>
    </w:p>
    <w:p>
      <w:pPr/>
      <w:r>
        <w:t>Pour les organes génitaux masculins, la lecture des zones réflexes est organisée selon les quatre niveaux du protocole ROP, en distinguant les testicules et les voies spermatiques de la prostate et des structures pelviennes associées.</w:t>
      </w:r>
    </w:p>
    <w:p>
      <w:pPr>
        <w:pStyle w:val="Heading2"/>
      </w:pPr>
      <w:r>
        <w:t>11.1. Testicules et voies spermatiques</w:t>
      </w:r>
    </w:p>
    <w:p>
      <w:pPr>
        <w:pStyle w:val="Heading3"/>
      </w:pPr>
      <w:r>
        <w:t>11.1.1. Niveau 1 — Régulation des centres supérieurs</w:t>
      </w:r>
    </w:p>
    <w:p>
      <w:pPr/>
      <w:r>
        <w:t>La fonction testiculaire s’inscrit dans une régulation neuroendocrine centrale, notamment par l’axe hypothalamo-hypophysaire-gonadique.</w:t>
      </w:r>
    </w:p>
    <w:p>
      <w:pPr>
        <w:pStyle w:val="ListParagraph"/>
      </w:pPr>
      <w:r>
        <w:t>• Zones réflexes occipitales.</w:t>
      </w:r>
    </w:p>
    <w:p>
      <w:pPr>
        <w:pStyle w:val="ListParagraph"/>
      </w:pPr>
      <w:r>
        <w:t>• Tronc cérébral et centres d’intégration.</w:t>
      </w:r>
    </w:p>
    <w:p>
      <w:pPr>
        <w:pStyle w:val="ListParagraph"/>
      </w:pPr>
      <w:r>
        <w:t>• Diencéphale, notamment hypothalamus.</w:t>
      </w:r>
    </w:p>
    <w:p>
      <w:pPr>
        <w:pStyle w:val="ListParagraph"/>
      </w:pPr>
      <w:r>
        <w:t>• Hypophyse et axe hypothalamo-hypophysaire.</w:t>
      </w:r>
    </w:p>
    <w:p>
      <w:pPr>
        <w:pStyle w:val="ListParagraph"/>
      </w:pPr>
      <w:r>
        <w:t>• Environnement neuro-méningé dans le modèle ROP.</w:t>
      </w:r>
    </w:p>
    <w:p>
      <w:pPr/>
      <w:r>
        <w:t>Cf. chapitre 3 — Système nerveux central, Niveau 1 : Régulation des centres supérieurs.</w:t>
      </w:r>
    </w:p>
    <w:p>
      <w:pPr>
        <w:pStyle w:val="Heading3"/>
      </w:pPr>
      <w:r>
        <w:t>11.1.2. Niveau 2 — Régulation neuro-végétative et adaptation</w:t>
      </w:r>
    </w:p>
    <w:p>
      <w:pPr>
        <w:pStyle w:val="ListParagraph"/>
      </w:pPr>
      <w:r>
        <w:t>• Colonne vertébrale : étage médullaire sympathique Th10–Th12.</w:t>
      </w:r>
    </w:p>
    <w:p>
      <w:pPr>
        <w:pStyle w:val="ListParagraph"/>
      </w:pPr>
      <w:r>
        <w:t>• L5, sacrum et coccyx.</w:t>
      </w:r>
    </w:p>
    <w:p>
      <w:pPr>
        <w:pStyle w:val="ListParagraph"/>
      </w:pPr>
      <w:r>
        <w:t>• Chaîne ganglionnaire latéro-vertébrale lombaire et sacrée.</w:t>
      </w:r>
    </w:p>
    <w:p>
      <w:pPr>
        <w:pStyle w:val="ListParagraph"/>
      </w:pPr>
      <w:r>
        <w:t>• Parasympathique pelvien (sacré) : moelle sacrée S2–S3–S4, avec repère vertébral L1–L2 dans la cartographie ROP.</w:t>
      </w:r>
    </w:p>
    <w:p>
      <w:pPr>
        <w:pStyle w:val="ListParagraph"/>
      </w:pPr>
      <w:r>
        <w:t>• Chaîne ganglionnaire lombaire et piliers du diaphragme : repères associés de la cartographie ROP.</w:t>
      </w:r>
    </w:p>
    <w:p>
      <w:pPr/>
      <w:r>
        <w:t>Cf. chapitre 4 — Système nerveux autonome, notamment les sections consacrées au sympathique thoraco-lombaire, aux nerfs splanchniques et aux plexus prévertébraux.</w:t>
      </w:r>
    </w:p>
    <w:p>
      <w:pPr>
        <w:pStyle w:val="Heading3"/>
      </w:pPr>
      <w:r>
        <w:t>11.1.3. Niveau 3 — Régulation viscérale loco-régionale</w:t>
      </w:r>
    </w:p>
    <w:p>
      <w:pPr/>
      <w:r>
        <w:t>Le Niveau 3 rassemble la cartographie des testicules, du cordon spermatique et du canal inguinal, ainsi que leurs rapports régionaux.</w:t>
      </w:r>
    </w:p>
    <w:p>
      <w:pPr>
        <w:pStyle w:val="ListParagraph"/>
      </w:pPr>
      <w:r>
        <w:t>• Foie.</w:t>
      </w:r>
    </w:p>
    <w:p>
      <w:pPr>
        <w:pStyle w:val="ListParagraph"/>
      </w:pPr>
      <w:r>
        <w:t>• Rein gauche.</w:t>
      </w:r>
    </w:p>
    <w:p>
      <w:pPr>
        <w:pStyle w:val="ListParagraph"/>
      </w:pPr>
      <w:r>
        <w:t>• Cavité pelvienne et périnée.</w:t>
      </w:r>
    </w:p>
    <w:p>
      <w:pPr>
        <w:pStyle w:val="ListParagraph"/>
      </w:pPr>
      <w:r>
        <w:t>• Testicule : même zone réflexe que l’ovaire dans la cartographie ROP, au bord antérieur du talon, à l’aplomb des quatrième et cinquième orteils.</w:t>
      </w:r>
    </w:p>
    <w:p>
      <w:pPr>
        <w:pStyle w:val="ListParagraph"/>
      </w:pPr>
      <w:r>
        <w:t>• Canal inguinal, cordon spermatique et muscle crémaster : interligne tibio-tarsien antérieur.</w:t>
      </w:r>
    </w:p>
    <w:p>
      <w:pPr/>
      <w:r>
        <w:t>Cf. chapitre 17 — Cavité pelvienne pour l’environnement régional ; cf. chapitre 19 — Organes génitaux féminins pour le repère cartographique commun avec l’ovaire.</w:t>
      </w:r>
    </w:p>
    <w:p>
      <w:pPr>
        <w:pStyle w:val="Heading3"/>
      </w:pPr>
      <w:r>
        <w:t>11.1.4. Niveau 4 — Intégration viscéro-somatique et viscéro-émotionnelle</w:t>
      </w:r>
    </w:p>
    <w:p>
      <w:pPr/>
      <w:r>
        <w:t>Le Niveau 4 associe les convergences somatiques des territoires génitaux et l’intégration centrale de la sexualité, de la douleur et du vécu corporel.</w:t>
      </w:r>
    </w:p>
    <w:p>
      <w:pPr/>
      <w:r>
        <w:t>Versant viscéro-somatique :</w:t>
      </w:r>
    </w:p>
    <w:p>
      <w:pPr>
        <w:pStyle w:val="ListParagraph"/>
      </w:pPr>
      <w:r>
        <w:t>• Vertèbres Th12–L1, L5–sacrum et coccyx.</w:t>
      </w:r>
    </w:p>
    <w:p>
      <w:pPr>
        <w:pStyle w:val="ListParagraph"/>
      </w:pPr>
      <w:r>
        <w:t>• Membre inférieur et pied.</w:t>
      </w:r>
    </w:p>
    <w:p>
      <w:pPr>
        <w:pStyle w:val="ListParagraph"/>
      </w:pPr>
      <w:r>
        <w:t>• Nerfs du plexus lombal.</w:t>
      </w:r>
    </w:p>
    <w:p>
      <w:pPr>
        <w:pStyle w:val="ListParagraph"/>
      </w:pPr>
      <w:r>
        <w:t>• Périnée et nerf pudendal pour les territoires génitaux externes et sphinctériens.</w:t>
      </w:r>
    </w:p>
    <w:p>
      <w:pPr>
        <w:pStyle w:val="ListParagraph"/>
      </w:pPr>
      <w:r>
        <w:t>• Bassin et sacrum, avec les chaînes musculaires associées lorsque des douleurs projetées ou des tensions régionales sont présentes.</w:t>
      </w:r>
    </w:p>
    <w:p>
      <w:pPr>
        <w:pStyle w:val="ListParagraph"/>
      </w:pPr>
      <w:r>
        <w:t>• Grand foramen ischiatique, muscle piriforme, plexus sacré et nerf pudendal.</w:t>
      </w:r>
    </w:p>
    <w:p>
      <w:pPr>
        <w:pStyle w:val="ListParagraph"/>
      </w:pPr>
      <w:r>
        <w:t>• Petit foramen ischiatique, muscles obturateurs et jumeaux.</w:t>
      </w:r>
    </w:p>
    <w:p>
      <w:pPr>
        <w:pStyle w:val="ListParagraph"/>
      </w:pPr>
      <w:r>
        <w:t>• Fosse obturée et muscles obturateurs.</w:t>
      </w:r>
    </w:p>
    <w:p>
      <w:pPr>
        <w:pStyle w:val="ListParagraph"/>
      </w:pPr>
      <w:r>
        <w:t>• Ligaments sacro-tubéral et sacro-épineux.</w:t>
      </w:r>
    </w:p>
    <w:p>
      <w:pPr/>
      <w:r>
        <w:t>Versant viscéro-émotionnel — Balance cerveau limbique–testicule :</w:t>
      </w:r>
    </w:p>
    <w:p>
      <w:pPr/>
      <w:r>
        <w:t>Dans la pratique ROP, l’écoute-induction est réalisée avec un pouce sur la zone réflexe du testicule et l’autre sur la zone réflexe du cerveau limbique.</w:t>
      </w:r>
    </w:p>
    <w:p>
      <w:pPr/>
      <w:r>
        <w:t>La sexualité, l’image corporelle, la fertilité, la douleur, le vieillissement, le stress et l’anxiété de performance peuvent modifier la perception des symptômes et interagir avec les réseaux autonomes, neuroendocriniens et émotionnels. Ces facteurs ne définissent pas une « personnalité génitale » masculine et ne permettent pas d’attribuer automatiquement un symptôme à une origine émotionnelle.</w:t>
      </w:r>
    </w:p>
    <w:p>
      <w:pPr/>
      <w:r>
        <w:t>Cf. chapitre 3 — Système nerveux central pour les réseaux centraux et cortico-limbiques ; cf. section 10 « Relations viscéro-émotionnelles » du présent chapitre.</w:t>
      </w:r>
    </w:p>
    <w:p>
      <w:pPr>
        <w:pStyle w:val="Heading2"/>
      </w:pPr>
      <w:r>
        <w:t>11.2. Prostate, vésicules séminales et voies urinaires associées</w:t>
      </w:r>
    </w:p>
    <w:p>
      <w:pPr>
        <w:pStyle w:val="Heading3"/>
      </w:pPr>
      <w:r>
        <w:t>11.2.1. Niveau 1 — Régulation des centres supérieurs</w:t>
      </w:r>
    </w:p>
    <w:p>
      <w:pPr/>
      <w:r>
        <w:t>La prostate est sensible au contexte hormonal et s’inscrit dans la régulation générale de l’axe hypothalamo-hypophysaire-gonadique.</w:t>
      </w:r>
    </w:p>
    <w:p>
      <w:pPr>
        <w:pStyle w:val="ListParagraph"/>
      </w:pPr>
      <w:r>
        <w:t>• Zones réflexes occipitales.</w:t>
      </w:r>
    </w:p>
    <w:p>
      <w:pPr>
        <w:pStyle w:val="ListParagraph"/>
      </w:pPr>
      <w:r>
        <w:t>• Tronc cérébral et centres d’intégration.</w:t>
      </w:r>
    </w:p>
    <w:p>
      <w:pPr>
        <w:pStyle w:val="ListParagraph"/>
      </w:pPr>
      <w:r>
        <w:t>• Diencéphale, notamment hypothalamus.</w:t>
      </w:r>
    </w:p>
    <w:p>
      <w:pPr>
        <w:pStyle w:val="ListParagraph"/>
      </w:pPr>
      <w:r>
        <w:t>• Hypophyse et axe hypothalamo-hypophysaire.</w:t>
      </w:r>
    </w:p>
    <w:p>
      <w:pPr>
        <w:pStyle w:val="ListParagraph"/>
      </w:pPr>
      <w:r>
        <w:t>• Environnement neuro-méningé dans le modèle ROP.</w:t>
      </w:r>
    </w:p>
    <w:p>
      <w:pPr/>
      <w:r>
        <w:t>Cf. chapitre 3 — Système nerveux central.</w:t>
      </w:r>
    </w:p>
    <w:p>
      <w:pPr>
        <w:pStyle w:val="Heading3"/>
      </w:pPr>
      <w:r>
        <w:t>11.2.2. Niveau 2 — Régulation neuro-végétative et adaptation</w:t>
      </w:r>
    </w:p>
    <w:p>
      <w:pPr/>
      <w:r>
        <w:t>La prostate, les vésicules séminales, le col vésical et les voies génitales pelviennes dépendent d’un réseau autonome mixte organisé autour des plexus hypogastriques.</w:t>
      </w:r>
    </w:p>
    <w:p>
      <w:pPr>
        <w:pStyle w:val="ListParagraph"/>
      </w:pPr>
      <w:r>
        <w:t>• Sympathique thoraco-lombaire : T11–L2.</w:t>
      </w:r>
    </w:p>
    <w:p>
      <w:pPr>
        <w:pStyle w:val="ListParagraph"/>
      </w:pPr>
      <w:r>
        <w:t>• Chaîne ganglionnaire latéro-vertébrale lombaire et sacrée.</w:t>
      </w:r>
    </w:p>
    <w:p>
      <w:pPr>
        <w:pStyle w:val="ListParagraph"/>
      </w:pPr>
      <w:r>
        <w:t>• Parasympathique pelvien (sacré) : moelle sacrée S2–S3–S4, avec repère vertébral L1–L2 dans la cartographie ROP.</w:t>
      </w:r>
    </w:p>
    <w:p>
      <w:pPr/>
      <w:r>
        <w:t>Cf. chapitre 4 — Système nerveux autonome, notamment les sections « Parasympathique pelvien », « Sympathique viscéro-moteur » et « Plexus préviscéral pelvien » ; cf. chapitre 18 — Vessie.</w:t>
      </w:r>
    </w:p>
    <w:p>
      <w:pPr>
        <w:pStyle w:val="Heading3"/>
      </w:pPr>
      <w:r>
        <w:t>11.2.3. Niveau 3 — Régulation viscérale loco-régionale</w:t>
      </w:r>
    </w:p>
    <w:p>
      <w:pPr/>
      <w:r>
        <w:t>Le Niveau 3 regroupe le cœur de la cartographie prostatique et son environnement pelvien immédiat.</w:t>
      </w:r>
    </w:p>
    <w:p>
      <w:pPr>
        <w:pStyle w:val="ListParagraph"/>
      </w:pPr>
      <w:r>
        <w:t>• Prostate, vésicules séminales et partie moyenne du plexus hypogastrique inférieur : petite dépression en avant de l’articulation sacro-coccygienne.</w:t>
      </w:r>
    </w:p>
    <w:p>
      <w:pPr>
        <w:pStyle w:val="ListParagraph"/>
      </w:pPr>
      <w:r>
        <w:t>• Cavité pelvienne et périnée.</w:t>
      </w:r>
    </w:p>
    <w:p>
      <w:pPr>
        <w:pStyle w:val="ListParagraph"/>
      </w:pPr>
      <w:r>
        <w:t>• Plancher pelvien, symphyse pubienne et structures de soutien de la loge prostatique.</w:t>
      </w:r>
    </w:p>
    <w:p>
      <w:pPr>
        <w:pStyle w:val="ListParagraph"/>
      </w:pPr>
      <w:r>
        <w:t>• Vessie : en présence de symptômes mictionnels, notamment dans l’hypertrophie bénigne de la prostate ou les syndromes pelviens.</w:t>
      </w:r>
    </w:p>
    <w:p>
      <w:pPr>
        <w:pStyle w:val="ListParagraph"/>
      </w:pPr>
      <w:r>
        <w:t>• Diaphragme et cavité abdominale : lorsque la dynamique globale du tronc et des pressions est cliniquement pertinente.</w:t>
      </w:r>
    </w:p>
    <w:p>
      <w:pPr/>
      <w:r>
        <w:t>Cf. chapitre 17 — Cavité pelvienne, Niveau 3 : Régulation viscérale loco-régionale ; cf. chapitre 18 — Vessie.</w:t>
      </w:r>
    </w:p>
    <w:p>
      <w:pPr>
        <w:pStyle w:val="Heading3"/>
      </w:pPr>
      <w:r>
        <w:t>11.2.4. Niveau 4 — Intégration viscéro-somatique et viscéro-émotionnelle</w:t>
      </w:r>
    </w:p>
    <w:p>
      <w:pPr/>
      <w:r>
        <w:t>Versant viscéro-somatique :</w:t>
      </w:r>
    </w:p>
    <w:p>
      <w:pPr>
        <w:pStyle w:val="ListParagraph"/>
      </w:pPr>
      <w:r>
        <w:t>• Vertèbres Th12–L1, L5–sacrum et coccyx.</w:t>
      </w:r>
    </w:p>
    <w:p>
      <w:pPr>
        <w:pStyle w:val="ListParagraph"/>
      </w:pPr>
      <w:r>
        <w:t>• Membre inférieur et pied.</w:t>
      </w:r>
    </w:p>
    <w:p>
      <w:pPr>
        <w:pStyle w:val="ListParagraph"/>
      </w:pPr>
      <w:r>
        <w:t>• Nerf pudendal S2–S4 et territoires périnéaux.</w:t>
      </w:r>
    </w:p>
    <w:p>
      <w:pPr>
        <w:pStyle w:val="ListParagraph"/>
      </w:pPr>
      <w:r>
        <w:t>• Plancher pelvien et sphincter urétral externe.</w:t>
      </w:r>
    </w:p>
    <w:p>
      <w:pPr>
        <w:pStyle w:val="ListParagraph"/>
      </w:pPr>
      <w:r>
        <w:t>• Symphyse pubienne.</w:t>
      </w:r>
    </w:p>
    <w:p>
      <w:pPr/>
      <w:r>
        <w:t>Versant viscéro-émotionnel — Balance cerveau limbique–prostate :</w:t>
      </w:r>
    </w:p>
    <w:p>
      <w:pPr/>
      <w:r>
        <w:t>Dans la pratique ROP, l’écoute-induction est réalisée avec un pouce sur la zone réflexe de la prostate et l’autre sur la zone réflexe du cerveau limbique.</w:t>
      </w:r>
    </w:p>
    <w:p>
      <w:pPr/>
      <w:r>
        <w:t>Les symptômes urinaires ou sexuels peuvent être modulés par le stress, l’anticipation, l’anxiété, la douleur, le contexte relationnel et le vécu du vieillissement. Ces facteurs peuvent majorer le retentissement fonctionnel de certains symptômes, mais ne permettent pas de définir un profil psychologique propre à la prostate ni d’attribuer automatiquement une dysfonction prostatique à une origine émotionnelle.</w:t>
      </w:r>
    </w:p>
    <w:p>
      <w:pPr/>
      <w:r>
        <w:t>Cf. chapitre 3 — Système nerveux central pour les réseaux centraux et cortico-limbiques ; cf. section 10 « Relations viscéro-émotionnelles » du présent chapitre.</w:t>
      </w:r>
    </w:p>
    <w:p>
      <w:pPr>
        <w:pStyle w:val="Heading2"/>
      </w:pPr>
      <w:r>
        <w:t>11.3. Principe de sécurité</w:t>
      </w:r>
    </w:p>
    <w:p>
      <w:pPr>
        <w:pStyle w:val="EncadreROP"/>
      </w:pPr>
      <w:r>
        <w:t>PRÉCAUTION — Une zone réflexe sensible ou une modification palpatoire n’est pas un test diagnostique de torsion testiculaire, cancer, prostatite, hypertrophie bénigne de la prostate, infection, rétention urinaire ou autre pathologie uro-génitale. Toute douleur testiculaire aiguë, masse ou augmentation de volume, fièvre, hématurie, rétention urinaire, altération de l’état général ou symptôme inhabituel impose une évaluation médicale adaptée.</w:t>
      </w:r>
    </w:p>
    <w:sectPr w:rsidR="00A90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_sans_pr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15:restartNumberingAfterBreak="0">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15:restartNumberingAfterBreak="0">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15:restartNumberingAfterBreak="0">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15:restartNumberingAfterBreak="0">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15:restartNumberingAfterBreak="0">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15:restartNumberingAfterBreak="0">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15:restartNumberingAfterBreak="0">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15:restartNumberingAfterBreak="0">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15:restartNumberingAfterBreak="0">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15:restartNumberingAfterBreak="0">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15:restartNumberingAfterBreak="0">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15:restartNumberingAfterBreak="0">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15:restartNumberingAfterBreak="0">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15:restartNumberingAfterBreak="0">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15:restartNumberingAfterBreak="0">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15:restartNumberingAfterBreak="0">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15:restartNumberingAfterBreak="0">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15:restartNumberingAfterBreak="0">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15:restartNumberingAfterBreak="0">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793911474">
    <w:abstractNumId w:val="1"/>
  </w:num>
  <w:num w:numId="2" w16cid:durableId="703099701">
    <w:abstractNumId w:val="41"/>
  </w:num>
  <w:num w:numId="3" w16cid:durableId="2029061293">
    <w:abstractNumId w:val="19"/>
  </w:num>
  <w:num w:numId="4" w16cid:durableId="208424736">
    <w:abstractNumId w:val="25"/>
  </w:num>
  <w:num w:numId="5" w16cid:durableId="1740250683">
    <w:abstractNumId w:val="37"/>
  </w:num>
  <w:num w:numId="6" w16cid:durableId="1591038769">
    <w:abstractNumId w:val="23"/>
  </w:num>
  <w:num w:numId="7" w16cid:durableId="1313293521">
    <w:abstractNumId w:val="6"/>
  </w:num>
  <w:num w:numId="8" w16cid:durableId="1865433789">
    <w:abstractNumId w:val="35"/>
  </w:num>
  <w:num w:numId="9" w16cid:durableId="853808046">
    <w:abstractNumId w:val="39"/>
  </w:num>
  <w:num w:numId="10" w16cid:durableId="1612666726">
    <w:abstractNumId w:val="40"/>
  </w:num>
  <w:num w:numId="11" w16cid:durableId="1117407561">
    <w:abstractNumId w:val="3"/>
  </w:num>
  <w:num w:numId="12" w16cid:durableId="1486311551">
    <w:abstractNumId w:val="13"/>
  </w:num>
  <w:num w:numId="13" w16cid:durableId="1120416840">
    <w:abstractNumId w:val="17"/>
  </w:num>
  <w:num w:numId="14" w16cid:durableId="1706178984">
    <w:abstractNumId w:val="31"/>
  </w:num>
  <w:num w:numId="15" w16cid:durableId="994144653">
    <w:abstractNumId w:val="29"/>
  </w:num>
  <w:num w:numId="16" w16cid:durableId="415440537">
    <w:abstractNumId w:val="33"/>
  </w:num>
  <w:num w:numId="17" w16cid:durableId="799616660">
    <w:abstractNumId w:val="14"/>
  </w:num>
  <w:num w:numId="18" w16cid:durableId="1955863184">
    <w:abstractNumId w:val="9"/>
  </w:num>
  <w:num w:numId="19" w16cid:durableId="922378679">
    <w:abstractNumId w:val="28"/>
  </w:num>
  <w:num w:numId="20" w16cid:durableId="1741825908">
    <w:abstractNumId w:val="36"/>
  </w:num>
  <w:num w:numId="21" w16cid:durableId="2139183515">
    <w:abstractNumId w:val="4"/>
  </w:num>
  <w:num w:numId="22" w16cid:durableId="202133954">
    <w:abstractNumId w:val="24"/>
  </w:num>
  <w:num w:numId="23" w16cid:durableId="1063484048">
    <w:abstractNumId w:val="18"/>
  </w:num>
  <w:num w:numId="24" w16cid:durableId="1409306646">
    <w:abstractNumId w:val="22"/>
  </w:num>
  <w:num w:numId="25" w16cid:durableId="2070954226">
    <w:abstractNumId w:val="7"/>
  </w:num>
  <w:num w:numId="26" w16cid:durableId="1710564677">
    <w:abstractNumId w:val="15"/>
  </w:num>
  <w:num w:numId="27" w16cid:durableId="1614093833">
    <w:abstractNumId w:val="43"/>
  </w:num>
  <w:num w:numId="28" w16cid:durableId="932709863">
    <w:abstractNumId w:val="5"/>
  </w:num>
  <w:num w:numId="29" w16cid:durableId="905149369">
    <w:abstractNumId w:val="12"/>
  </w:num>
  <w:num w:numId="30" w16cid:durableId="1648168745">
    <w:abstractNumId w:val="11"/>
  </w:num>
  <w:num w:numId="31" w16cid:durableId="1610971682">
    <w:abstractNumId w:val="10"/>
  </w:num>
  <w:num w:numId="32" w16cid:durableId="701243142">
    <w:abstractNumId w:val="26"/>
  </w:num>
  <w:num w:numId="33" w16cid:durableId="309985717">
    <w:abstractNumId w:val="34"/>
  </w:num>
  <w:num w:numId="34" w16cid:durableId="1407342141">
    <w:abstractNumId w:val="27"/>
  </w:num>
  <w:num w:numId="35" w16cid:durableId="1731616117">
    <w:abstractNumId w:val="20"/>
  </w:num>
  <w:num w:numId="36" w16cid:durableId="1997605192">
    <w:abstractNumId w:val="42"/>
  </w:num>
  <w:num w:numId="37" w16cid:durableId="780077344">
    <w:abstractNumId w:val="0"/>
  </w:num>
  <w:num w:numId="38" w16cid:durableId="1362247745">
    <w:abstractNumId w:val="38"/>
  </w:num>
  <w:num w:numId="39" w16cid:durableId="1624187479">
    <w:abstractNumId w:val="32"/>
  </w:num>
  <w:num w:numId="40" w16cid:durableId="936211373">
    <w:abstractNumId w:val="16"/>
  </w:num>
  <w:num w:numId="41" w16cid:durableId="417484729">
    <w:abstractNumId w:val="2"/>
  </w:num>
  <w:num w:numId="42" w16cid:durableId="2022538750">
    <w:abstractNumId w:val="8"/>
  </w:num>
  <w:num w:numId="43" w16cid:durableId="641664225">
    <w:abstractNumId w:val="21"/>
  </w:num>
  <w:num w:numId="44" w16cid:durableId="387453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635D"/>
    <w:rsid w:val="001C7C57"/>
    <w:rsid w:val="001D2873"/>
    <w:rsid w:val="001D4779"/>
    <w:rsid w:val="001E38EB"/>
    <w:rsid w:val="001E7168"/>
    <w:rsid w:val="001F3E0C"/>
    <w:rsid w:val="001F40A8"/>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22F1B"/>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86604"/>
    <w:rsid w:val="00492460"/>
    <w:rsid w:val="00492766"/>
    <w:rsid w:val="004950D3"/>
    <w:rsid w:val="004953A9"/>
    <w:rsid w:val="004A0805"/>
    <w:rsid w:val="004A256D"/>
    <w:rsid w:val="004A5861"/>
    <w:rsid w:val="004A7BB4"/>
    <w:rsid w:val="004B31A2"/>
    <w:rsid w:val="004D0174"/>
    <w:rsid w:val="004D042B"/>
    <w:rsid w:val="004D3161"/>
    <w:rsid w:val="004E50A8"/>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A45CC"/>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AC"/>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14D0"/>
    <w:rsid w:val="0097424D"/>
    <w:rsid w:val="00984015"/>
    <w:rsid w:val="00991260"/>
    <w:rsid w:val="009921A2"/>
    <w:rsid w:val="009B470D"/>
    <w:rsid w:val="009B4DAF"/>
    <w:rsid w:val="009B6A09"/>
    <w:rsid w:val="009D38E2"/>
    <w:rsid w:val="009E68C3"/>
    <w:rsid w:val="009E7846"/>
    <w:rsid w:val="009F00C7"/>
    <w:rsid w:val="009F1415"/>
    <w:rsid w:val="009F3B12"/>
    <w:rsid w:val="009F7FA0"/>
    <w:rsid w:val="00A00824"/>
    <w:rsid w:val="00A04072"/>
    <w:rsid w:val="00A10176"/>
    <w:rsid w:val="00A14CEB"/>
    <w:rsid w:val="00A24EF3"/>
    <w:rsid w:val="00A51147"/>
    <w:rsid w:val="00A56D53"/>
    <w:rsid w:val="00A57F7B"/>
    <w:rsid w:val="00A72250"/>
    <w:rsid w:val="00A736D9"/>
    <w:rsid w:val="00A90C56"/>
    <w:rsid w:val="00AA5A78"/>
    <w:rsid w:val="00AB26B5"/>
    <w:rsid w:val="00AB7E71"/>
    <w:rsid w:val="00AC30FB"/>
    <w:rsid w:val="00AD010F"/>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37D8"/>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4F66"/>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9D"/>
  </w:style>
  <w:style w:type="paragraph" w:styleId="Heading1">
    <w:name w:val="heading 1"/>
    <w:basedOn w:val="Normal"/>
    <w:next w:val="Normal"/>
    <w:link w:val="Heading1Ch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79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C555F6"/>
    <w:rPr>
      <w:color w:val="0000FF"/>
      <w:u w:val="single"/>
    </w:rPr>
  </w:style>
  <w:style w:type="character" w:customStyle="1" w:styleId="lang-la">
    <w:name w:val="lang-la"/>
    <w:basedOn w:val="DefaultParagraphFont"/>
    <w:rsid w:val="00C555F6"/>
  </w:style>
  <w:style w:type="character" w:customStyle="1" w:styleId="cite-bracket">
    <w:name w:val="cite-bracket"/>
    <w:basedOn w:val="DefaultParagraphFont"/>
    <w:rsid w:val="00F17E16"/>
  </w:style>
  <w:style w:type="character" w:customStyle="1" w:styleId="Heading3Char">
    <w:name w:val="Heading 3 Char"/>
    <w:basedOn w:val="DefaultParagraphFont"/>
    <w:link w:val="Heading3"/>
    <w:uiPriority w:val="9"/>
    <w:rsid w:val="001463E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4738</TotalTime>
  <Pages>11</Pages>
  <Words>3529</Words>
  <Characters>20118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20 — Les organes génitaux masculins</dc:title>
  <dc:subject>Version publiable complète</dc:subject>
  <dc:creator/>
  <cp:keywords>ROP, organes génitaux masculins, prostate, testicules</cp:keywords>
  <dc:description/>
  <cp:lastModifiedBy>Nicolas Boitout</cp:lastModifiedBy>
  <cp:revision>110</cp:revision>
  <cp:lastPrinted>2026-02-05T16:56:00Z</cp:lastPrinted>
  <dcterms:created xsi:type="dcterms:W3CDTF">2025-07-02T15:17:00Z</dcterms:created>
  <dcterms:modified xsi:type="dcterms:W3CDTF">2026-08-14T05:24:00Z</dcterms:modified>
</cp:coreProperties>
</file>