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i w:val="0"/>
          <w:color w:val="0B2545"/>
          <w:sz w:val="48"/>
        </w:rPr>
        <w:t>Relatório de fluência em português</w:t>
      </w:r>
    </w:p>
    <w:p>
      <w:pPr>
        <w:spacing w:after="240"/>
      </w:pPr>
      <w:r>
        <w:rPr>
          <w:rFonts w:ascii="Aptos" w:hAnsi="Aptos"/>
          <w:b w:val="0"/>
          <w:i w:val="0"/>
          <w:color w:val="5A6470"/>
          <w:sz w:val="22"/>
        </w:rPr>
        <w:t>Capítulo 0 · Avaliação slide a slide · Português europeu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2088"/>
            <w:shd w:fill="E8EEF5"/>
          </w:tcPr>
          <w:p>
            <w:r>
              <w:rPr>
                <w:rFonts w:ascii="Aptos" w:hAnsi="Aptos"/>
                <w:b/>
                <w:i w:val="0"/>
                <w:color w:val="0B2545"/>
                <w:sz w:val="21"/>
              </w:rPr>
              <w:t>Conclusão geral</w:t>
            </w:r>
          </w:p>
        </w:tc>
        <w:tc>
          <w:tcPr>
            <w:tcW w:type="dxa" w:w="7272"/>
            <w:shd w:fill="E8EEF5"/>
          </w:tcPr>
          <w:p>
            <w:r>
              <w:rPr>
                <w:rFonts w:ascii="Aptos" w:hAnsi="Aptos"/>
                <w:b w:val="0"/>
                <w:i w:val="0"/>
                <w:color w:val="0B2545"/>
                <w:sz w:val="21"/>
              </w:rPr>
              <w:t>Nível global elevado. Recomenda-se sobretudo uniformizar a terminologia anatómica e tornar algumas formulações técnicas menos elípticas.</w:t>
            </w:r>
          </w:p>
        </w:tc>
      </w:tr>
    </w:tbl>
    <w:p>
      <w:pPr>
        <w:spacing w:before="160" w:after="80"/>
      </w:pPr>
      <w:r>
        <w:rPr>
          <w:rFonts w:ascii="Aptos" w:hAnsi="Aptos"/>
          <w:b/>
          <w:i w:val="0"/>
          <w:color w:val="5A6470"/>
          <w:sz w:val="19"/>
        </w:rPr>
        <w:t xml:space="preserve">Escala: </w:t>
      </w:r>
      <w:r>
        <w:rPr>
          <w:rFonts w:ascii="Aptos" w:hAnsi="Aptos"/>
          <w:b w:val="0"/>
          <w:i w:val="0"/>
          <w:color w:val="5A6470"/>
          <w:sz w:val="19"/>
        </w:rPr>
        <w:t>5 = nativo e polido · 4 = fluente, com pequenos ajustes · 3 = compreensível, mas pouco natural</w:t>
      </w:r>
    </w:p>
    <w:p>
      <w:pPr>
        <w:pStyle w:val="Heading1"/>
      </w:pPr>
      <w:r>
        <w:rPr>
          <w:rFonts w:ascii="Aptos" w:hAnsi="Aptos"/>
          <w:b/>
          <w:i w:val="0"/>
          <w:color w:val="0B2545"/>
          <w:sz w:val="30"/>
        </w:rPr>
        <w:t>Slide 1 — A sequência clínica ROP</w:t>
      </w:r>
    </w:p>
    <w:p>
      <w:pPr>
        <w:spacing w:after="60"/>
      </w:pPr>
      <w:r>
        <w:rPr>
          <w:rFonts w:ascii="Aptos" w:hAnsi="Aptos"/>
          <w:b/>
          <w:i w:val="0"/>
          <w:color w:val="226F4E"/>
          <w:sz w:val="21"/>
        </w:rPr>
        <w:t>4,5/5 — Muito fluente</w:t>
      </w:r>
    </w:p>
    <w:p>
      <w:pPr>
        <w:spacing w:after="80"/>
      </w:pPr>
      <w:r>
        <w:t>Português europeu claro, coeso e profissional. A progressão verbal (reduzir, atuar, integrar) funciona bem e as explicações são naturais.</w:t>
      </w:r>
    </w:p>
    <w:p>
      <w:pPr>
        <w:pStyle w:val="ListBullet"/>
        <w:spacing w:after="60"/>
        <w:ind w:left="547" w:hanging="274"/>
      </w:pPr>
      <w:r>
        <w:rPr>
          <w:rFonts w:ascii="Aptos" w:hAnsi="Aptos"/>
          <w:b/>
          <w:i w:val="0"/>
          <w:color w:val="0B2545"/>
          <w:sz w:val="20"/>
        </w:rPr>
        <w:t xml:space="preserve">“hipervigilância tecidular”: </w:t>
      </w:r>
      <w:r>
        <w:rPr>
          <w:rFonts w:ascii="Aptos" w:hAnsi="Aptos"/>
          <w:b w:val="0"/>
          <w:i w:val="0"/>
          <w:color w:val="0B2545"/>
          <w:sz w:val="20"/>
        </w:rPr>
        <w:t>Correto, mas denso; “estado de alerta dos tecidos” seria mais acessível a um público não especializado.</w:t>
      </w:r>
    </w:p>
    <w:p>
      <w:pPr>
        <w:pStyle w:val="ListBullet"/>
        <w:spacing w:after="60"/>
        <w:ind w:left="547" w:hanging="274"/>
      </w:pPr>
      <w:r>
        <w:rPr>
          <w:rFonts w:ascii="Aptos" w:hAnsi="Aptos"/>
          <w:b/>
          <w:i w:val="0"/>
          <w:color w:val="0B2545"/>
          <w:sz w:val="20"/>
        </w:rPr>
        <w:t xml:space="preserve">“alvo visceral e o seu contexto locorregional”: </w:t>
      </w:r>
      <w:r>
        <w:rPr>
          <w:rFonts w:ascii="Aptos" w:hAnsi="Aptos"/>
          <w:b w:val="0"/>
          <w:i w:val="0"/>
          <w:color w:val="0B2545"/>
          <w:sz w:val="20"/>
        </w:rPr>
        <w:t>Fluente em registo técnico. Para maior leveza: “o alvo visceral no respetivo contexto locorregional”.</w:t>
      </w:r>
    </w:p>
    <w:p>
      <w:pPr>
        <w:pStyle w:val="ListBullet"/>
        <w:spacing w:after="60"/>
        <w:ind w:left="547" w:hanging="274"/>
      </w:pPr>
      <w:r>
        <w:rPr>
          <w:rFonts w:ascii="Aptos" w:hAnsi="Aptos"/>
          <w:b/>
          <w:i w:val="0"/>
          <w:color w:val="0B2545"/>
          <w:sz w:val="20"/>
        </w:rPr>
        <w:t xml:space="preserve">Consistência: </w:t>
      </w:r>
      <w:r>
        <w:rPr>
          <w:rFonts w:ascii="Aptos" w:hAnsi="Aptos"/>
          <w:b w:val="0"/>
          <w:i w:val="0"/>
          <w:color w:val="0B2545"/>
          <w:sz w:val="20"/>
        </w:rPr>
        <w:t>Manter “atuar” em todo o conjunto; está adequado ao português europeu.</w:t>
      </w:r>
    </w:p>
    <w:p>
      <w:pPr>
        <w:pStyle w:val="Heading1"/>
      </w:pPr>
      <w:r>
        <w:rPr>
          <w:rFonts w:ascii="Aptos" w:hAnsi="Aptos"/>
          <w:b/>
          <w:i w:val="0"/>
          <w:color w:val="0B2545"/>
          <w:sz w:val="30"/>
        </w:rPr>
        <w:t>Slide 2 — Sequência clínica ROP: 4 níveis complementares</w:t>
      </w:r>
    </w:p>
    <w:p>
      <w:pPr>
        <w:spacing w:after="60"/>
      </w:pPr>
      <w:r>
        <w:rPr>
          <w:rFonts w:ascii="Aptos" w:hAnsi="Aptos"/>
          <w:b/>
          <w:i w:val="0"/>
          <w:color w:val="226F4E"/>
          <w:sz w:val="21"/>
        </w:rPr>
        <w:t>4,5/5 — Muito fluente</w:t>
      </w:r>
    </w:p>
    <w:p>
      <w:pPr>
        <w:spacing w:after="80"/>
      </w:pPr>
      <w:r>
        <w:t>Texto natural e bem estruturado. “Grelha de raciocínio”, “sessão”, “autonómica” e “interneurónios” estão bem adaptados ao português europeu.</w:t>
      </w:r>
    </w:p>
    <w:p>
      <w:pPr>
        <w:pStyle w:val="ListBullet"/>
        <w:spacing w:after="60"/>
        <w:ind w:left="547" w:hanging="274"/>
      </w:pPr>
      <w:r>
        <w:rPr>
          <w:rFonts w:ascii="Aptos" w:hAnsi="Aptos"/>
          <w:b/>
          <w:i w:val="0"/>
          <w:color w:val="0B2545"/>
          <w:sz w:val="20"/>
        </w:rPr>
        <w:t xml:space="preserve">“Regulação neurovegetativa e adaptação”: </w:t>
      </w:r>
      <w:r>
        <w:rPr>
          <w:rFonts w:ascii="Aptos" w:hAnsi="Aptos"/>
          <w:b w:val="0"/>
          <w:i w:val="0"/>
          <w:color w:val="0B2545"/>
          <w:sz w:val="20"/>
        </w:rPr>
        <w:t>Correto. Se o restante material privilegiar “autonómico”, considerar “regulação autonómica e adaptação” para uniformidade terminológica.</w:t>
      </w:r>
    </w:p>
    <w:p>
      <w:pPr>
        <w:pStyle w:val="ListBullet"/>
        <w:spacing w:after="60"/>
        <w:ind w:left="547" w:hanging="274"/>
      </w:pPr>
      <w:r>
        <w:rPr>
          <w:rFonts w:ascii="Aptos" w:hAnsi="Aptos"/>
          <w:b/>
          <w:i w:val="0"/>
          <w:color w:val="0B2545"/>
          <w:sz w:val="20"/>
        </w:rPr>
        <w:t xml:space="preserve">“Alvo visceral e locorregional”: </w:t>
      </w:r>
      <w:r>
        <w:rPr>
          <w:rFonts w:ascii="Aptos" w:hAnsi="Aptos"/>
          <w:b w:val="0"/>
          <w:i w:val="0"/>
          <w:color w:val="0B2545"/>
          <w:sz w:val="20"/>
        </w:rPr>
        <w:t>A etiqueta-resumo é algo elíptica. Sugestão: “Alvo visceral e contexto locorregional”.</w:t>
      </w:r>
    </w:p>
    <w:p>
      <w:pPr>
        <w:pStyle w:val="ListBullet"/>
        <w:spacing w:after="60"/>
        <w:ind w:left="547" w:hanging="274"/>
      </w:pPr>
      <w:r>
        <w:rPr>
          <w:rFonts w:ascii="Aptos" w:hAnsi="Aptos"/>
          <w:b/>
          <w:i w:val="0"/>
          <w:color w:val="0B2545"/>
          <w:sz w:val="20"/>
        </w:rPr>
        <w:t xml:space="preserve">“Função: integrar o alvo...”: </w:t>
      </w:r>
      <w:r>
        <w:rPr>
          <w:rFonts w:ascii="Aptos" w:hAnsi="Aptos"/>
          <w:b w:val="0"/>
          <w:i w:val="0"/>
          <w:color w:val="0B2545"/>
          <w:sz w:val="20"/>
        </w:rPr>
        <w:t>Compreensível, mas “integrar a avaliação do alvo...” é semanticamente mais natural.</w:t>
      </w:r>
    </w:p>
    <w:p>
      <w:pPr>
        <w:pStyle w:val="Heading1"/>
      </w:pPr>
      <w:r>
        <w:rPr>
          <w:rFonts w:ascii="Aptos" w:hAnsi="Aptos"/>
          <w:b/>
          <w:i w:val="0"/>
          <w:color w:val="0B2545"/>
          <w:sz w:val="30"/>
        </w:rPr>
        <w:t>Slide 3 — Terminologia espacial do atlas</w:t>
      </w:r>
    </w:p>
    <w:p>
      <w:pPr>
        <w:spacing w:after="60"/>
      </w:pPr>
      <w:r>
        <w:rPr>
          <w:rFonts w:ascii="Aptos" w:hAnsi="Aptos"/>
          <w:b/>
          <w:i w:val="0"/>
          <w:color w:val="9C6500"/>
          <w:sz w:val="21"/>
        </w:rPr>
        <w:t>4,0/5 — Fluente, com terminologia a afinar</w:t>
      </w:r>
    </w:p>
    <w:p>
      <w:pPr>
        <w:spacing w:after="80"/>
      </w:pPr>
      <w:r>
        <w:t>A mensagem é clara, mas os advérbios direcionais soam menos naturais do que os termos anatómicos consagrados.</w:t>
      </w:r>
    </w:p>
    <w:p>
      <w:pPr>
        <w:pStyle w:val="ListBullet"/>
        <w:spacing w:after="60"/>
        <w:ind w:left="547" w:hanging="274"/>
      </w:pPr>
      <w:r>
        <w:rPr>
          <w:rFonts w:ascii="Aptos" w:hAnsi="Aptos"/>
          <w:b/>
          <w:i w:val="0"/>
          <w:color w:val="0B2545"/>
          <w:sz w:val="20"/>
        </w:rPr>
        <w:t xml:space="preserve">“Cefalicamente / Caudalmente”: </w:t>
      </w:r>
      <w:r>
        <w:rPr>
          <w:rFonts w:ascii="Aptos" w:hAnsi="Aptos"/>
          <w:b w:val="0"/>
          <w:i w:val="0"/>
          <w:color w:val="0B2545"/>
          <w:sz w:val="20"/>
        </w:rPr>
        <w:t>Preferível: “Cefálico (superior)” e “Caudal (inferior)”, ou simplesmente “Superior / Inferior”, conforme a convenção do atlas.</w:t>
      </w:r>
    </w:p>
    <w:p>
      <w:pPr>
        <w:pStyle w:val="ListBullet"/>
        <w:spacing w:after="60"/>
        <w:ind w:left="547" w:hanging="274"/>
      </w:pPr>
      <w:r>
        <w:rPr>
          <w:rFonts w:ascii="Aptos" w:hAnsi="Aptos"/>
          <w:b/>
          <w:i w:val="0"/>
          <w:color w:val="0B2545"/>
          <w:sz w:val="20"/>
        </w:rPr>
        <w:t xml:space="preserve">“Dorsalmente / Ventralmente / Medialmente / Lateralmente”: </w:t>
      </w:r>
      <w:r>
        <w:rPr>
          <w:rFonts w:ascii="Aptos" w:hAnsi="Aptos"/>
          <w:b w:val="0"/>
          <w:i w:val="0"/>
          <w:color w:val="0B2545"/>
          <w:sz w:val="20"/>
        </w:rPr>
        <w:t>Em legendas, usar os adjetivos “Dorsal”, “Ventral”, “Medial” e “Lateral”.</w:t>
      </w:r>
    </w:p>
    <w:p>
      <w:pPr>
        <w:pStyle w:val="ListBullet"/>
        <w:spacing w:after="60"/>
        <w:ind w:left="547" w:hanging="274"/>
      </w:pPr>
      <w:r>
        <w:rPr>
          <w:rFonts w:ascii="Aptos" w:hAnsi="Aptos"/>
          <w:b/>
          <w:i w:val="0"/>
          <w:color w:val="0B2545"/>
          <w:sz w:val="20"/>
        </w:rPr>
        <w:t xml:space="preserve">Frase final: </w:t>
      </w:r>
      <w:r>
        <w:rPr>
          <w:rFonts w:ascii="Aptos" w:hAnsi="Aptos"/>
          <w:b w:val="0"/>
          <w:i w:val="0"/>
          <w:color w:val="0B2545"/>
          <w:sz w:val="20"/>
        </w:rPr>
        <w:t>“O abandono de termos vagos...” é correto e natural; “a utilização de termos precisos...” teria um tom menos negativo, se desejado.</w:t>
      </w:r>
    </w:p>
    <w:p>
      <w:r>
        <w:br w:type="page"/>
      </w:r>
    </w:p>
    <w:p>
      <w:pPr>
        <w:pStyle w:val="Heading1"/>
      </w:pPr>
      <w:r>
        <w:rPr>
          <w:rFonts w:ascii="Aptos" w:hAnsi="Aptos"/>
          <w:b/>
          <w:i w:val="0"/>
          <w:color w:val="0B2545"/>
          <w:sz w:val="30"/>
        </w:rPr>
        <w:t>Slide 4 — Fundamentos neuroanatómicos, em síntese</w:t>
      </w:r>
    </w:p>
    <w:p>
      <w:pPr>
        <w:spacing w:after="60"/>
      </w:pPr>
      <w:r>
        <w:rPr>
          <w:rFonts w:ascii="Aptos" w:hAnsi="Aptos"/>
          <w:b/>
          <w:i w:val="0"/>
          <w:color w:val="9C6500"/>
          <w:sz w:val="21"/>
        </w:rPr>
        <w:t>4,0/5 — Fluente, com algumas formulações densas</w:t>
      </w:r>
    </w:p>
    <w:p>
      <w:pPr>
        <w:spacing w:after="80"/>
      </w:pPr>
      <w:r>
        <w:t>Português correto e tecnicamente coerente. Há duas formulações que beneficiariam de maior naturalidade e precisão sintática.</w:t>
      </w:r>
    </w:p>
    <w:p>
      <w:pPr>
        <w:pStyle w:val="ListBullet"/>
        <w:spacing w:after="60"/>
        <w:ind w:left="547" w:hanging="274"/>
      </w:pPr>
      <w:r>
        <w:rPr>
          <w:rFonts w:ascii="Aptos" w:hAnsi="Aptos"/>
          <w:b/>
          <w:i w:val="0"/>
          <w:color w:val="0B2545"/>
          <w:sz w:val="20"/>
        </w:rPr>
        <w:t xml:space="preserve">“Quatro vias de entrada somática do pé”: </w:t>
      </w:r>
      <w:r>
        <w:rPr>
          <w:rFonts w:ascii="Aptos" w:hAnsi="Aptos"/>
          <w:b w:val="0"/>
          <w:i w:val="0"/>
          <w:color w:val="0B2545"/>
          <w:sz w:val="20"/>
        </w:rPr>
        <w:t>Sugestão: “Quatro vias de aferência somática provenientes do pé”.</w:t>
      </w:r>
    </w:p>
    <w:p>
      <w:pPr>
        <w:pStyle w:val="ListBullet"/>
        <w:spacing w:after="60"/>
        <w:ind w:left="547" w:hanging="274"/>
      </w:pPr>
      <w:r>
        <w:rPr>
          <w:rFonts w:ascii="Aptos" w:hAnsi="Aptos"/>
          <w:b/>
          <w:i w:val="0"/>
          <w:color w:val="0B2545"/>
          <w:sz w:val="20"/>
        </w:rPr>
        <w:t xml:space="preserve">“pontos de convergência para redes viscerais”: </w:t>
      </w:r>
      <w:r>
        <w:rPr>
          <w:rFonts w:ascii="Aptos" w:hAnsi="Aptos"/>
          <w:b w:val="0"/>
          <w:i w:val="0"/>
          <w:color w:val="0B2545"/>
          <w:sz w:val="20"/>
        </w:rPr>
        <w:t>Sugestão: “pontos de convergência com redes viscerais”.</w:t>
      </w:r>
    </w:p>
    <w:p>
      <w:pPr>
        <w:pStyle w:val="ListBullet"/>
        <w:spacing w:after="60"/>
        <w:ind w:left="547" w:hanging="274"/>
      </w:pPr>
      <w:r>
        <w:rPr>
          <w:rFonts w:ascii="Aptos" w:hAnsi="Aptos"/>
          <w:b/>
          <w:i w:val="0"/>
          <w:color w:val="0B2545"/>
          <w:sz w:val="20"/>
        </w:rPr>
        <w:t xml:space="preserve">“uma aferência somática pode encontrar circuitos viscerais”: </w:t>
      </w:r>
      <w:r>
        <w:rPr>
          <w:rFonts w:ascii="Aptos" w:hAnsi="Aptos"/>
          <w:b w:val="0"/>
          <w:i w:val="0"/>
          <w:color w:val="0B2545"/>
          <w:sz w:val="20"/>
        </w:rPr>
        <w:t>“Pode convergir com circuitos viscerais” é mais técnico e idiomático.</w:t>
      </w:r>
    </w:p>
    <w:p>
      <w:pPr>
        <w:pStyle w:val="ListBullet"/>
        <w:spacing w:after="60"/>
        <w:ind w:left="547" w:hanging="274"/>
      </w:pPr>
      <w:r>
        <w:rPr>
          <w:rFonts w:ascii="Aptos" w:hAnsi="Aptos"/>
          <w:b/>
          <w:i w:val="0"/>
          <w:color w:val="0B2545"/>
          <w:sz w:val="20"/>
        </w:rPr>
        <w:t xml:space="preserve">Pontuação: </w:t>
      </w:r>
      <w:r>
        <w:rPr>
          <w:rFonts w:ascii="Aptos" w:hAnsi="Aptos"/>
          <w:b w:val="0"/>
          <w:i w:val="0"/>
          <w:color w:val="0B2545"/>
          <w:sz w:val="20"/>
        </w:rPr>
        <w:t>O título não necessita de ponto final: “Fundamentos neuroanatómicos, em síntese”.</w:t>
      </w:r>
    </w:p>
    <w:p>
      <w:pPr>
        <w:pStyle w:val="Heading1"/>
      </w:pPr>
      <w:r>
        <w:rPr>
          <w:rFonts w:ascii="Aptos" w:hAnsi="Aptos"/>
          <w:b/>
          <w:i w:val="0"/>
          <w:color w:val="0B2545"/>
          <w:sz w:val="30"/>
        </w:rPr>
        <w:t>Slide 5 — A pélvis: uma região particularmente relevante</w:t>
      </w:r>
    </w:p>
    <w:p>
      <w:pPr>
        <w:spacing w:after="60"/>
      </w:pPr>
      <w:r>
        <w:rPr>
          <w:rFonts w:ascii="Aptos" w:hAnsi="Aptos"/>
          <w:b/>
          <w:i w:val="0"/>
          <w:color w:val="226F4E"/>
          <w:sz w:val="21"/>
        </w:rPr>
        <w:t>4,5/5 — Muito fluente</w:t>
      </w:r>
    </w:p>
    <w:p>
      <w:pPr>
        <w:spacing w:after="80"/>
      </w:pPr>
      <w:r>
        <w:t>Slide claro, natural e consistente com português europeu. Os fragmentos nominais funcionam como rótulos visuais, embora um deles possa ser explicitado.</w:t>
      </w:r>
    </w:p>
    <w:p>
      <w:pPr>
        <w:pStyle w:val="ListBullet"/>
        <w:spacing w:after="60"/>
        <w:ind w:left="547" w:hanging="274"/>
      </w:pPr>
      <w:r>
        <w:rPr>
          <w:rFonts w:ascii="Aptos" w:hAnsi="Aptos"/>
          <w:b/>
          <w:i w:val="0"/>
          <w:color w:val="0B2545"/>
          <w:sz w:val="20"/>
        </w:rPr>
        <w:t xml:space="preserve">“Tibial: componentes sacrais S2–S3”: </w:t>
      </w:r>
      <w:r>
        <w:rPr>
          <w:rFonts w:ascii="Aptos" w:hAnsi="Aptos"/>
          <w:b w:val="0"/>
          <w:i w:val="0"/>
          <w:color w:val="0B2545"/>
          <w:sz w:val="20"/>
        </w:rPr>
        <w:t>Mais explícito: “Nervo tibial: componentes sacrais de S2–S3”.</w:t>
      </w:r>
    </w:p>
    <w:p>
      <w:pPr>
        <w:pStyle w:val="ListBullet"/>
        <w:spacing w:after="60"/>
        <w:ind w:left="547" w:hanging="274"/>
      </w:pPr>
      <w:r>
        <w:rPr>
          <w:rFonts w:ascii="Aptos" w:hAnsi="Aptos"/>
          <w:b/>
          <w:i w:val="0"/>
          <w:color w:val="0B2545"/>
          <w:sz w:val="20"/>
        </w:rPr>
        <w:t xml:space="preserve">“ROP: relevância clínica pélvica, sem prova específica”: </w:t>
      </w:r>
      <w:r>
        <w:rPr>
          <w:rFonts w:ascii="Aptos" w:hAnsi="Aptos"/>
          <w:b w:val="0"/>
          <w:i w:val="0"/>
          <w:color w:val="0B2545"/>
          <w:sz w:val="20"/>
        </w:rPr>
        <w:t>Formulação algo ambígua. Sugestão: “ROP: possível relevância clínica pélvica, ainda sem evidência específica”.</w:t>
      </w:r>
    </w:p>
    <w:p>
      <w:pPr>
        <w:pStyle w:val="ListBullet"/>
        <w:spacing w:after="60"/>
        <w:ind w:left="547" w:hanging="274"/>
      </w:pPr>
      <w:r>
        <w:rPr>
          <w:rFonts w:ascii="Aptos" w:hAnsi="Aptos"/>
          <w:b/>
          <w:i w:val="0"/>
          <w:color w:val="0B2545"/>
          <w:sz w:val="20"/>
        </w:rPr>
        <w:t xml:space="preserve">“Ponto-chave:  a...”: </w:t>
      </w:r>
      <w:r>
        <w:rPr>
          <w:rFonts w:ascii="Aptos" w:hAnsi="Aptos"/>
          <w:b w:val="0"/>
          <w:i w:val="0"/>
          <w:color w:val="0B2545"/>
          <w:sz w:val="20"/>
        </w:rPr>
        <w:t>Eliminar o espaço duplicado após os dois-pontos.</w:t>
      </w:r>
    </w:p>
    <w:p>
      <w:pPr>
        <w:pStyle w:val="Heading1"/>
      </w:pPr>
      <w:r>
        <w:rPr>
          <w:rFonts w:ascii="Aptos" w:hAnsi="Aptos"/>
          <w:b/>
          <w:i w:val="0"/>
          <w:color w:val="0B2545"/>
          <w:sz w:val="30"/>
        </w:rPr>
        <w:t>Slide 6 — Além da pélvis</w:t>
      </w:r>
    </w:p>
    <w:p>
      <w:pPr>
        <w:spacing w:after="60"/>
      </w:pPr>
      <w:r>
        <w:rPr>
          <w:rFonts w:ascii="Aptos" w:hAnsi="Aptos"/>
          <w:b/>
          <w:i w:val="0"/>
          <w:color w:val="226F4E"/>
          <w:sz w:val="21"/>
        </w:rPr>
        <w:t>4,5/5 — Muito fluente</w:t>
      </w:r>
    </w:p>
    <w:p>
      <w:pPr>
        <w:spacing w:after="80"/>
      </w:pPr>
      <w:r>
        <w:t>Texto idiomático, bem encadeado e adequado a um registo técnico. A distinção entre pressão manual e estimulação elétrica está formulada com clareza.</w:t>
      </w:r>
    </w:p>
    <w:p>
      <w:pPr>
        <w:pStyle w:val="ListBullet"/>
        <w:spacing w:after="60"/>
        <w:ind w:left="547" w:hanging="274"/>
      </w:pPr>
      <w:r>
        <w:rPr>
          <w:rFonts w:ascii="Aptos" w:hAnsi="Aptos"/>
          <w:b/>
          <w:i w:val="0"/>
          <w:color w:val="0B2545"/>
          <w:sz w:val="20"/>
        </w:rPr>
        <w:t xml:space="preserve">“modulação à distância continua a ser possível”: </w:t>
      </w:r>
      <w:r>
        <w:rPr>
          <w:rFonts w:ascii="Aptos" w:hAnsi="Aptos"/>
          <w:b w:val="0"/>
          <w:i w:val="0"/>
          <w:color w:val="0B2545"/>
          <w:sz w:val="20"/>
        </w:rPr>
        <w:t>Natural em português europeu; pode manter-se.</w:t>
      </w:r>
    </w:p>
    <w:p>
      <w:pPr>
        <w:pStyle w:val="ListBullet"/>
        <w:spacing w:after="60"/>
        <w:ind w:left="547" w:hanging="274"/>
      </w:pPr>
      <w:r>
        <w:rPr>
          <w:rFonts w:ascii="Aptos" w:hAnsi="Aptos"/>
          <w:b/>
          <w:i w:val="0"/>
          <w:color w:val="0B2545"/>
          <w:sz w:val="20"/>
        </w:rPr>
        <w:t xml:space="preserve">“podem recrutar redes cerebrais...”: </w:t>
      </w:r>
      <w:r>
        <w:rPr>
          <w:rFonts w:ascii="Aptos" w:hAnsi="Aptos"/>
          <w:b w:val="0"/>
          <w:i w:val="0"/>
          <w:color w:val="0B2545"/>
          <w:sz w:val="20"/>
        </w:rPr>
        <w:t>Correto em linguagem neurofisiológica. Para público geral: “podem ativar redes cerebrais...”.</w:t>
      </w:r>
    </w:p>
    <w:p>
      <w:pPr>
        <w:pStyle w:val="ListBullet"/>
        <w:spacing w:after="60"/>
        <w:ind w:left="547" w:hanging="274"/>
      </w:pPr>
      <w:r>
        <w:rPr>
          <w:rFonts w:ascii="Aptos" w:hAnsi="Aptos"/>
          <w:b/>
          <w:i w:val="0"/>
          <w:color w:val="0B2545"/>
          <w:sz w:val="20"/>
        </w:rPr>
        <w:t xml:space="preserve">“sugere sobretudo uma ação mais geral”: </w:t>
      </w:r>
      <w:r>
        <w:rPr>
          <w:rFonts w:ascii="Aptos" w:hAnsi="Aptos"/>
          <w:b w:val="0"/>
          <w:i w:val="0"/>
          <w:color w:val="0B2545"/>
          <w:sz w:val="20"/>
        </w:rPr>
        <w:t>Correto. “Aponta sobretudo para uma ação...” pode soar ligeiramente mais natural.</w:t>
      </w:r>
    </w:p>
    <w:p>
      <w:pPr>
        <w:spacing w:before="200"/>
      </w:pPr>
      <w:r>
        <w:rPr>
          <w:rFonts w:ascii="Aptos" w:hAnsi="Aptos"/>
          <w:b/>
          <w:i w:val="0"/>
          <w:color w:val="5A6470"/>
          <w:sz w:val="18"/>
        </w:rPr>
        <w:t xml:space="preserve">Nota de âmbito: </w:t>
      </w:r>
      <w:r>
        <w:rPr>
          <w:rFonts w:ascii="Aptos" w:hAnsi="Aptos"/>
          <w:b w:val="0"/>
          <w:i/>
          <w:color w:val="5A6470"/>
          <w:sz w:val="18"/>
        </w:rPr>
        <w:t>Esta revisão avalia apenas a qualidade linguística e a naturalidade do português; não valida as afirmações clínicas ou científicas.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5A6470"/>
        <w:sz w:val="17"/>
      </w:rPr>
      <w:t>Revisão linguística · Capítulo 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B25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B25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0B25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fluência em português — Slides do Capítulo 0</dc:title>
  <dc:subject>Avaliação linguística slide a slide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