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Relatório de Revisão de Fluência dos Slides — Capítulo 0</w:t>
      </w:r>
    </w:p>
    <w:p>
      <w:r>
        <w:rPr>
          <w:i/>
          <w:color w:val="555555"/>
          <w:sz w:val="26"/>
        </w:rPr>
        <w:t>Instruções e Recomendações para o Designer / Editor Gráfico (PT-PT)</w:t>
      </w:r>
    </w:p>
    <w:p/>
    <w:p>
      <w:r>
        <w:rPr>
          <w:b/>
          <w:color w:val="1B365D"/>
          <w:sz w:val="28"/>
        </w:rPr>
        <w:t>1. Resumo Executivo da Avaliação dos Slides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</w:tcPr>
          <w:p>
            <w:r>
              <w:rPr>
                <w:b/>
                <w:color w:val="FFFFFF"/>
                <w:sz w:val="20"/>
              </w:rPr>
              <w:t>Ficheiro de Imagem</w:t>
            </w:r>
          </w:p>
        </w:tc>
        <w:tc>
          <w:tcPr>
            <w:tcW w:type="dxa" w:w="2340"/>
            <w:shd w:val="clear" w:color="auto" w:fill="1B365D"/>
          </w:tcPr>
          <w:p>
            <w:r>
              <w:rPr>
                <w:b/>
                <w:color w:val="FFFFFF"/>
                <w:sz w:val="20"/>
              </w:rPr>
              <w:t>Título do Slide</w:t>
            </w:r>
          </w:p>
        </w:tc>
        <w:tc>
          <w:tcPr>
            <w:tcW w:type="dxa" w:w="2340"/>
            <w:shd w:val="clear" w:color="auto" w:fill="1B365D"/>
          </w:tcPr>
          <w:p>
            <w:r>
              <w:rPr>
                <w:b/>
                <w:color w:val="FFFFFF"/>
                <w:sz w:val="20"/>
              </w:rPr>
              <w:t>Classificação PT-PT</w:t>
            </w:r>
          </w:p>
        </w:tc>
        <w:tc>
          <w:tcPr>
            <w:tcW w:type="dxa" w:w="2340"/>
            <w:shd w:val="clear" w:color="auto" w:fill="1B365D"/>
          </w:tcPr>
          <w:p>
            <w:r>
              <w:rPr>
                <w:b/>
                <w:color w:val="FFFFFF"/>
                <w:sz w:val="20"/>
              </w:rPr>
              <w:t>Ação Necessária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NCH 0 PT IMG 1.png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Sequência clínica ROP (4 níveis)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100% Excelente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Nenhuma (Aprovado)</w:t>
            </w:r>
          </w:p>
        </w:tc>
      </w:tr>
      <w:tr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NCH 0 PT IMG 2.png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Sequência clínica ROP (4 níveis comp.)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98% Excelente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Ajustar hífens em 2 emblemas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NCH 0 PT IMG 3.png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Terminologia espacial do atlas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95% Muito Bom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Corrigir 1 erro no rodapé</w:t>
            </w:r>
          </w:p>
        </w:tc>
      </w:tr>
      <w:tr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NCH 0 PT IMG 4.png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Fundamentos neuroanatómicos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100% Excelente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Nenhuma (Aprovado)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NCH 0 PT IMG 5.png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 pélvis: região relevante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100% Excelente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Nenhuma (Aprovado)</w:t>
            </w:r>
          </w:p>
        </w:tc>
      </w:tr>
      <w:tr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NCH 0 PT IMG 6.png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Modulação à distância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100% Excelente</w:t>
            </w:r>
          </w:p>
        </w:tc>
        <w:tc>
          <w:tcPr>
            <w:tcW w:type="dxa" w:w="2340"/>
            <w:shd w:val="clear" w:color="auto" w:fill="F2F4F7"/>
          </w:tcPr>
          <w:p>
            <w:r>
              <w:rPr>
                <w:sz w:val="19"/>
              </w:rPr>
              <w:t>Nenhuma (Aprovado)</w:t>
            </w:r>
          </w:p>
        </w:tc>
      </w:tr>
    </w:tbl>
    <w:p/>
    <w:p>
      <w:r>
        <w:rPr>
          <w:b/>
          <w:color w:val="1B365D"/>
          <w:sz w:val="28"/>
        </w:rPr>
        <w:t>2. Avaliação Detalhada e Instruções por Slide</w:t>
      </w:r>
    </w:p>
    <w:p>
      <w:r>
        <w:rPr>
          <w:b/>
          <w:color w:val="1B365D"/>
          <w:sz w:val="23"/>
        </w:rPr>
        <w:t>Slide 1: A sequência clínica ROP: uma progressão em quatro níveis</w:t>
      </w:r>
    </w:p>
    <w:p>
      <w:r>
        <w:rPr>
          <w:b/>
        </w:rPr>
        <w:t xml:space="preserve">Estado: </w:t>
      </w:r>
      <w:r>
        <w:rPr>
          <w:b/>
          <w:color w:val="2E7D32"/>
        </w:rPr>
        <w:t>APROVADO (100% Fluência PT-PT)</w:t>
      </w:r>
    </w:p>
    <w:p>
      <w:r>
        <w:rPr>
          <w:b/>
        </w:rPr>
        <w:t xml:space="preserve">Análise: </w:t>
      </w:r>
      <w:r>
        <w:t>Texto e terminologia perfeitamente conformes às normas de Português Europeu e vocabulário médico.</w:t>
      </w:r>
    </w:p>
    <w:p>
      <w:r>
        <w:rPr>
          <w:b/>
        </w:rPr>
        <w:t xml:space="preserve">Ação para o Designer: </w:t>
      </w:r>
      <w:r>
        <w:t>Nenhuma alteração gráfica ou textual necessária.</w:t>
      </w:r>
    </w:p>
    <w:p/>
    <w:p>
      <w:r>
        <w:rPr>
          <w:b/>
          <w:color w:val="1B365D"/>
          <w:sz w:val="23"/>
        </w:rPr>
        <w:t>Slide 2: Sequência clínica ROP — 4 níveis complementares</w:t>
      </w:r>
    </w:p>
    <w:p>
      <w:r>
        <w:rPr>
          <w:b/>
        </w:rPr>
        <w:t xml:space="preserve">Estado: </w:t>
      </w:r>
      <w:r>
        <w:rPr>
          <w:b/>
          <w:color w:val="D84315"/>
        </w:rPr>
        <w:t>REQUER PEQUENO AJUSTE GRÁFICO (98% Fluência PT-PT)</w:t>
      </w:r>
    </w:p>
    <w:p>
      <w:r>
        <w:rPr>
          <w:b/>
        </w:rPr>
        <w:t xml:space="preserve">Análise: </w:t>
      </w:r>
      <w:r>
        <w:t>A terminologia médica principal é exata. No entanto, existe uma ligeira inconsistência de hifenização na barra inferior.</w:t>
      </w:r>
    </w:p>
    <w:p>
      <w:r>
        <w:rPr>
          <w:b/>
        </w:rPr>
        <w:t xml:space="preserve">Ação para o Designer: </w:t>
      </w:r>
      <w:r>
        <w:rPr>
          <w:b/>
          <w:color w:val="C62828"/>
        </w:rPr>
        <w:t>1) Na barra inferior (emblema 2 laranja): alterar "Neuro-vegetativo" para "Neurovegetativo" (sem hífen).</w:t>
        <w:br/>
        <w:t>2) Na barra inferior (emblema 3 laranja): alterar "locor-regional" para "Locorregional" (sem hífen).</w:t>
      </w:r>
    </w:p>
    <w:p/>
    <w:p>
      <w:r>
        <w:rPr>
          <w:b/>
          <w:color w:val="1B365D"/>
          <w:sz w:val="23"/>
        </w:rPr>
        <w:t>Slide 3: Terminologia espacial do atlas</w:t>
      </w:r>
    </w:p>
    <w:p>
      <w:r>
        <w:rPr>
          <w:b/>
        </w:rPr>
        <w:t xml:space="preserve">Estado: </w:t>
      </w:r>
      <w:r>
        <w:rPr>
          <w:b/>
          <w:color w:val="D84315"/>
        </w:rPr>
        <w:t>REQUER CORREÇÃO TIPOGRÁFICA (95% Fluência PT-PT)</w:t>
      </w:r>
    </w:p>
    <w:p>
      <w:r>
        <w:rPr>
          <w:b/>
        </w:rPr>
        <w:t xml:space="preserve">Análise: </w:t>
      </w:r>
      <w:r>
        <w:t>Os eixos anatómicos estão corretos. No entanto, o texto explicativo do rodapé contém uma gralha ortográfica.</w:t>
      </w:r>
    </w:p>
    <w:p>
      <w:r>
        <w:rPr>
          <w:b/>
        </w:rPr>
        <w:t xml:space="preserve">Ação para o Designer: </w:t>
      </w:r>
      <w:r>
        <w:rPr>
          <w:b/>
          <w:color w:val="C62828"/>
        </w:rPr>
        <w:t>No texto de rodapé: substituir a palavra "reprodutbilidade" por "reprodutibilidade".</w:t>
        <w:br/>
        <w:t>Texto correto: "O abandono de termos vagos garante a reprodutibilidade clínica e a precisão neuroanatómica."</w:t>
      </w:r>
    </w:p>
    <w:p/>
    <w:p>
      <w:r>
        <w:rPr>
          <w:b/>
          <w:color w:val="1B365D"/>
          <w:sz w:val="23"/>
        </w:rPr>
        <w:t>Slide 4: Fundamentos neuroanatómicos, em síntese.</w:t>
      </w:r>
    </w:p>
    <w:p>
      <w:r>
        <w:rPr>
          <w:b/>
        </w:rPr>
        <w:t xml:space="preserve">Estado: </w:t>
      </w:r>
      <w:r>
        <w:rPr>
          <w:b/>
          <w:color w:val="2E7D32"/>
        </w:rPr>
        <w:t>APROVADO (100% Fluência PT-PT)</w:t>
      </w:r>
    </w:p>
    <w:p>
      <w:r>
        <w:rPr>
          <w:b/>
        </w:rPr>
        <w:t xml:space="preserve">Análise: </w:t>
      </w:r>
      <w:r>
        <w:t>Excelente terminologia anatómica e médica em Português Europeu (bordo, maléolo, hálux, mecanorrecetores, interneurónios).</w:t>
      </w:r>
    </w:p>
    <w:p>
      <w:r>
        <w:rPr>
          <w:b/>
        </w:rPr>
        <w:t xml:space="preserve">Ação para o Designer: </w:t>
      </w:r>
      <w:r>
        <w:t>Nenhuma alteração gráfica ou textual necessária.</w:t>
      </w:r>
    </w:p>
    <w:p/>
    <w:p>
      <w:r>
        <w:rPr>
          <w:b/>
          <w:color w:val="1B365D"/>
          <w:sz w:val="23"/>
        </w:rPr>
        <w:t>Slide 5: A pélvis: uma região particularmente relevante</w:t>
      </w:r>
    </w:p>
    <w:p>
      <w:r>
        <w:rPr>
          <w:b/>
        </w:rPr>
        <w:t xml:space="preserve">Estado: </w:t>
      </w:r>
      <w:r>
        <w:rPr>
          <w:b/>
          <w:color w:val="2E7D32"/>
        </w:rPr>
        <w:t>APROVADO (100% Fluência PT-PT)</w:t>
      </w:r>
    </w:p>
    <w:p>
      <w:r>
        <w:rPr>
          <w:b/>
        </w:rPr>
        <w:t xml:space="preserve">Análise: </w:t>
      </w:r>
      <w:r>
        <w:t>Conformidade total com a norma editorial médica portuguesa (uso de "pélvis", "lombossagrada", "bexiga", "reto").</w:t>
      </w:r>
    </w:p>
    <w:p>
      <w:r>
        <w:rPr>
          <w:b/>
        </w:rPr>
        <w:t xml:space="preserve">Ação para o Designer: </w:t>
      </w:r>
      <w:r>
        <w:t>Nenhuma alteração gráfica ou textual necessária.</w:t>
      </w:r>
    </w:p>
    <w:p/>
    <w:p>
      <w:r>
        <w:rPr>
          <w:b/>
          <w:color w:val="1B365D"/>
          <w:sz w:val="23"/>
        </w:rPr>
        <w:t>Slide 6: Além da pélvis: a modulação à distância continua a ser possível</w:t>
      </w:r>
    </w:p>
    <w:p>
      <w:r>
        <w:rPr>
          <w:b/>
        </w:rPr>
        <w:t xml:space="preserve">Estado: </w:t>
      </w:r>
      <w:r>
        <w:rPr>
          <w:b/>
          <w:color w:val="2E7D32"/>
        </w:rPr>
        <w:t>APROVADO (100% Fluência PT-PT)</w:t>
      </w:r>
    </w:p>
    <w:p>
      <w:r>
        <w:rPr>
          <w:b/>
        </w:rPr>
        <w:t xml:space="preserve">Análise: </w:t>
      </w:r>
      <w:r>
        <w:t>Linguagem altamente fluida e rigorosa. Excelente distinção concetual entre motilidade e mobilidade.</w:t>
      </w:r>
    </w:p>
    <w:p>
      <w:r>
        <w:rPr>
          <w:b/>
        </w:rPr>
        <w:t xml:space="preserve">Ação para o Designer: </w:t>
      </w:r>
      <w:r>
        <w:t>Nenhuma alteração gráfica ou textual necessária.</w:t>
      </w:r>
    </w:p>
    <w:p/>
    <w:p>
      <w:r>
        <w:rPr>
          <w:b/>
          <w:color w:val="1B365D"/>
          <w:sz w:val="28"/>
        </w:rPr>
        <w:t>3. Lista de Verificação Rápida para o Designer Gráfico</w:t>
      </w:r>
    </w:p>
    <w:p>
      <w:pPr>
        <w:pStyle w:val="ListBullet"/>
      </w:pPr>
      <w:r>
        <w:t>NCH 0 PT IMG 1.png — Manter original (Aprovado).</w:t>
      </w:r>
    </w:p>
    <w:p>
      <w:pPr>
        <w:pStyle w:val="ListBullet"/>
      </w:pPr>
      <w:r>
        <w:t>NCH 0 PT IMG 2.png — Corrigir "Neuro-vegetativo" -&gt; "Neurovegetativo" e "locor-regional" -&gt; "Locorregional" nos emblemas inferiores.</w:t>
      </w:r>
    </w:p>
    <w:p>
      <w:pPr>
        <w:pStyle w:val="ListBullet"/>
      </w:pPr>
      <w:r>
        <w:t>NCH 0 PT IMG 3.png — Corrigir gralha no rodapé: "reprodutbilidade" -&gt; "reprodutibilidade".</w:t>
      </w:r>
    </w:p>
    <w:p>
      <w:pPr>
        <w:pStyle w:val="ListBullet"/>
      </w:pPr>
      <w:r>
        <w:t>NCH 0 PT IMG 4.png — Manter original (Aprovado).</w:t>
      </w:r>
    </w:p>
    <w:p>
      <w:pPr>
        <w:pStyle w:val="ListBullet"/>
      </w:pPr>
      <w:r>
        <w:t>NCH 0 PT IMG 5.png — Manter original (Aprovado).</w:t>
      </w:r>
    </w:p>
    <w:p>
      <w:pPr>
        <w:pStyle w:val="ListBullet"/>
      </w:pPr>
      <w:r>
        <w:t>NCH 0 PT IMG 6.png — Manter original (Aprovado).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