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rPr>
        <w:t>Kapitel 2</w:t>
      </w:r>
    </w:p>
    <w:p>
      <w:pPr>
        <w:pStyle w:val="Heading1"/>
        <w:keepNext/>
        <w:spacing w:before="160" w:after="80"/>
      </w:pPr>
      <w:r>
        <w:rPr>
          <w:rFonts w:ascii="Arial" w:hAnsi="Arial" w:eastAsia="Arial"/>
        </w:rPr>
        <w:t>Behandlung durch okzipito-podale Reflexotherapie (ROP)</w:t>
      </w:r>
    </w:p>
    <w:p>
      <w:r>
        <w:rPr>
          <w:rFonts w:ascii="Arial" w:hAnsi="Arial" w:eastAsia="Arial"/>
        </w:rPr>
        <w:t>Im Folgenden werden mehrere Grundprinzipien dargestellt, die die Behandlung durch okzipito-podale Reflexotherapie (ROP) leiten.</w:t>
      </w:r>
    </w:p>
    <w:p>
      <w:pPr>
        <w:pStyle w:val="Heading1"/>
        <w:keepNext/>
        <w:spacing w:before="160" w:after="80"/>
      </w:pPr>
      <w:r>
        <w:rPr>
          <w:rFonts w:ascii="Arial" w:hAnsi="Arial" w:eastAsia="Arial"/>
        </w:rPr>
        <w:t>1. Technik</w:t>
      </w:r>
    </w:p>
    <w:p>
      <w:pPr>
        <w:pStyle w:val="Heading2"/>
        <w:keepNext/>
        <w:spacing w:before="80" w:after="80"/>
      </w:pPr>
      <w:r>
        <w:rPr>
          <w:rFonts w:ascii="Arial" w:hAnsi="Arial" w:eastAsia="Arial"/>
        </w:rPr>
        <w:t>Manuelle Technik</w:t>
      </w:r>
    </w:p>
    <w:p>
      <w:r>
        <w:rPr>
          <w:rFonts w:ascii="Arial" w:hAnsi="Arial" w:eastAsia="Arial"/>
        </w:rPr>
        <w:t>Die Technik ist ausschließlich manuell. Sie wird mit der Daumenkuppe oder mit dem proximalen Interphalangealgelenk des Zeigefingers durchgeführt, ohne Verwendung von Öl oder Creme.</w:t>
      </w:r>
    </w:p>
    <w:p>
      <w:pPr>
        <w:pStyle w:val="Heading2"/>
        <w:keepNext/>
        <w:spacing w:before="80" w:after="80"/>
      </w:pPr>
      <w:r>
        <w:rPr>
          <w:rFonts w:ascii="Arial" w:hAnsi="Arial" w:eastAsia="Arial"/>
        </w:rPr>
        <w:t>Druck</w:t>
      </w:r>
    </w:p>
    <w:p>
      <w:r>
        <w:rPr>
          <w:rFonts w:ascii="Arial" w:hAnsi="Arial" w:eastAsia="Arial"/>
        </w:rPr>
        <w:t>Der Druck wird auf die Reflexzonen ausgeübt, mit dem Ziel, die Mechanorezeptoren zu stimulieren, die in der epidermal-dermalen Schicht der okzipitalen und plantaren Zonen liegen. Siehe Réflexothérapie occipito-podale, Elsevier Masson, S. ...</w:t>
      </w:r>
    </w:p>
    <w:p>
      <w:r>
        <w:rPr>
          <w:rFonts w:ascii="Arial" w:hAnsi="Arial" w:eastAsia="Arial"/>
        </w:rPr>
        <w:t>Diese Mechanorezeptoren sind die folgenden:</w:t>
      </w:r>
    </w:p>
    <w:p>
      <w:pPr>
        <w:pStyle w:val="Heading3"/>
        <w:keepNext/>
        <w:spacing w:before="80" w:after="80"/>
      </w:pPr>
      <w:r>
        <w:rPr>
          <w:rFonts w:ascii="Arial" w:hAnsi="Arial" w:eastAsia="Arial"/>
        </w:rPr>
        <w:t>Meissner-Körperchen</w:t>
      </w:r>
    </w:p>
    <w:p>
      <w:r>
        <w:rPr>
          <w:rFonts w:ascii="Arial" w:hAnsi="Arial" w:eastAsia="Arial"/>
        </w:rPr>
        <w:t>Meissner-Körperchen sind in die dermalen Papillen eingebettet, also in die nach oben gerichteten Ausstülpungen der Dermis in die Epidermis. Sie reagieren auf feinen, nicht schmerzhaften Druck, der die epikritische Sensibilität anspricht.</w:t>
      </w:r>
    </w:p>
    <w:p>
      <w:r>
        <w:rPr>
          <w:rFonts w:ascii="Arial" w:hAnsi="Arial" w:eastAsia="Arial"/>
        </w:rPr>
        <w:t>Sie finden sich bevorzugt in unbehaarter Haut, insbesondere an den Fußsohlen, den Handflächen, den Lippen und den Genitalorganen.</w:t>
      </w:r>
    </w:p>
    <w:p>
      <w:pPr>
        <w:pStyle w:val="Heading3"/>
        <w:keepNext/>
        <w:spacing w:before="80" w:after="80"/>
      </w:pPr>
      <w:r>
        <w:rPr>
          <w:rFonts w:ascii="Arial" w:hAnsi="Arial" w:eastAsia="Arial"/>
        </w:rPr>
        <w:t>Merkel-Scheiben</w:t>
      </w:r>
    </w:p>
    <w:p>
      <w:r>
        <w:rPr>
          <w:rFonts w:ascii="Arial" w:hAnsi="Arial" w:eastAsia="Arial"/>
        </w:rPr>
        <w:t>Merkel-Scheiben liegen an der Basis der Epidermis, unmittelbar oberhalb der Dermis. Sie reagieren auf sanften, auf die Haut ausgeübten Druck.</w:t>
      </w:r>
    </w:p>
    <w:p>
      <w:r>
        <w:rPr>
          <w:rFonts w:ascii="Arial" w:hAnsi="Arial" w:eastAsia="Arial"/>
        </w:rPr>
        <w:t>Sobald der manuelle Druck die epidermal-dermale Schicht verformt - erkennbar an dem Gefühl einer „trommelartigen“ Hautspannung, die dem Finger entgegenwirkt -, erzeugen Meissner-Körperchen und Merkel-Scheiben Aktionspotenziale, die über die sensiblen Bahnen des lemniskalen Systems weitergeleitet werden.</w:t>
      </w:r>
    </w:p>
    <w:p>
      <w:pPr>
        <w:pStyle w:val="Heading2"/>
        <w:keepNext/>
        <w:spacing w:before="80" w:after="80"/>
      </w:pPr>
      <w:r>
        <w:rPr>
          <w:rFonts w:ascii="Arial" w:hAnsi="Arial" w:eastAsia="Arial"/>
        </w:rPr>
        <w:t>Das lemniskale System</w:t>
      </w:r>
    </w:p>
    <w:p>
      <w:r>
        <w:rPr>
          <w:rFonts w:ascii="Arial" w:hAnsi="Arial" w:eastAsia="Arial"/>
        </w:rPr>
        <w:t>Das lemniskale System ist ein Bündel afferenter Fasern des Rückenmarks. Es wird in unserer Technik aufgrund seiner Eigenschaften gezielt angesprochen:</w:t>
      </w:r>
    </w:p>
    <w:p>
      <w:pPr>
        <w:pStyle w:val="ListBullet"/>
      </w:pPr>
      <w:r>
        <w:rPr>
          <w:rFonts w:ascii="Arial" w:hAnsi="Arial" w:eastAsia="Arial"/>
        </w:rPr>
        <w:t>Es leitet feine, nicht schmerzhafte Berührungsempfindungen weiter;</w:t>
      </w:r>
    </w:p>
    <w:p>
      <w:pPr>
        <w:pStyle w:val="ListBullet"/>
      </w:pPr>
      <w:r>
        <w:rPr>
          <w:rFonts w:ascii="Arial" w:hAnsi="Arial" w:eastAsia="Arial"/>
        </w:rPr>
        <w:t>es gewährleistet eine schnelle und präzise Übertragung der von ihm getragenen Nervenimpulse;</w:t>
      </w:r>
    </w:p>
    <w:p>
      <w:pPr>
        <w:pStyle w:val="ListBullet"/>
      </w:pPr>
      <w:r>
        <w:rPr>
          <w:rFonts w:ascii="Arial" w:hAnsi="Arial" w:eastAsia="Arial"/>
        </w:rPr>
        <w:t>es besitzt im Gehirn eine ausgeprägte somatotopische Organisation;</w:t>
      </w:r>
    </w:p>
    <w:p>
      <w:pPr>
        <w:pStyle w:val="ListBullet"/>
      </w:pPr>
      <w:r>
        <w:rPr>
          <w:rFonts w:ascii="Arial" w:hAnsi="Arial" w:eastAsia="Arial"/>
        </w:rPr>
        <w:t>es hat eine analgetische Wirkung: Es moduliert Schmerzen, die über das extralemniskale System übertragen werden.</w:t>
      </w:r>
    </w:p>
    <w:p>
      <w:r>
        <w:rPr>
          <w:rFonts w:ascii="Arial" w:hAnsi="Arial" w:eastAsia="Arial"/>
        </w:rPr>
        <w:t>Diese analgetische Eigenschaft wird durch die Gate-Control-Theorie erklärt: Nervenimpulse, die über das lemniskale System laufen, erreichen das Hinterhorn des Rückenmarks schneller und tragen dazu bei, das Tor für langsamere Schmerzimpulse zu schließen.</w:t>
      </w:r>
    </w:p>
    <w:p>
      <w:pPr>
        <w:pStyle w:val="Heading2"/>
        <w:keepNext/>
        <w:spacing w:before="80" w:after="80"/>
      </w:pPr>
      <w:r>
        <w:rPr>
          <w:rFonts w:ascii="Arial" w:hAnsi="Arial" w:eastAsia="Arial"/>
        </w:rPr>
        <w:t>Bedeutung in der ROP</w:t>
      </w:r>
    </w:p>
    <w:p>
      <w:r>
        <w:rPr>
          <w:rFonts w:ascii="Arial" w:hAnsi="Arial" w:eastAsia="Arial"/>
        </w:rPr>
        <w:t>Kräftiger Druck und ein Zerreiben des Gewebes während der reflextherapeutischen Behandlung müssen vermieden werden. Je stärker man drückt, desto mehr spürt man die eigenen Finger, desto weniger nimmt man die knöchernen Orientierungspunkte wahr, die die Suche nach Reflexzonen leiten, und desto schwieriger wird es, diese Zonen zu lesen.</w:t>
      </w:r>
    </w:p>
    <w:p>
      <w:r>
        <w:rPr>
          <w:rFonts w:ascii="Arial" w:hAnsi="Arial" w:eastAsia="Arial"/>
        </w:rPr>
        <w:t>Das Ziel, eine gute Gewebequalität wiederherzustellen, spiegelt den Respekt wider, den wir dem Organismus entgegenbringen. Es geht nicht darum, den Organismus zu zwingen, sondern ihn sanft anzusprechen. Selbst eine gut durchgeführte Behandlung stellt einen Stressor dar - gewiss einen positiven -, der jedoch die Fähigkeit des Individuums zur Selbstkorrektur berücksichtigen muss.</w:t>
      </w:r>
    </w:p>
    <w:p>
      <w:pPr>
        <w:pStyle w:val="Heading2"/>
        <w:keepNext/>
        <w:spacing w:before="80" w:after="80"/>
      </w:pPr>
      <w:r>
        <w:rPr>
          <w:rFonts w:ascii="Arial" w:hAnsi="Arial" w:eastAsia="Arial"/>
        </w:rPr>
        <w:t>Die drei Phasen der manuellen Behandlung</w:t>
      </w:r>
    </w:p>
    <w:p>
      <w:pPr>
        <w:pStyle w:val="Heading3"/>
        <w:keepNext/>
        <w:spacing w:before="80" w:after="80"/>
      </w:pPr>
      <w:r>
        <w:rPr>
          <w:rFonts w:ascii="Arial" w:hAnsi="Arial" w:eastAsia="Arial"/>
        </w:rPr>
        <w:t>1. Texturdiagnostische Phase</w:t>
      </w:r>
    </w:p>
    <w:p>
      <w:r>
        <w:rPr>
          <w:rFonts w:ascii="Arial" w:hAnsi="Arial" w:eastAsia="Arial"/>
        </w:rPr>
        <w:t>Diese Phase besteht in der Suche nach Reflexzonen, die durch eine Veränderung der Textur der okzipitalen und plantaren Haut gekennzeichnet sind: Rauigkeit, Verdichtung, Verlust der Gleitfähigkeit oder das Gefühl von Kristallen.</w:t>
      </w:r>
    </w:p>
    <w:p>
      <w:r>
        <w:rPr>
          <w:rFonts w:ascii="Arial" w:hAnsi="Arial" w:eastAsia="Arial"/>
        </w:rPr>
        <w:t>Diese Befunde müssen die am Ende der klinischen Untersuchung gestellte Diagnose bestätigen.</w:t>
      </w:r>
    </w:p>
    <w:p>
      <w:pPr>
        <w:pStyle w:val="Heading3"/>
        <w:keepNext/>
        <w:spacing w:before="80" w:after="80"/>
      </w:pPr>
      <w:r>
        <w:rPr>
          <w:rFonts w:ascii="Arial" w:hAnsi="Arial" w:eastAsia="Arial"/>
        </w:rPr>
        <w:t>2. Therapeutische Phase</w:t>
      </w:r>
    </w:p>
    <w:p>
      <w:r>
        <w:rPr>
          <w:rFonts w:ascii="Arial" w:hAnsi="Arial" w:eastAsia="Arial"/>
        </w:rPr>
        <w:t>Der Druck ist fein und nicht schmerzhaft und zielt auf die epikritische Sensibilität; ein stechender Schmerz würde auf eine Überdosierung hinweisen.</w:t>
      </w:r>
    </w:p>
    <w:p>
      <w:r>
        <w:rPr>
          <w:rFonts w:ascii="Arial" w:hAnsi="Arial" w:eastAsia="Arial"/>
        </w:rPr>
        <w:t>Das manuelle Manöver besteht darin:</w:t>
      </w:r>
    </w:p>
    <w:p>
      <w:pPr>
        <w:pStyle w:val="ListBullet"/>
      </w:pPr>
      <w:r>
        <w:rPr>
          <w:rFonts w:ascii="Arial" w:hAnsi="Arial" w:eastAsia="Arial"/>
        </w:rPr>
        <w:t>die epidermal-dermale Schicht zu mobilisieren, um die Mechanorezeptoren zu stimulieren, die am Ursprung des lemniskalen Systems stehen;</w:t>
      </w:r>
    </w:p>
    <w:p>
      <w:pPr>
        <w:pStyle w:val="ListBullet"/>
      </w:pPr>
      <w:r>
        <w:rPr>
          <w:rFonts w:ascii="Arial" w:hAnsi="Arial" w:eastAsia="Arial"/>
        </w:rPr>
        <w:t>den höheren Nervenzentren, die an der Regulation dysfunktionaler Körperregionen beteiligt sind, einen korrigierenden sensorischen Input zu liefern.</w:t>
      </w:r>
    </w:p>
    <w:p>
      <w:pPr>
        <w:pStyle w:val="Heading3"/>
        <w:keepNext/>
        <w:spacing w:before="80" w:after="80"/>
      </w:pPr>
      <w:r>
        <w:rPr>
          <w:rFonts w:ascii="Arial" w:hAnsi="Arial" w:eastAsia="Arial"/>
        </w:rPr>
        <w:t>3. Die Phase des „Geschehenlassens“</w:t>
      </w:r>
    </w:p>
    <w:p>
      <w:r>
        <w:rPr>
          <w:rFonts w:ascii="Arial" w:hAnsi="Arial" w:eastAsia="Arial"/>
        </w:rPr>
        <w:t>Nach der Stimulation benötigt der Organismus Zeit, um neurovegetative (autonome), vaskuläre und gewebliche Anpassungen zu integrieren und zu stabilisieren.</w:t>
      </w:r>
    </w:p>
    <w:p>
      <w:r>
        <w:rPr>
          <w:rFonts w:ascii="Arial" w:hAnsi="Arial" w:eastAsia="Arial"/>
        </w:rPr>
        <w:t>Nicht die Stimulation der Reflexzonen selbst erzeugt den therapeutischen Effekt, sondern die Antwort des Organismus. Auf der Ebene der Reflexzonen äußert sich diese Antwort in einer Verbesserung der Hauttextur - mehr Geschmeidigkeit und Gleitfähigkeit - sowie in einer Verringerung der Sensibilität.</w:t>
      </w:r>
    </w:p>
    <w:p>
      <w:r>
        <w:rPr>
          <w:rFonts w:ascii="Arial" w:hAnsi="Arial" w:eastAsia="Arial"/>
        </w:rPr>
        <w:t>Diese Latenzzeit von wenigen Sekunden ist die Zeit, die der Organismus benötigt, um die therapeutische Reflexschleife einzuleiten, die für die Dekonstruktion der an der Dysfunktion beteiligten pathologischen Reflexschleife verantwortlich ist.</w:t>
      </w:r>
    </w:p>
    <w:p>
      <w:r>
        <w:rPr>
          <w:rFonts w:ascii="Arial" w:hAnsi="Arial" w:eastAsia="Arial"/>
        </w:rPr>
        <w:t>Die Fähigkeit und Qualität der Antwort des Organismus hängen von seiner Vitalität und seinen adaptiv-kompensatorischen Kapazitäten ab, in Beziehung zu der Phase des allgemeinen Anpassungssyndroms, in der sich die Erkrankung entwickelt: Alarm, Anpassung, Widerstand oder Erschöpfung. Siehe Kapitel 5, Stressmechanismus, S. ...</w:t>
      </w:r>
    </w:p>
    <w:p>
      <w:pPr>
        <w:pStyle w:val="Heading1"/>
        <w:keepNext/>
        <w:spacing w:before="160" w:after="80"/>
      </w:pPr>
      <w:r>
        <w:rPr>
          <w:rFonts w:ascii="Arial" w:hAnsi="Arial" w:eastAsia="Arial"/>
        </w:rPr>
        <w:t>2. Behandlungsmodalitäten</w:t>
      </w:r>
    </w:p>
    <w:p>
      <w:pPr>
        <w:pStyle w:val="Heading2"/>
        <w:keepNext/>
        <w:spacing w:before="80" w:after="80"/>
      </w:pPr>
      <w:r>
        <w:rPr>
          <w:rFonts w:ascii="Arial" w:hAnsi="Arial" w:eastAsia="Arial"/>
        </w:rPr>
        <w:t>Dauer</w:t>
      </w:r>
    </w:p>
    <w:p>
      <w:r>
        <w:rPr>
          <w:rFonts w:ascii="Arial" w:hAnsi="Arial" w:eastAsia="Arial"/>
        </w:rPr>
        <w:t>Die Wirksamkeit der Behandlung steht nicht in Zusammenhang mit der Dauer der Sitzung.</w:t>
      </w:r>
    </w:p>
    <w:p>
      <w:pPr>
        <w:pStyle w:val="Heading2"/>
        <w:keepNext/>
        <w:spacing w:before="80" w:after="80"/>
      </w:pPr>
      <w:r>
        <w:rPr>
          <w:rFonts w:ascii="Arial" w:hAnsi="Arial" w:eastAsia="Arial"/>
        </w:rPr>
        <w:t>Frequenz</w:t>
      </w:r>
    </w:p>
    <w:p>
      <w:r>
        <w:rPr>
          <w:rFonts w:ascii="Arial" w:hAnsi="Arial" w:eastAsia="Arial"/>
        </w:rPr>
        <w:t>Ein Intervall von drei Wochen zwischen den Sitzungen ist die Zeit, die der Organismus benötigt, um die Behandlung zu integrieren.</w:t>
      </w:r>
    </w:p>
    <w:p>
      <w:r>
        <w:rPr>
          <w:rFonts w:ascii="Arial" w:hAnsi="Arial" w:eastAsia="Arial"/>
        </w:rPr>
        <w:t>Zu eng aufeinanderfolgende Behandlungen lassen den neurovaskulären und strukturellen Prozessen, die an funktionellen Störungen beteiligt sind, nicht genügend Zeit, die physiologische Regulation der dysfunktionalen Viszera und Strukturen zu unterstützen.</w:t>
      </w:r>
    </w:p>
    <w:p>
      <w:r>
        <w:rPr>
          <w:rFonts w:ascii="Arial" w:hAnsi="Arial" w:eastAsia="Arial"/>
        </w:rPr>
        <w:t>Bei den meisten Indikationen - siehe Indikationen, S. ... - reichen drei Sitzungen aus, um eine zufriedenstellende Verbesserung zu erzielen, mit der Möglichkeit, den Patienten bei Bedarf sechs Monate später erneut zu sehen.</w:t>
      </w:r>
    </w:p>
    <w:p>
      <w:r>
        <w:rPr>
          <w:rFonts w:ascii="Arial" w:hAnsi="Arial" w:eastAsia="Arial"/>
        </w:rPr>
        <w:t>Wenn nach drei Sitzungen keine signifikante Verbesserung beobachtet wird, sollte die Diagnose neu überdacht und der Patient gegebenenfalls wieder an seinen Arzt verwiesen werden.</w:t>
      </w:r>
    </w:p>
    <w:p>
      <w:r>
        <w:rPr>
          <w:rFonts w:ascii="Arial" w:hAnsi="Arial" w:eastAsia="Arial"/>
        </w:rPr>
        <w:t>Chronische Beschwerden erfordern eine regelmäßigere Nachsorge.</w:t>
      </w:r>
    </w:p>
    <w:p>
      <w:pPr>
        <w:pStyle w:val="Heading1"/>
        <w:keepNext/>
        <w:spacing w:before="160" w:after="80"/>
      </w:pPr>
      <w:r>
        <w:rPr>
          <w:rFonts w:ascii="Arial" w:hAnsi="Arial" w:eastAsia="Arial"/>
        </w:rPr>
        <w:t>3. Behandlungshierarchie</w:t>
      </w:r>
    </w:p>
    <w:p>
      <w:r>
        <w:rPr>
          <w:rFonts w:ascii="Arial" w:hAnsi="Arial" w:eastAsia="Arial"/>
        </w:rPr>
        <w:t>Es gibt kein unveränderliches Protokoll: Ein solches Protokoll würde dem ganzheitlichen Konzept widersprechen. Es sind die Tests, die die Priorität bestimmen.</w:t>
      </w:r>
    </w:p>
    <w:p>
      <w:r>
        <w:rPr>
          <w:rFonts w:ascii="Arial" w:hAnsi="Arial" w:eastAsia="Arial"/>
        </w:rPr>
        <w:t>Dennoch können allgemeine Behandlungsleitlinien vorgeschlagen werden; sie dürfen jedoch nicht dazu verwendet werden, den Patienten in ein starres, von der klinischen Realität abgekoppeltes Protokoll einzuschließen.</w:t>
      </w:r>
    </w:p>
    <w:p>
      <w:pPr>
        <w:pStyle w:val="Heading2"/>
        <w:keepNext/>
        <w:spacing w:before="80" w:after="80"/>
      </w:pPr>
      <w:r>
        <w:rPr>
          <w:rFonts w:ascii="Arial" w:hAnsi="Arial" w:eastAsia="Arial"/>
        </w:rPr>
        <w:t>1. Folgen von Trauma, Operation oder Infektion</w:t>
      </w:r>
    </w:p>
    <w:p>
      <w:r>
        <w:rPr>
          <w:rFonts w:ascii="Arial" w:hAnsi="Arial" w:eastAsia="Arial"/>
        </w:rPr>
        <w:t>Symptome, die der Patient spontan berichtet und die nach einem Trauma, einer Operation oder einer Infektion auftreten, stimmen im Allgemeinen mit der klinischen Untersuchung überein. Diese Symptome behalten ihre Priorität.</w:t>
      </w:r>
    </w:p>
    <w:p>
      <w:pPr>
        <w:pStyle w:val="Heading2"/>
        <w:keepNext/>
        <w:spacing w:before="80" w:after="80"/>
      </w:pPr>
      <w:r>
        <w:rPr>
          <w:rFonts w:ascii="Arial" w:hAnsi="Arial" w:eastAsia="Arial"/>
        </w:rPr>
        <w:t>2. Anamnese und globale/lokale Listening-Tests</w:t>
      </w:r>
    </w:p>
    <w:p>
      <w:r>
        <w:rPr>
          <w:rFonts w:ascii="Arial" w:hAnsi="Arial" w:eastAsia="Arial"/>
        </w:rPr>
        <w:t>Wenn kein spontan berichtetes Trauma, keine Operationsanamnese und keine Infektion vorliegen, sind es die Anamnese, die klinische Untersuchung sowie die globalen und lokalen Listening-Tests, die uns zur dominanten Fixation führen.</w:t>
      </w:r>
    </w:p>
    <w:p>
      <w:r>
        <w:rPr>
          <w:rFonts w:ascii="Arial" w:hAnsi="Arial" w:eastAsia="Arial"/>
        </w:rPr>
        <w:t>Durch Mechanismen der Adaptation-Kompensation und anschließend der Dekompensation kann diese Fixation zu Symptomen geführt haben, die mitunter weit von der Fixation selbst entfernt lokalisiert sind.</w:t>
      </w:r>
    </w:p>
    <w:p>
      <w:pPr>
        <w:pStyle w:val="Heading2"/>
        <w:keepNext/>
        <w:spacing w:before="80" w:after="80"/>
      </w:pPr>
      <w:r>
        <w:rPr>
          <w:rFonts w:ascii="Arial" w:hAnsi="Arial" w:eastAsia="Arial"/>
        </w:rPr>
        <w:t>3. Emotionales Listening</w:t>
      </w:r>
    </w:p>
    <w:p>
      <w:r>
        <w:rPr>
          <w:rFonts w:ascii="Arial" w:hAnsi="Arial" w:eastAsia="Arial"/>
        </w:rPr>
        <w:t>Es kann notwendig sein, nach alten körperlichen oder psycho-emotionalen Traumata zu suchen, die vergessen, in bestimmten Schichten des Unbewussten verdrängt oder sogar bewusst unterdrückt wurden.</w:t>
      </w:r>
    </w:p>
    <w:p>
      <w:r>
        <w:rPr>
          <w:rFonts w:ascii="Arial" w:hAnsi="Arial" w:eastAsia="Arial"/>
        </w:rPr>
        <w:t>Gewebliches Listening, gefolgt von emotionalem Listening, kann helfen, bedeutsame - und insbesondere negative - Ereignisse aufzudecken, die in Amygdala und Hippocampus des limbischen Systems kodiert sind. Siehe Kapitel 3, Zentrales Nervensystem, S. ...</w:t>
      </w:r>
    </w:p>
    <w:p>
      <w:pPr>
        <w:pStyle w:val="Heading2"/>
        <w:keepNext/>
        <w:spacing w:before="80" w:after="80"/>
      </w:pPr>
      <w:r>
        <w:rPr>
          <w:rFonts w:ascii="Arial" w:hAnsi="Arial" w:eastAsia="Arial"/>
        </w:rPr>
        <w:t>4. Stressmechanismus</w:t>
      </w:r>
    </w:p>
    <w:p>
      <w:r>
        <w:rPr>
          <w:rFonts w:ascii="Arial" w:hAnsi="Arial" w:eastAsia="Arial"/>
        </w:rPr>
        <w:t>Eine lokale Gewebefixation - oder ein lokoregionales Syndrom - muss immer in ihren allgemeinen Kontext gestellt werden, nämlich in das allgemeine Anpassungssyndrom, das letztlich die Geschichte des Individuums widerspiegelt. Siehe Kapitel 5, Stressmechanismus, S. ...</w:t>
      </w:r>
    </w:p>
    <w:p>
      <w:pPr>
        <w:pStyle w:val="Heading1"/>
        <w:keepNext/>
        <w:spacing w:before="160" w:after="80"/>
      </w:pPr>
      <w:r>
        <w:rPr>
          <w:rFonts w:ascii="Arial" w:hAnsi="Arial" w:eastAsia="Arial"/>
        </w:rPr>
        <w:t>4. Okzipitale und plantare Reflexzonen</w:t>
      </w:r>
    </w:p>
    <w:p>
      <w:pPr>
        <w:pStyle w:val="Heading2"/>
        <w:keepNext/>
        <w:spacing w:before="80" w:after="80"/>
      </w:pPr>
      <w:r>
        <w:rPr>
          <w:rFonts w:ascii="Arial" w:hAnsi="Arial" w:eastAsia="Arial"/>
        </w:rPr>
        <w:t>1. Okzipitale Reflexzonen</w:t>
      </w:r>
    </w:p>
    <w:p>
      <w:r>
        <w:rPr>
          <w:rFonts w:ascii="Arial" w:hAnsi="Arial" w:eastAsia="Arial"/>
        </w:rPr>
        <w:t>Siehe Abbildung 3.6.</w:t>
      </w:r>
    </w:p>
    <w:p>
      <w:pPr>
        <w:pStyle w:val="Heading2"/>
        <w:keepNext/>
        <w:spacing w:before="80" w:after="80"/>
      </w:pPr>
      <w:r>
        <w:rPr>
          <w:rFonts w:ascii="Arial" w:hAnsi="Arial" w:eastAsia="Arial"/>
        </w:rPr>
        <w:t>2. Allgemeines Anpassungssyndrom</w:t>
      </w:r>
    </w:p>
    <w:p>
      <w:r>
        <w:rPr>
          <w:rFonts w:ascii="Arial" w:hAnsi="Arial" w:eastAsia="Arial"/>
        </w:rPr>
        <w:t>Ziel ist es, die neurovegetative Regulation und die allgemeine Anpassung zu unterstützen, bevor die lokale Dysfunktion behandelt wird.</w:t>
      </w:r>
    </w:p>
    <w:p>
      <w:pPr>
        <w:pStyle w:val="ListBullet"/>
      </w:pPr>
      <w:r>
        <w:rPr>
          <w:rFonts w:ascii="Arial" w:hAnsi="Arial" w:eastAsia="Arial"/>
        </w:rPr>
        <w:t>PRM: Okziput-C1-C2, Nervus trigeminus V, Nervus vagus X und Nervus hypoglossus XII, Falx cerebri und Tentorium cerebelli, zweiter Sakralwirbel S2, Schädelbasis und Schädelgewölbe. Siehe Abbildung 4.3.</w:t>
      </w:r>
    </w:p>
    <w:p>
      <w:pPr>
        <w:pStyle w:val="ListBullet"/>
      </w:pPr>
      <w:r>
        <w:rPr>
          <w:rFonts w:ascii="Arial" w:hAnsi="Arial" w:eastAsia="Arial"/>
        </w:rPr>
        <w:t>Zirkulation des Liquor cerebrospinalis: Venensystem - Foramen jugulare, tiefe Atmung - Kompression des vierten Ventrikels, siehe Abbildung 3.18, und Synchronisation SSB-S2, siehe Abbildung 3.19. Siehe Réflexothérapie occipito-podale et système neuro-méningé, Elsevier Masson, S. 96-97.</w:t>
      </w:r>
    </w:p>
    <w:p>
      <w:pPr>
        <w:pStyle w:val="ListBullet"/>
      </w:pPr>
      <w:r>
        <w:rPr>
          <w:rFonts w:ascii="Arial" w:hAnsi="Arial" w:eastAsia="Arial"/>
        </w:rPr>
        <w:t>Diencephalon, Hirnstamm, Hypophyse. Siehe Abbildungen 3.7 und 3.8.</w:t>
      </w:r>
    </w:p>
    <w:p>
      <w:pPr>
        <w:pStyle w:val="ListBullet"/>
      </w:pPr>
      <w:r>
        <w:rPr>
          <w:rFonts w:ascii="Arial" w:hAnsi="Arial" w:eastAsia="Arial"/>
        </w:rPr>
        <w:t>Nervus vagus - Viszera des zerviko-thorako-abdominalen Territoriums: Foramen magnum, Foramen jugulare, Karotissinus, siehe Abbildung 4.11, und Hiatus oesophageus, siehe Abbildung 4.17.</w:t>
      </w:r>
    </w:p>
    <w:p>
      <w:pPr>
        <w:pStyle w:val="ListBullet"/>
      </w:pPr>
      <w:r>
        <w:rPr>
          <w:rFonts w:ascii="Arial" w:hAnsi="Arial" w:eastAsia="Arial"/>
        </w:rPr>
        <w:t>Pelvines parasympathisches System - Beckenviszera und distaler Teil des Kolons. Siehe Abbildung 4.23.</w:t>
      </w:r>
    </w:p>
    <w:p>
      <w:pPr>
        <w:pStyle w:val="ListBullet"/>
      </w:pPr>
      <w:r>
        <w:rPr>
          <w:rFonts w:ascii="Arial" w:hAnsi="Arial" w:eastAsia="Arial"/>
        </w:rPr>
        <w:t>Wirbelsäule, kostotransversale Gelenke, sympathische Innervation - thorakale paravertebrale Ganglienkette. Siehe Abbildungen 4.23 und 4.32.</w:t>
      </w:r>
    </w:p>
    <w:p>
      <w:pPr>
        <w:pStyle w:val="ListBullet"/>
      </w:pPr>
      <w:r>
        <w:rPr>
          <w:rFonts w:ascii="Arial" w:hAnsi="Arial" w:eastAsia="Arial"/>
        </w:rPr>
        <w:t>Prävertebraler Plexus. Siehe Abbildungen 4.17 und 4.22.</w:t>
      </w:r>
    </w:p>
    <w:p>
      <w:pPr>
        <w:pStyle w:val="Heading2"/>
        <w:keepNext/>
        <w:spacing w:before="80" w:after="80"/>
      </w:pPr>
      <w:r>
        <w:rPr>
          <w:rFonts w:ascii="Arial" w:hAnsi="Arial" w:eastAsia="Arial"/>
        </w:rPr>
        <w:t>3. Lokoregionales Syndrom</w:t>
      </w:r>
    </w:p>
    <w:p>
      <w:r>
        <w:rPr>
          <w:rFonts w:ascii="Arial" w:hAnsi="Arial" w:eastAsia="Arial"/>
        </w:rPr>
        <w:t>Ziel ist es, die mechanischen und neurovegetativen Schleifen zu behandeln, die mit der symptomatischen Region verbunden sind.</w:t>
      </w:r>
    </w:p>
    <w:p>
      <w:pPr>
        <w:pStyle w:val="ListBullet"/>
      </w:pPr>
      <w:r>
        <w:rPr>
          <w:rFonts w:ascii="Arial" w:hAnsi="Arial" w:eastAsia="Arial"/>
        </w:rPr>
        <w:t>Plexus und Nerven des somatischen Nervensystems - viszerosomatische Beziehungen;</w:t>
      </w:r>
    </w:p>
    <w:p>
      <w:pPr>
        <w:pStyle w:val="ListBullet"/>
      </w:pPr>
      <w:r>
        <w:rPr>
          <w:rFonts w:ascii="Arial" w:hAnsi="Arial" w:eastAsia="Arial"/>
        </w:rPr>
        <w:t>viszerales System;</w:t>
      </w:r>
    </w:p>
    <w:p>
      <w:pPr>
        <w:pStyle w:val="ListBullet"/>
      </w:pPr>
      <w:r>
        <w:rPr>
          <w:rFonts w:ascii="Arial" w:hAnsi="Arial" w:eastAsia="Arial"/>
        </w:rPr>
        <w:t>Abdominal- oder Beckenhöhle, je nach betroffenem viszeralem System.</w:t>
      </w:r>
    </w:p>
    <w:p>
      <w:pPr>
        <w:pStyle w:val="Heading2"/>
        <w:keepNext/>
        <w:spacing w:before="80" w:after="80"/>
      </w:pPr>
      <w:r>
        <w:rPr>
          <w:rFonts w:ascii="Arial" w:hAnsi="Arial" w:eastAsia="Arial"/>
        </w:rPr>
        <w:t>4. Limbisches System</w:t>
      </w:r>
    </w:p>
    <w:p>
      <w:r>
        <w:rPr>
          <w:rFonts w:ascii="Arial" w:hAnsi="Arial" w:eastAsia="Arial"/>
        </w:rPr>
        <w:t>Ziel ist es, die Dimensionen von Stress, Emotion und Körpergedächtnis zu integrieren, die neurovegetative und gewebliche Schleifen aufrechterhalten können.</w:t>
      </w:r>
    </w:p>
    <w:p>
      <w:pPr>
        <w:pStyle w:val="ListBullet"/>
      </w:pPr>
      <w:r>
        <w:rPr>
          <w:rFonts w:ascii="Arial" w:hAnsi="Arial" w:eastAsia="Arial"/>
        </w:rPr>
        <w:t>Amygdala, Hippocampus, Insula;</w:t>
      </w:r>
    </w:p>
    <w:p>
      <w:pPr>
        <w:pStyle w:val="ListBullet"/>
      </w:pPr>
      <w:r>
        <w:rPr>
          <w:rFonts w:ascii="Arial" w:hAnsi="Arial" w:eastAsia="Arial"/>
        </w:rPr>
        <w:t>Gleichgewicht zwischen limbischem Gehirn und dysfunktionalem Viszerum: Listening-Induktion, wobei ein Daumen auf dem dominanten dysfunktionalen Viszerum und der andere Daumen auf dem Bereich des limbischen Gehirns platziert wird. Siehe Abbildung 1.12.</w:t>
      </w:r>
    </w:p>
    <w:p>
      <w:pPr>
        <w:pStyle w:val="Heading1"/>
        <w:keepNext/>
        <w:spacing w:before="160" w:after="80"/>
      </w:pPr>
      <w:r>
        <w:rPr>
          <w:rFonts w:ascii="Arial" w:hAnsi="Arial" w:eastAsia="Arial"/>
        </w:rPr>
        <w:t>5. Beispiel</w:t>
      </w:r>
    </w:p>
    <w:p>
      <w:pPr>
        <w:pStyle w:val="Heading2"/>
        <w:keepNext/>
        <w:spacing w:before="80" w:after="80"/>
      </w:pPr>
      <w:r>
        <w:rPr>
          <w:rFonts w:ascii="Arial" w:hAnsi="Arial" w:eastAsia="Arial"/>
        </w:rPr>
        <w:t>Linksseitige Lumbosciatalgie einige Monate nach der Geburt bei Frau X, Anfang dreißig</w:t>
      </w:r>
    </w:p>
    <w:p>
      <w:pPr>
        <w:pStyle w:val="Heading3"/>
        <w:keepNext/>
        <w:spacing w:before="80" w:after="80"/>
      </w:pPr>
      <w:r>
        <w:rPr>
          <w:rFonts w:ascii="Arial" w:hAnsi="Arial" w:eastAsia="Arial"/>
        </w:rPr>
        <w:t>Anamnese</w:t>
      </w:r>
    </w:p>
    <w:p>
      <w:pPr>
        <w:pStyle w:val="ListBullet"/>
      </w:pPr>
      <w:r>
        <w:rPr>
          <w:rFonts w:ascii="Arial" w:hAnsi="Arial" w:eastAsia="Arial"/>
        </w:rPr>
        <w:t>Keine bekannte Traumaanamnese;</w:t>
      </w:r>
    </w:p>
    <w:p>
      <w:pPr>
        <w:pStyle w:val="ListBullet"/>
      </w:pPr>
      <w:r>
        <w:rPr>
          <w:rFonts w:ascii="Arial" w:hAnsi="Arial" w:eastAsia="Arial"/>
        </w:rPr>
        <w:t>die lumbosciatalgischen Schmerzen verstärken sich während der Menstruation;</w:t>
      </w:r>
    </w:p>
    <w:p>
      <w:pPr>
        <w:pStyle w:val="ListBullet"/>
      </w:pPr>
      <w:r>
        <w:rPr>
          <w:rFonts w:ascii="Arial" w:hAnsi="Arial" w:eastAsia="Arial"/>
        </w:rPr>
        <w:t>eine Belastungsinkontinenz wird im Rahmen der Anamnese erhoben;</w:t>
      </w:r>
    </w:p>
    <w:p>
      <w:pPr>
        <w:pStyle w:val="ListBullet"/>
      </w:pPr>
      <w:r>
        <w:rPr>
          <w:rFonts w:ascii="Arial" w:hAnsi="Arial" w:eastAsia="Arial"/>
        </w:rPr>
        <w:t>die Geburt war lang - Erstgebärende;</w:t>
      </w:r>
    </w:p>
    <w:p>
      <w:pPr>
        <w:pStyle w:val="ListBullet"/>
      </w:pPr>
      <w:r>
        <w:rPr>
          <w:rFonts w:ascii="Arial" w:hAnsi="Arial" w:eastAsia="Arial"/>
        </w:rPr>
        <w:t>die gynäkologische Untersuchung ist unauffällig. Die Röntgenaufnahme zeigt eine leichte Verschmälerung auf Höhe L5-S1 ohne Verlagerung der Nervenwurzel S1;</w:t>
      </w:r>
    </w:p>
    <w:p>
      <w:pPr>
        <w:pStyle w:val="ListBullet"/>
      </w:pPr>
      <w:r>
        <w:rPr>
          <w:rFonts w:ascii="Arial" w:hAnsi="Arial" w:eastAsia="Arial"/>
        </w:rPr>
        <w:t>der Schmerz belastet sie emotional, da sie selbstständig ist und ihre Arbeit rasch wieder aufnehmen möchte.</w:t>
      </w:r>
    </w:p>
    <w:p>
      <w:pPr>
        <w:pStyle w:val="Heading3"/>
        <w:keepNext/>
        <w:spacing w:before="80" w:after="80"/>
      </w:pPr>
      <w:r>
        <w:rPr>
          <w:rFonts w:ascii="Arial" w:hAnsi="Arial" w:eastAsia="Arial"/>
        </w:rPr>
        <w:t>Tests</w:t>
      </w:r>
    </w:p>
    <w:p>
      <w:pPr>
        <w:pStyle w:val="ListBullet"/>
      </w:pPr>
      <w:r>
        <w:rPr>
          <w:rFonts w:ascii="Arial" w:hAnsi="Arial" w:eastAsia="Arial"/>
        </w:rPr>
        <w:t>Globale Listening-Tests im Stehen und Sitzen zeigen eine vordere Flexion des Rumpfes und eine tiefe linksseitige Lateralflexion.</w:t>
      </w:r>
    </w:p>
    <w:p>
      <w:pPr>
        <w:pStyle w:val="ListBullet"/>
      </w:pPr>
      <w:r>
        <w:rPr>
          <w:rFonts w:ascii="Arial" w:hAnsi="Arial" w:eastAsia="Arial"/>
        </w:rPr>
        <w:t>Wirbeltests zeigen einen leichten Verlust der linksseitigen Mobilität auf den Wirbeletagen L2-L3 und L5-S1 sowie eine linksseitige Fixation des Iliosakralgelenks und des Steißbeins.</w:t>
      </w:r>
    </w:p>
    <w:p>
      <w:pPr>
        <w:pStyle w:val="ListBullet"/>
      </w:pPr>
      <w:r>
        <w:rPr>
          <w:rFonts w:ascii="Arial" w:hAnsi="Arial" w:eastAsia="Arial"/>
        </w:rPr>
        <w:t>Lokale Listening-Tests in Rückenlage zeigen eine Verbesserung des komplettierten Lasègue-Tests, wenn die auf der Symphysis pubica platzierte Listening-Hand leicht nach links und in die Tiefe in Richtung der zerviko-isthmischen Region des Uterus geführt wird.</w:t>
      </w:r>
    </w:p>
    <w:p>
      <w:pPr>
        <w:pStyle w:val="ListBullet"/>
      </w:pPr>
      <w:r>
        <w:rPr>
          <w:rFonts w:ascii="Arial" w:hAnsi="Arial" w:eastAsia="Arial"/>
        </w:rPr>
        <w:t>In linker Seitenlage nehmen die Finger des Therapeuten, die in der unteren Bauchregion platziert sind, einen Widerstand gegen die uterine Mobilität wahr.</w:t>
      </w:r>
    </w:p>
    <w:p>
      <w:pPr>
        <w:pStyle w:val="ListBullet"/>
      </w:pPr>
      <w:r>
        <w:rPr>
          <w:rFonts w:ascii="Arial" w:hAnsi="Arial" w:eastAsia="Arial"/>
        </w:rPr>
        <w:t>Der Test der linken Hüfte zeigt einen Verlust der Innenrotation.</w:t>
      </w:r>
    </w:p>
    <w:p>
      <w:pPr>
        <w:pStyle w:val="Heading2"/>
        <w:keepNext/>
        <w:spacing w:before="80" w:after="80"/>
      </w:pPr>
      <w:r>
        <w:rPr>
          <w:rFonts w:ascii="Arial" w:hAnsi="Arial" w:eastAsia="Arial"/>
        </w:rPr>
        <w:t>Anatomophysiopathologischer Mechanismus</w:t>
      </w:r>
    </w:p>
    <w:p>
      <w:pPr>
        <w:pStyle w:val="Heading3"/>
        <w:keepNext/>
        <w:spacing w:before="80" w:after="80"/>
      </w:pPr>
      <w:r>
        <w:rPr>
          <w:rFonts w:ascii="Arial" w:hAnsi="Arial" w:eastAsia="Arial"/>
        </w:rPr>
        <w:t>Lokoregionales Syndrom</w:t>
      </w:r>
    </w:p>
    <w:p>
      <w:r>
        <w:rPr>
          <w:rFonts w:ascii="Arial" w:hAnsi="Arial" w:eastAsia="Arial"/>
        </w:rPr>
        <w:t>Innerhalb des ROP-Modells steht die linksseitige Ischialgie in Beziehung zu einer Fehlposition des Uterus, der durch Spannung im linken Ligamentum uterosacrale nach links abweicht.</w:t>
      </w:r>
    </w:p>
    <w:p>
      <w:r>
        <w:rPr>
          <w:rFonts w:ascii="Arial" w:hAnsi="Arial" w:eastAsia="Arial"/>
        </w:rPr>
        <w:t>Als Folge bestehen:</w:t>
      </w:r>
    </w:p>
    <w:p>
      <w:pPr>
        <w:pStyle w:val="ListBullet"/>
      </w:pPr>
      <w:r>
        <w:rPr>
          <w:rFonts w:ascii="Arial" w:hAnsi="Arial" w:eastAsia="Arial"/>
        </w:rPr>
        <w:t>partielle Fixation des linken Iliosakralgelenks;</w:t>
      </w:r>
    </w:p>
    <w:p>
      <w:pPr>
        <w:pStyle w:val="ListBullet"/>
      </w:pPr>
      <w:r>
        <w:rPr>
          <w:rFonts w:ascii="Arial" w:hAnsi="Arial" w:eastAsia="Arial"/>
        </w:rPr>
        <w:t>Fibrose des linken Musculus piriformis, die den Nervus ischiadicus beeinträchtigt;</w:t>
      </w:r>
    </w:p>
    <w:p>
      <w:pPr>
        <w:pStyle w:val="ListBullet"/>
      </w:pPr>
      <w:r>
        <w:rPr>
          <w:rFonts w:ascii="Arial" w:hAnsi="Arial" w:eastAsia="Arial"/>
        </w:rPr>
        <w:t>Deviation des Uterus, die auch Blase und Sakrum mitzieht;</w:t>
      </w:r>
    </w:p>
    <w:p>
      <w:pPr>
        <w:pStyle w:val="ListBullet"/>
      </w:pPr>
      <w:r>
        <w:rPr>
          <w:rFonts w:ascii="Arial" w:hAnsi="Arial" w:eastAsia="Arial"/>
        </w:rPr>
        <w:t>sakrokokzygeale Fixation, die zu einem Verlust von Elastizität und Kontraktilität des Beckenbodens führt.</w:t>
      </w:r>
    </w:p>
    <w:p>
      <w:pPr>
        <w:pStyle w:val="Heading3"/>
        <w:keepNext/>
        <w:spacing w:before="80" w:after="80"/>
      </w:pPr>
      <w:r>
        <w:rPr>
          <w:rFonts w:ascii="Arial" w:hAnsi="Arial" w:eastAsia="Arial"/>
        </w:rPr>
        <w:t>Allgemeines Syndrom</w:t>
      </w:r>
    </w:p>
    <w:p>
      <w:pPr>
        <w:pStyle w:val="ListBullet"/>
      </w:pPr>
      <w:r>
        <w:rPr>
          <w:rFonts w:ascii="Arial" w:hAnsi="Arial" w:eastAsia="Arial"/>
        </w:rPr>
        <w:t>Der Menstruationszyklus steht unter hormoneller und neurovegetativer Kontrolle diencephaler Zentren.</w:t>
      </w:r>
    </w:p>
    <w:p>
      <w:pPr>
        <w:pStyle w:val="ListBullet"/>
      </w:pPr>
      <w:r>
        <w:rPr>
          <w:rFonts w:ascii="Arial" w:hAnsi="Arial" w:eastAsia="Arial"/>
        </w:rPr>
        <w:t>Die sakrokokzygeale Fixation setzt die spinale Dura mater unter Spannung und über diese den primären Respirationsmechanismus - PRM.</w:t>
      </w:r>
    </w:p>
    <w:p>
      <w:pPr>
        <w:pStyle w:val="ListBullet"/>
      </w:pPr>
      <w:r>
        <w:rPr>
          <w:rFonts w:ascii="Arial" w:hAnsi="Arial" w:eastAsia="Arial"/>
        </w:rPr>
        <w:t>Das Portalsystem drainiert venöses Blut aus dem Becken. Jede hepatische Fixation verlangsamt den venösen Rückfluss aus dem kleinen Becken.</w:t>
      </w:r>
    </w:p>
    <w:p>
      <w:pPr>
        <w:pStyle w:val="ListBullet"/>
      </w:pPr>
      <w:r>
        <w:rPr>
          <w:rFonts w:ascii="Arial" w:hAnsi="Arial" w:eastAsia="Arial"/>
        </w:rPr>
        <w:t>Auch die linke Niere trägt zum venösen Rückfluss aus dem kleinen Becken bei.</w:t>
      </w:r>
    </w:p>
    <w:p>
      <w:pPr>
        <w:pStyle w:val="ListBullet"/>
      </w:pPr>
      <w:r>
        <w:rPr>
          <w:rFonts w:ascii="Arial" w:hAnsi="Arial" w:eastAsia="Arial"/>
        </w:rPr>
        <w:t>In ihrem neuen Leben als Mutter wird ihr limbisches System durch Angst, durch die Ischialgie und durch die durch die Mutterschaft gestörte Rückkehr in die berufliche Tätigkeit aktiviert.</w:t>
      </w:r>
    </w:p>
    <w:p>
      <w:pPr>
        <w:pStyle w:val="Heading2"/>
        <w:keepNext/>
        <w:spacing w:before="80" w:after="80"/>
      </w:pPr>
      <w:r>
        <w:rPr>
          <w:rFonts w:ascii="Arial" w:hAnsi="Arial" w:eastAsia="Arial"/>
        </w:rPr>
        <w:t>ROP-Behandlung</w:t>
      </w:r>
    </w:p>
    <w:p>
      <w:pPr>
        <w:pStyle w:val="Heading3"/>
        <w:keepNext/>
        <w:spacing w:before="80" w:after="80"/>
      </w:pPr>
      <w:r>
        <w:rPr>
          <w:rFonts w:ascii="Arial" w:hAnsi="Arial" w:eastAsia="Arial"/>
        </w:rPr>
        <w:t>1. Okzipitale Reflexzonen</w:t>
      </w:r>
    </w:p>
    <w:p>
      <w:pPr>
        <w:pStyle w:val="Heading3"/>
        <w:keepNext/>
        <w:spacing w:before="80" w:after="80"/>
      </w:pPr>
      <w:r>
        <w:rPr>
          <w:rFonts w:ascii="Arial" w:hAnsi="Arial" w:eastAsia="Arial"/>
        </w:rPr>
        <w:t>2. Allgemeines Anpassungssyndrom</w:t>
      </w:r>
    </w:p>
    <w:p>
      <w:pPr>
        <w:pStyle w:val="ListBullet"/>
      </w:pPr>
      <w:r>
        <w:rPr>
          <w:rFonts w:ascii="Arial" w:hAnsi="Arial" w:eastAsia="Arial"/>
        </w:rPr>
        <w:t>PRM;</w:t>
      </w:r>
    </w:p>
    <w:p>
      <w:pPr>
        <w:pStyle w:val="ListBullet"/>
      </w:pPr>
      <w:r>
        <w:rPr>
          <w:rFonts w:ascii="Arial" w:hAnsi="Arial" w:eastAsia="Arial"/>
        </w:rPr>
        <w:t>Diencephalon;</w:t>
      </w:r>
    </w:p>
    <w:p>
      <w:pPr>
        <w:pStyle w:val="ListBullet"/>
      </w:pPr>
      <w:r>
        <w:rPr>
          <w:rFonts w:ascii="Arial" w:hAnsi="Arial" w:eastAsia="Arial"/>
        </w:rPr>
        <w:t>Hirnstamm;</w:t>
      </w:r>
    </w:p>
    <w:p>
      <w:pPr>
        <w:pStyle w:val="ListBullet"/>
      </w:pPr>
      <w:r>
        <w:rPr>
          <w:rFonts w:ascii="Arial" w:hAnsi="Arial" w:eastAsia="Arial"/>
        </w:rPr>
        <w:t>Hypophyse;</w:t>
      </w:r>
    </w:p>
    <w:p>
      <w:pPr>
        <w:pStyle w:val="ListBullet"/>
      </w:pPr>
      <w:r>
        <w:rPr>
          <w:rFonts w:ascii="Arial" w:hAnsi="Arial" w:eastAsia="Arial"/>
        </w:rPr>
        <w:t>Nebennieren;</w:t>
      </w:r>
    </w:p>
    <w:p>
      <w:pPr>
        <w:pStyle w:val="ListBullet"/>
      </w:pPr>
      <w:r>
        <w:rPr>
          <w:rFonts w:ascii="Arial" w:hAnsi="Arial" w:eastAsia="Arial"/>
        </w:rPr>
        <w:t>Wirbelsäule;</w:t>
      </w:r>
    </w:p>
    <w:p>
      <w:pPr>
        <w:pStyle w:val="ListBullet"/>
      </w:pPr>
      <w:r>
        <w:rPr>
          <w:rFonts w:ascii="Arial" w:hAnsi="Arial" w:eastAsia="Arial"/>
        </w:rPr>
        <w:t>Leber;</w:t>
      </w:r>
    </w:p>
    <w:p>
      <w:pPr>
        <w:pStyle w:val="ListBullet"/>
      </w:pPr>
      <w:r>
        <w:rPr>
          <w:rFonts w:ascii="Arial" w:hAnsi="Arial" w:eastAsia="Arial"/>
        </w:rPr>
        <w:t>linke Niere.</w:t>
      </w:r>
    </w:p>
    <w:p>
      <w:pPr>
        <w:pStyle w:val="Heading3"/>
        <w:keepNext/>
        <w:spacing w:before="80" w:after="80"/>
      </w:pPr>
      <w:r>
        <w:rPr>
          <w:rFonts w:ascii="Arial" w:hAnsi="Arial" w:eastAsia="Arial"/>
        </w:rPr>
        <w:t>3. Lokoregionales Syndrom</w:t>
      </w:r>
    </w:p>
    <w:p>
      <w:pPr>
        <w:pStyle w:val="ListBullet"/>
      </w:pPr>
      <w:r>
        <w:rPr>
          <w:rFonts w:ascii="Arial" w:hAnsi="Arial" w:eastAsia="Arial"/>
        </w:rPr>
        <w:t>Zerviko-isthmische Region des Uterus;</w:t>
      </w:r>
    </w:p>
    <w:p>
      <w:pPr>
        <w:pStyle w:val="ListBullet"/>
      </w:pPr>
      <w:r>
        <w:rPr>
          <w:rFonts w:ascii="Arial" w:hAnsi="Arial" w:eastAsia="Arial"/>
        </w:rPr>
        <w:t>Musculus piriformis;</w:t>
      </w:r>
    </w:p>
    <w:p>
      <w:pPr>
        <w:pStyle w:val="ListBullet"/>
      </w:pPr>
      <w:r>
        <w:rPr>
          <w:rFonts w:ascii="Arial" w:hAnsi="Arial" w:eastAsia="Arial"/>
        </w:rPr>
        <w:t>Ligamentum sacrotuberale und Ligamentum sacrospinale;</w:t>
      </w:r>
    </w:p>
    <w:p>
      <w:pPr>
        <w:pStyle w:val="ListBullet"/>
      </w:pPr>
      <w:r>
        <w:rPr>
          <w:rFonts w:ascii="Arial" w:hAnsi="Arial" w:eastAsia="Arial"/>
        </w:rPr>
        <w:t>Nervus pudendus;</w:t>
      </w:r>
    </w:p>
    <w:p>
      <w:pPr>
        <w:pStyle w:val="ListBullet"/>
      </w:pPr>
      <w:r>
        <w:rPr>
          <w:rFonts w:ascii="Arial" w:hAnsi="Arial" w:eastAsia="Arial"/>
        </w:rPr>
        <w:t>Sakrokokzygeal- und Iliosakralgelenke;</w:t>
      </w:r>
    </w:p>
    <w:p>
      <w:pPr>
        <w:pStyle w:val="ListBullet"/>
      </w:pPr>
      <w:r>
        <w:rPr>
          <w:rFonts w:ascii="Arial" w:hAnsi="Arial" w:eastAsia="Arial"/>
        </w:rPr>
        <w:t>linker sakraler Plexus und linker Plexus ischiadicus.</w:t>
      </w:r>
    </w:p>
    <w:p>
      <w:pPr>
        <w:pStyle w:val="Heading3"/>
        <w:keepNext/>
        <w:spacing w:before="80" w:after="80"/>
      </w:pPr>
      <w:r>
        <w:rPr>
          <w:rFonts w:ascii="Arial" w:hAnsi="Arial" w:eastAsia="Arial"/>
        </w:rPr>
        <w:t>4. Limbisches System</w:t>
      </w:r>
    </w:p>
    <w:p>
      <w:pPr>
        <w:pStyle w:val="ListBullet"/>
      </w:pPr>
      <w:r>
        <w:rPr>
          <w:rFonts w:ascii="Arial" w:hAnsi="Arial" w:eastAsia="Arial"/>
        </w:rPr>
        <w:t>Amygdala;</w:t>
      </w:r>
    </w:p>
    <w:p>
      <w:pPr>
        <w:pStyle w:val="ListBullet"/>
      </w:pPr>
      <w:r>
        <w:rPr>
          <w:rFonts w:ascii="Arial" w:hAnsi="Arial" w:eastAsia="Arial"/>
        </w:rPr>
        <w:t>Hippocampus;</w:t>
      </w:r>
    </w:p>
    <w:p>
      <w:pPr>
        <w:pStyle w:val="ListBullet"/>
      </w:pPr>
      <w:r>
        <w:rPr>
          <w:rFonts w:ascii="Arial" w:hAnsi="Arial" w:eastAsia="Arial"/>
        </w:rPr>
        <w:t>Insula.</w:t>
      </w:r>
    </w:p>
    <w:p>
      <w:pPr>
        <w:pStyle w:val="Heading1"/>
        <w:keepNext/>
        <w:spacing w:before="160" w:after="80"/>
      </w:pPr>
      <w:r>
        <w:rPr>
          <w:rFonts w:ascii="Arial" w:hAnsi="Arial" w:eastAsia="Arial"/>
        </w:rPr>
        <w:t>6. Kontraindikationen</w:t>
      </w:r>
    </w:p>
    <w:p>
      <w:r>
        <w:rPr>
          <w:rFonts w:ascii="Arial" w:hAnsi="Arial" w:eastAsia="Arial"/>
        </w:rPr>
        <w:t>ROP gehört in den Rahmen der funktionellen Behandlung. Jeder Verdacht auf eine organische Erkrankung oder das Vorliegen eines Warnzeichens erfordert eine medizinische Abklärung.</w:t>
      </w:r>
    </w:p>
    <w:p>
      <w:r>
        <w:rPr>
          <w:rFonts w:ascii="Arial" w:hAnsi="Arial" w:eastAsia="Arial"/>
        </w:rPr>
        <w:t>Symptome, die harmlos erscheinen mögen, können manchmal eine schwere Erkrankung verbergen. Es liegt in unserer Verantwortung, die Zeichen zu erkennen, die uns dazu veranlassen müssen, nicht zu intervenieren, gemäß dem Prinzip primum non nocere - zuerst nicht schaden.</w:t>
      </w:r>
    </w:p>
    <w:p>
      <w:r>
        <w:rPr>
          <w:rFonts w:ascii="Arial" w:hAnsi="Arial" w:eastAsia="Arial"/>
        </w:rPr>
        <w:t>Wir werden die Kontraindikationen für jedes Viszerum im Einzelnen darstellen; die folgenden Symptome sollten jedoch bereits Verdacht erwecken:</w:t>
      </w:r>
    </w:p>
    <w:p>
      <w:pPr>
        <w:pStyle w:val="ListBullet"/>
      </w:pPr>
      <w:r>
        <w:rPr>
          <w:rFonts w:ascii="Arial" w:hAnsi="Arial" w:eastAsia="Arial"/>
        </w:rPr>
        <w:t>nicht-mechanischer Schmerz, der sich in der ersten Nachthälfte verstärkt;</w:t>
      </w:r>
    </w:p>
    <w:p>
      <w:pPr>
        <w:pStyle w:val="ListBullet"/>
      </w:pPr>
      <w:r>
        <w:rPr>
          <w:rFonts w:ascii="Arial" w:hAnsi="Arial" w:eastAsia="Arial"/>
        </w:rPr>
        <w:t>atypischer Brustschmerz, Dyspnoe, Unwohlsein;</w:t>
      </w:r>
    </w:p>
    <w:p>
      <w:pPr>
        <w:pStyle w:val="ListBullet"/>
      </w:pPr>
      <w:r>
        <w:rPr>
          <w:rFonts w:ascii="Arial" w:hAnsi="Arial" w:eastAsia="Arial"/>
        </w:rPr>
        <w:t>Blut im Urin oder Stuhl;</w:t>
      </w:r>
    </w:p>
    <w:p>
      <w:pPr>
        <w:pStyle w:val="ListBullet"/>
      </w:pPr>
      <w:r>
        <w:rPr>
          <w:rFonts w:ascii="Arial" w:hAnsi="Arial" w:eastAsia="Arial"/>
        </w:rPr>
        <w:t>Fieber oder Infektionskrankheit;</w:t>
      </w:r>
    </w:p>
    <w:p>
      <w:pPr>
        <w:pStyle w:val="ListBullet"/>
      </w:pPr>
      <w:r>
        <w:rPr>
          <w:rFonts w:ascii="Arial" w:hAnsi="Arial" w:eastAsia="Arial"/>
        </w:rPr>
        <w:t>unerklärlicher Gewichtsverlust;</w:t>
      </w:r>
    </w:p>
    <w:p>
      <w:pPr>
        <w:pStyle w:val="ListBullet"/>
      </w:pPr>
      <w:r>
        <w:rPr>
          <w:rFonts w:ascii="Arial" w:hAnsi="Arial" w:eastAsia="Arial"/>
        </w:rPr>
        <w:t>Risiko einer Thrombusmigration;</w:t>
      </w:r>
    </w:p>
    <w:p>
      <w:pPr>
        <w:pStyle w:val="ListBullet"/>
      </w:pPr>
      <w:r>
        <w:rPr>
          <w:rFonts w:ascii="Arial" w:hAnsi="Arial" w:eastAsia="Arial"/>
        </w:rPr>
        <w:t>Blässe und ausgeprägte Müdigkeit;</w:t>
      </w:r>
    </w:p>
    <w:p>
      <w:pPr>
        <w:pStyle w:val="ListBullet"/>
      </w:pPr>
      <w:r>
        <w:rPr>
          <w:rFonts w:ascii="Arial" w:hAnsi="Arial" w:eastAsia="Arial"/>
        </w:rPr>
        <w:t>neurologisches Defizit: Sphinkterstörung oder fortschreitende Sensibilitätsstörungen;</w:t>
      </w:r>
    </w:p>
    <w:p>
      <w:pPr>
        <w:pStyle w:val="ListBullet"/>
      </w:pPr>
      <w:r>
        <w:rPr>
          <w:rFonts w:ascii="Arial" w:hAnsi="Arial" w:eastAsia="Arial"/>
        </w:rPr>
        <w:t>Angst oder Todesangst;</w:t>
      </w:r>
    </w:p>
    <w:p>
      <w:pPr>
        <w:pStyle w:val="ListBullet"/>
      </w:pPr>
      <w:r>
        <w:rPr>
          <w:rFonts w:ascii="Arial" w:hAnsi="Arial" w:eastAsia="Arial"/>
        </w:rPr>
        <w:t>das Eingeständnis der eigenen Hilflosigkeit angesichts eines klinischen Falls, den man nicht versteht.</w:t>
      </w:r>
    </w:p>
    <w:p>
      <w:r>
        <w:rPr>
          <w:rFonts w:ascii="Arial" w:hAnsi="Arial" w:eastAsia="Arial"/>
        </w:rPr>
        <w:t>Es ist wichtig, schwere Krankheitsbilder zu kennen, da das Risiko besteht, eine medizinische Diagnose zu verzögern, insbesondere wenn Patienten uns als erste Anlaufstelle ohne vorheriges medizinisches Screening konsultieren.</w:t>
      </w:r>
    </w:p>
    <w:p>
      <w:r>
        <w:rPr>
          <w:rFonts w:ascii="Arial" w:hAnsi="Arial" w:eastAsia="Arial"/>
        </w:rPr>
        <w:t>ROP darf eine geeignete medizinische Behandlung nicht ersetzen. Sie behält dennoch ihren Platz als integrative Therapie neben der konventionellen Medizin, indem sie dazu beiträgt, die funktionellen Folgen einer Erkrankung oder die unerwünschten, aber mitunter unvermeidbaren Wirkungen intensiver pharmakologischer Behandlungen - insbesondere in der Onkologie - zu verringern oder die Patienten schlicht in ihrem Wohlbefinden zu unterstützen.</w:t>
      </w:r>
    </w:p>
    <w:p>
      <w:pPr>
        <w:pStyle w:val="Heading2"/>
        <w:keepNext/>
        <w:spacing w:before="80" w:after="80"/>
      </w:pPr>
      <w:r>
        <w:rPr>
          <w:rFonts w:ascii="Arial" w:hAnsi="Arial" w:eastAsia="Arial"/>
        </w:rPr>
        <w:t>Beispiel</w:t>
      </w:r>
    </w:p>
    <w:p>
      <w:r>
        <w:rPr>
          <w:rFonts w:ascii="Arial" w:hAnsi="Arial" w:eastAsia="Arial"/>
        </w:rPr>
        <w:t>Nach einer abdominalchirurgischen Operation kann eine reflexbasierte Intervention dazu beitragen, Spasmen der glatten Muskulatur der Viszera zu reduzieren, die Wiederherstellung der Darmpassage zu unterstützen und den Bedarf an Analgetika und symptomlindernder Medikation zu verringern.</w:t>
      </w:r>
    </w:p>
    <w:p>
      <w:r>
        <w:rPr>
          <w:rFonts w:ascii="Arial" w:hAnsi="Arial" w:eastAsia="Arial"/>
        </w:rPr>
        <w:t>Durch die Fernwirkung über Reflexbahnen, entfernt vom dysfunktionalen Viszerum, wird das Risiko iatrogener Effekte begrenzt: Dies bietet Sicherheit sowohl für den Patienten als auch für den Therapeuten.</w:t>
      </w:r>
    </w:p>
    <w:p>
      <w:pPr>
        <w:pStyle w:val="Heading1"/>
        <w:keepNext/>
        <w:spacing w:before="160" w:after="80"/>
      </w:pPr>
      <w:r>
        <w:rPr>
          <w:rFonts w:ascii="Arial" w:hAnsi="Arial" w:eastAsia="Arial"/>
        </w:rPr>
        <w:t>7. Indikationen</w:t>
      </w:r>
    </w:p>
    <w:p>
      <w:r>
        <w:rPr>
          <w:rFonts w:ascii="Arial" w:hAnsi="Arial" w:eastAsia="Arial"/>
        </w:rPr>
        <w:t>Die Indikationen beruhen auf der Anamnese, den Tests, der Kohärenz der Reflexzonen und der Hierarchie des Terrains.</w:t>
      </w:r>
    </w:p>
    <w:p>
      <w:r>
        <w:rPr>
          <w:rFonts w:ascii="Arial" w:hAnsi="Arial" w:eastAsia="Arial"/>
        </w:rPr>
        <w:t>Funktionelle Pathologien sind das Hauptfeld der sogenannten integrativen Therapien.</w:t>
      </w:r>
    </w:p>
    <w:p>
      <w:r>
        <w:rPr>
          <w:rFonts w:ascii="Arial" w:hAnsi="Arial" w:eastAsia="Arial"/>
        </w:rPr>
        <w:t>Sie sind die Folge eines Ungleichgewichts im neurovaskulären System, das der Erkrankung vorgelagert auftritt.</w:t>
      </w:r>
    </w:p>
    <w:p>
      <w:r>
        <w:rPr>
          <w:rFonts w:ascii="Arial" w:hAnsi="Arial" w:eastAsia="Arial"/>
        </w:rPr>
        <w:t>Ihr besonderes Merkmal besteht darin, dass sie reversibel, extrazellulär und in der Radiographie, CT oder MRT nur geringfügig - oder gar nicht - nachweisbar sind, da die anatomische Veränderung noch nicht begonnen hat.</w:t>
      </w:r>
    </w:p>
    <w:p>
      <w:r>
        <w:rPr>
          <w:rFonts w:ascii="Arial" w:hAnsi="Arial" w:eastAsia="Arial"/>
        </w:rPr>
        <w:t>Solange die Vitalität des Organismus zur Adaptation-Kompensation fähig ist, bleibt die Gesundheit erhalten. Unsere Aufgabe besteht darin, dem Patienten zu helfen, seine Vitalität zu verbessern, um das physiologische Gleichgewicht wiederherzustellen.</w:t>
      </w:r>
    </w:p>
    <w:p>
      <w:r>
        <w:rPr>
          <w:rFonts w:ascii="Arial" w:hAnsi="Arial" w:eastAsia="Arial"/>
        </w:rPr>
        <w:t>Wir werden die funktionellen Symptome für jedes Viszerum im Einzelnen darstellen. Die am häufigsten beobachteten Arten funktioneller Symptome sind:</w:t>
      </w:r>
    </w:p>
    <w:p>
      <w:pPr>
        <w:pStyle w:val="ListBullet"/>
      </w:pPr>
      <w:r>
        <w:rPr>
          <w:rFonts w:ascii="Arial" w:hAnsi="Arial" w:eastAsia="Arial"/>
        </w:rPr>
        <w:t>muskuloskelettale Schmerzen;</w:t>
      </w:r>
    </w:p>
    <w:p>
      <w:pPr>
        <w:pStyle w:val="ListBullet"/>
      </w:pPr>
      <w:r>
        <w:rPr>
          <w:rFonts w:ascii="Arial" w:hAnsi="Arial" w:eastAsia="Arial"/>
        </w:rPr>
        <w:t>Folgen osteo-muskulo-artikulärer Traumata;</w:t>
      </w:r>
    </w:p>
    <w:p>
      <w:pPr>
        <w:pStyle w:val="ListBullet"/>
      </w:pPr>
      <w:r>
        <w:rPr>
          <w:rFonts w:ascii="Arial" w:hAnsi="Arial" w:eastAsia="Arial"/>
        </w:rPr>
        <w:t>Folgen von Traumata der spinalen und kranialen Nerven;</w:t>
      </w:r>
    </w:p>
    <w:p>
      <w:pPr>
        <w:pStyle w:val="ListBullet"/>
      </w:pPr>
      <w:r>
        <w:rPr>
          <w:rFonts w:ascii="Arial" w:hAnsi="Arial" w:eastAsia="Arial"/>
        </w:rPr>
        <w:t>viszerale Dysfunktionen im Zusammenhang mit Gewebefixationen und neurovegetativen Schleifen;</w:t>
      </w:r>
    </w:p>
    <w:p>
      <w:pPr>
        <w:pStyle w:val="ListBullet"/>
      </w:pPr>
      <w:r>
        <w:rPr>
          <w:rFonts w:ascii="Arial" w:hAnsi="Arial" w:eastAsia="Arial"/>
        </w:rPr>
        <w:t>viszerosomatische und somatoviszerale Störungen;</w:t>
      </w:r>
    </w:p>
    <w:p>
      <w:pPr>
        <w:pStyle w:val="ListBullet"/>
      </w:pPr>
      <w:r>
        <w:rPr>
          <w:rFonts w:ascii="Arial" w:hAnsi="Arial" w:eastAsia="Arial"/>
        </w:rPr>
        <w:t>Störungen der neurovegetativen Regulation;</w:t>
      </w:r>
    </w:p>
    <w:p>
      <w:pPr>
        <w:pStyle w:val="ListBullet"/>
      </w:pPr>
      <w:r>
        <w:rPr>
          <w:rFonts w:ascii="Arial" w:hAnsi="Arial" w:eastAsia="Arial"/>
        </w:rPr>
        <w:t>emotionaler Stress und Angst.</w:t>
      </w:r>
    </w:p>
    <w:p>
      <w:pPr>
        <w:pStyle w:val="Heading1"/>
        <w:keepNext/>
        <w:spacing w:before="160" w:after="80"/>
      </w:pPr>
      <w:r>
        <w:rPr>
          <w:rFonts w:ascii="Arial" w:hAnsi="Arial" w:eastAsia="Arial"/>
        </w:rPr>
        <w:t>8. Wirkungen der reflextherapeutischen Behandlung</w:t>
      </w:r>
    </w:p>
    <w:p>
      <w:r>
        <w:rPr>
          <w:rFonts w:ascii="Arial" w:hAnsi="Arial" w:eastAsia="Arial"/>
        </w:rPr>
        <w:t>Wie bereits in der Einleitung erwähnt, beobachten wir häufig klinische Ergebnisse, die wir noch nicht objektiv messen können.</w:t>
      </w:r>
    </w:p>
    <w:p>
      <w:r>
        <w:rPr>
          <w:rFonts w:ascii="Arial" w:hAnsi="Arial" w:eastAsia="Arial"/>
        </w:rPr>
        <w:t>Unsere Wirkung hat sowohl lokale als auch allgemeine Effekte:</w:t>
      </w:r>
    </w:p>
    <w:p>
      <w:pPr>
        <w:pStyle w:val="ListBullet"/>
      </w:pPr>
      <w:r>
        <w:rPr>
          <w:rFonts w:ascii="Arial" w:hAnsi="Arial" w:eastAsia="Arial"/>
        </w:rPr>
        <w:t>analgetische Wirkung;</w:t>
      </w:r>
    </w:p>
    <w:p>
      <w:pPr>
        <w:pStyle w:val="ListBullet"/>
      </w:pPr>
      <w:r>
        <w:rPr>
          <w:rFonts w:ascii="Arial" w:hAnsi="Arial" w:eastAsia="Arial"/>
        </w:rPr>
        <w:t>neurovegetatives Rebalancing: Verschiebung hin zu parasympathischen Zeichen - Ruhe, Gähnen, Benommenheit, ausgeprägte Entspannung, Bedürfnis nach Ruhe;</w:t>
      </w:r>
    </w:p>
    <w:p>
      <w:pPr>
        <w:pStyle w:val="ListBullet"/>
      </w:pPr>
      <w:r>
        <w:rPr>
          <w:rFonts w:ascii="Arial" w:hAnsi="Arial" w:eastAsia="Arial"/>
        </w:rPr>
        <w:t>Verbesserung der Darmpassage, der Diurese und der viszeralen Empfindungen;</w:t>
      </w:r>
    </w:p>
    <w:p>
      <w:pPr>
        <w:pStyle w:val="ListBullet"/>
      </w:pPr>
      <w:r>
        <w:rPr>
          <w:rFonts w:ascii="Arial" w:hAnsi="Arial" w:eastAsia="Arial"/>
        </w:rPr>
        <w:t>Reduktion vertebraler Fixationen auf der metamerischen Ebene des Viszerums - viszerosomatische Beziehung.</w:t>
      </w:r>
    </w:p>
    <w:p>
      <w:pPr>
        <w:pStyle w:val="Heading1"/>
        <w:keepNext/>
        <w:spacing w:before="160" w:after="80"/>
      </w:pPr>
      <w:r>
        <w:rPr>
          <w:rFonts w:ascii="Arial" w:hAnsi="Arial" w:eastAsia="Arial"/>
        </w:rPr>
        <w:t>9. Reaktionen auf die Behandlung</w:t>
      </w:r>
    </w:p>
    <w:p>
      <w:pPr>
        <w:pStyle w:val="Heading2"/>
        <w:keepNext/>
        <w:spacing w:before="80" w:after="80"/>
      </w:pPr>
      <w:r>
        <w:rPr>
          <w:rFonts w:ascii="Arial" w:hAnsi="Arial" w:eastAsia="Arial"/>
        </w:rPr>
        <w:t>Unmittelbare Reaktionen</w:t>
      </w:r>
    </w:p>
    <w:p>
      <w:pPr>
        <w:pStyle w:val="ListBullet"/>
      </w:pPr>
      <w:r>
        <w:rPr>
          <w:rFonts w:ascii="Arial" w:hAnsi="Arial" w:eastAsia="Arial"/>
        </w:rPr>
        <w:t>Entspannung.</w:t>
      </w:r>
    </w:p>
    <w:p>
      <w:pPr>
        <w:pStyle w:val="Heading2"/>
        <w:keepNext/>
        <w:spacing w:before="80" w:after="80"/>
      </w:pPr>
      <w:r>
        <w:rPr>
          <w:rFonts w:ascii="Arial" w:hAnsi="Arial" w:eastAsia="Arial"/>
        </w:rPr>
        <w:t>Reaktionen innerhalb von 24 bis 48 Stunden</w:t>
      </w:r>
    </w:p>
    <w:p>
      <w:pPr>
        <w:pStyle w:val="ListBullet"/>
      </w:pPr>
      <w:r>
        <w:rPr>
          <w:rFonts w:ascii="Arial" w:hAnsi="Arial" w:eastAsia="Arial"/>
        </w:rPr>
        <w:t>Muskelkater oder leichte Ermüdbarkeit;</w:t>
      </w:r>
    </w:p>
    <w:p>
      <w:pPr>
        <w:pStyle w:val="ListBullet"/>
      </w:pPr>
      <w:r>
        <w:rPr>
          <w:rFonts w:ascii="Arial" w:hAnsi="Arial" w:eastAsia="Arial"/>
        </w:rPr>
        <w:t>Träume, Auftauchen von Erinnerungen.</w:t>
      </w:r>
    </w:p>
    <w:p>
      <w:r>
        <w:rPr>
          <w:rFonts w:ascii="Arial" w:hAnsi="Arial" w:eastAsia="Arial"/>
        </w:rPr>
        <w:t>Diese vorübergehenden Reaktionen sind hilfreich und sogar erwünscht und bei jedem Individuum spezifisch. Sie können die Anpassung des Organismus an einen Stressor widerspiegeln, der zwar positiv, dem Organismus jedoch ungewohnt ist.</w:t>
      </w:r>
    </w:p>
    <w:p>
      <w:r>
        <w:rPr>
          <w:rFonts w:ascii="Arial" w:hAnsi="Arial" w:eastAsia="Arial"/>
        </w:rPr>
        <w:t>Innerhalb des ROP-Modells werden sie als Zeichen physiologischer Elimination und Regulation interpretiert, traditionell beschrieben als Ausscheidung angesammelter „Toxine“. Siehe Erholungsphase des allgemeinen Stresssyndroms, S. ...</w:t>
      </w:r>
    </w:p>
    <w:p>
      <w:r>
        <w:rPr>
          <w:rFonts w:ascii="Arial" w:hAnsi="Arial" w:eastAsia="Arial"/>
        </w:rPr>
        <w:t>Wenn die Reaktionen intensiv sind, länger als 72 Stunden anhalten oder von besorgniserregenden Zeichen begleitet werden, sollte die Situation neu beurteilt und der Patient überwiesen werden.</w:t>
      </w:r>
    </w:p>
    <w:p>
      <w:pPr>
        <w:pStyle w:val="Heading2"/>
        <w:keepNext/>
        <w:spacing w:before="80" w:after="80"/>
      </w:pPr>
      <w:r>
        <w:rPr>
          <w:rFonts w:ascii="Arial" w:hAnsi="Arial" w:eastAsia="Arial"/>
        </w:rPr>
        <w:t>Reaktionen in den folgenden Wochen</w:t>
      </w:r>
    </w:p>
    <w:p>
      <w:r>
        <w:rPr>
          <w:rFonts w:ascii="Arial" w:hAnsi="Arial" w:eastAsia="Arial"/>
        </w:rPr>
        <w:t>Es wird erwartet, dass die Wiederherstellung der Vitalität nicht nur lokal auf viszeroglandulärer Ebene wirkt, sondern auch auf hormonelle und biochemische Regulation, auf lokale und allgemeine Immunität sowie auf die Psyche, auch wenn diese Effekte nicht notwendigerweise objektiv messbar sind.</w:t>
      </w:r>
    </w:p>
    <w:p>
      <w:r>
        <w:rPr>
          <w:rFonts w:ascii="Arial" w:hAnsi="Arial" w:eastAsia="Arial"/>
        </w:rPr>
        <w:t>Das Intervall von drei bis vier Wochen muss eingehalten werden, damit der Organismus die Veränderungen integrieren kann, bevor die nächste Sitzung durchgeführt wird.</w:t>
      </w:r>
    </w:p>
    <w:p>
      <w:pPr>
        <w:pStyle w:val="Heading1"/>
        <w:keepNext/>
        <w:spacing w:before="160" w:after="80"/>
      </w:pPr>
      <w:r>
        <w:rPr>
          <w:rFonts w:ascii="Arial" w:hAnsi="Arial" w:eastAsia="Arial"/>
        </w:rPr>
        <w:t>10. Empfehlungen</w:t>
      </w:r>
    </w:p>
    <w:p>
      <w:r>
        <w:rPr>
          <w:rFonts w:ascii="Arial" w:hAnsi="Arial" w:eastAsia="Arial"/>
        </w:rPr>
        <w:t>„Bevor du versuchst, jemanden zu heilen, frage ihn, ob er bereit ist, die Dinge aufzugeben, die ihn krank gemacht haben.“ - traditionell Hippokrates zugeschrieben</w:t>
      </w:r>
    </w:p>
    <w:p>
      <w:r>
        <w:rPr>
          <w:rFonts w:ascii="Arial" w:hAnsi="Arial" w:eastAsia="Arial"/>
        </w:rPr>
        <w:t>Selbst die beste Behandlung kann keine signifikante und dauerhafte Verbesserung garantieren, wenn sie nicht von wesentlichen Empfehlungen begleitet wird, die die Wirkung der Behandlung verlängern.</w:t>
      </w:r>
    </w:p>
    <w:p>
      <w:r>
        <w:rPr>
          <w:rFonts w:ascii="Arial" w:hAnsi="Arial" w:eastAsia="Arial"/>
        </w:rPr>
        <w:t>Diese Empfehlungen beruhen meist auf gesundem Menschenverstand:</w:t>
      </w:r>
    </w:p>
    <w:p>
      <w:pPr>
        <w:pStyle w:val="ListBullet"/>
      </w:pPr>
      <w:r>
        <w:rPr>
          <w:rFonts w:ascii="Arial" w:hAnsi="Arial" w:eastAsia="Arial"/>
        </w:rPr>
        <w:t>relative Ruhe - körperliche Überlastung am Behandlungstag vermeiden;</w:t>
      </w:r>
    </w:p>
    <w:p>
      <w:pPr>
        <w:pStyle w:val="ListBullet"/>
      </w:pPr>
      <w:r>
        <w:rPr>
          <w:rFonts w:ascii="Arial" w:hAnsi="Arial" w:eastAsia="Arial"/>
        </w:rPr>
        <w:t>gesunde Ernährung;</w:t>
      </w:r>
    </w:p>
    <w:p>
      <w:pPr>
        <w:pStyle w:val="ListBullet"/>
      </w:pPr>
      <w:r>
        <w:rPr>
          <w:rFonts w:ascii="Arial" w:hAnsi="Arial" w:eastAsia="Arial"/>
        </w:rPr>
        <w:t>ausreichende Flüssigkeitszufuhr;</w:t>
      </w:r>
    </w:p>
    <w:p>
      <w:pPr>
        <w:pStyle w:val="ListBullet"/>
      </w:pPr>
      <w:r>
        <w:rPr>
          <w:rFonts w:ascii="Arial" w:hAnsi="Arial" w:eastAsia="Arial"/>
        </w:rPr>
        <w:t>regelmäßige körperliche Aktivität;</w:t>
      </w:r>
    </w:p>
    <w:p>
      <w:pPr>
        <w:pStyle w:val="ListBullet"/>
      </w:pPr>
      <w:r>
        <w:rPr>
          <w:rFonts w:ascii="Arial" w:hAnsi="Arial" w:eastAsia="Arial"/>
        </w:rPr>
        <w:t>aktiver Teilnehmer an der eigenen Gesundheit werden;</w:t>
      </w:r>
    </w:p>
    <w:p>
      <w:pPr>
        <w:pStyle w:val="ListBullet"/>
      </w:pPr>
      <w:r>
        <w:rPr>
          <w:rFonts w:ascii="Arial" w:hAnsi="Arial" w:eastAsia="Arial"/>
        </w:rPr>
        <w:t>positive Gedanken pflegen;</w:t>
      </w:r>
    </w:p>
    <w:p>
      <w:pPr>
        <w:pStyle w:val="ListBullet"/>
      </w:pPr>
      <w:r>
        <w:rPr>
          <w:rFonts w:ascii="Arial" w:hAnsi="Arial" w:eastAsia="Arial"/>
        </w:rPr>
        <w:t>ein erfüllendes soziales Leben führen, sowohl privat als auch beruflich;</w:t>
      </w:r>
    </w:p>
    <w:p>
      <w:pPr>
        <w:pStyle w:val="ListBullet"/>
      </w:pPr>
      <w:r>
        <w:rPr>
          <w:rFonts w:ascii="Arial" w:hAnsi="Arial" w:eastAsia="Arial"/>
        </w:rPr>
        <w:t>Veränderungen dokumentieren: Schmerz von 0 bis 10, Schlaf, Darmpassage, Energie;</w:t>
      </w:r>
    </w:p>
    <w:p>
      <w:pPr>
        <w:pStyle w:val="ListBullet"/>
      </w:pPr>
      <w:r>
        <w:rPr>
          <w:rFonts w:ascii="Arial" w:hAnsi="Arial" w:eastAsia="Arial"/>
        </w:rPr>
        <w:t>mit diesen Elementen zurückkommen, um die Wirkung objektiver zu beurteilen und die Behandlungshierarchie anzupassen.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Deutsche medizinische Übersetzung - Akronym ROP beibehalten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7"/>
      </w:rPr>
      <w:t>Kapitel 2 - Behandlung durch okzipito-podale Reflexotherapie (ROP)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 2 - Behandlung durch okzipito-podale Reflexotherapie (ROP)</dc:title>
  <dc:subject>Deutsche Übersetzung</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