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2</w:t>
      </w:r>
    </w:p>
    <w:p>
      <w:pPr>
        <w:pStyle w:val="Title"/>
        <w:jc w:val="center"/>
        <w:pBdr>
          <w:bottom w:val="single" w:sz="8" w:space="6" w:color="4F81BD"/>
        </w:pBdr>
      </w:pPr>
      <w:r>
        <w:t>Treatment by Occipito-Podal Reflexotherapy (ROP)</w:t>
      </w:r>
    </w:p>
    <w:p>
      <w:pPr>
        <w:jc w:val="left"/>
      </w:pPr>
      <w:r>
        <w:rPr>
          <w:rFonts w:ascii="Times New Roman" w:hAnsi="Times New Roman" w:eastAsia="Times New Roman"/>
        </w:rPr>
        <w:t>The following are several principles that guide treatment by Occipito-Podal Reflexotherapy (ROP).</w:t>
      </w:r>
    </w:p>
    <w:p>
      <w:pPr>
        <w:pStyle w:val="Heading1"/>
        <w:jc w:val="left"/>
      </w:pPr>
      <w:r>
        <w:rPr>
          <w:rFonts w:ascii="Arial" w:hAnsi="Arial" w:eastAsia="Arial"/>
        </w:rPr>
        <w:t>1. Technique</w:t>
      </w:r>
    </w:p>
    <w:p>
      <w:pPr>
        <w:pStyle w:val="Heading2"/>
        <w:jc w:val="left"/>
      </w:pPr>
      <w:r>
        <w:rPr>
          <w:rFonts w:ascii="Arial" w:hAnsi="Arial" w:eastAsia="Arial"/>
        </w:rPr>
        <w:t>Manual technique</w:t>
      </w:r>
    </w:p>
    <w:p>
      <w:pPr>
        <w:jc w:val="left"/>
      </w:pPr>
      <w:r>
        <w:rPr>
          <w:rFonts w:ascii="Times New Roman" w:hAnsi="Times New Roman" w:eastAsia="Times New Roman"/>
        </w:rPr>
        <w:t>The technique is exclusively manual, performed with the pad of the thumb or with the proximal interphalangeal joint of the index finger, without the use of oil or cream.</w:t>
      </w:r>
    </w:p>
    <w:p>
      <w:pPr>
        <w:pStyle w:val="Heading2"/>
        <w:jc w:val="left"/>
      </w:pPr>
      <w:r>
        <w:rPr>
          <w:rFonts w:ascii="Arial" w:hAnsi="Arial" w:eastAsia="Arial"/>
        </w:rPr>
        <w:t>Pressure</w:t>
      </w:r>
    </w:p>
    <w:p>
      <w:pPr>
        <w:jc w:val="left"/>
      </w:pPr>
      <w:r>
        <w:rPr>
          <w:rFonts w:ascii="Times New Roman" w:hAnsi="Times New Roman" w:eastAsia="Times New Roman"/>
        </w:rPr>
        <w:t>Pressure is applied to the reflex zones with the aim of stimulating the mechanoreceptors located in the epidermal–dermal layer of the occipital and plantar zones. See Réflexothérapie occipito-podale, Elsevier Masson, p. …</w:t>
      </w:r>
    </w:p>
    <w:p>
      <w:pPr>
        <w:jc w:val="left"/>
      </w:pPr>
      <w:r>
        <w:rPr>
          <w:rFonts w:ascii="Times New Roman" w:hAnsi="Times New Roman" w:eastAsia="Times New Roman"/>
        </w:rPr>
        <w:t>These mechanoreceptors are the following:</w:t>
      </w:r>
    </w:p>
    <w:p>
      <w:pPr>
        <w:pStyle w:val="Heading3"/>
        <w:jc w:val="left"/>
      </w:pPr>
      <w:r>
        <w:rPr>
          <w:rFonts w:ascii="Arial" w:hAnsi="Arial" w:eastAsia="Arial"/>
        </w:rPr>
        <w:t>Meissner corpuscles</w:t>
      </w:r>
    </w:p>
    <w:p>
      <w:pPr>
        <w:jc w:val="left"/>
      </w:pPr>
      <w:r>
        <w:rPr>
          <w:rFonts w:ascii="Times New Roman" w:hAnsi="Times New Roman" w:eastAsia="Times New Roman"/>
        </w:rPr>
        <w:t>Meissner corpuscles are embedded in the dermal papillae, that is, the upward projections of the dermis into the epidermis. They are sensitive to fine, non-painful pressure targeting epicritic sensitivity.</w:t>
      </w:r>
    </w:p>
    <w:p>
      <w:pPr>
        <w:jc w:val="left"/>
      </w:pPr>
      <w:r>
        <w:rPr>
          <w:rFonts w:ascii="Times New Roman" w:hAnsi="Times New Roman" w:eastAsia="Times New Roman"/>
        </w:rPr>
        <w:t>They are preferentially found in glabrous skin, particularly on the soles of the feet, the palms of the hands, the lips and the genital organs.</w:t>
      </w:r>
    </w:p>
    <w:p>
      <w:pPr>
        <w:pStyle w:val="Heading3"/>
        <w:jc w:val="left"/>
      </w:pPr>
      <w:r>
        <w:rPr>
          <w:rFonts w:ascii="Arial" w:hAnsi="Arial" w:eastAsia="Arial"/>
        </w:rPr>
        <w:t>Merkel discs</w:t>
      </w:r>
    </w:p>
    <w:p>
      <w:pPr>
        <w:jc w:val="left"/>
      </w:pPr>
      <w:r>
        <w:rPr>
          <w:rFonts w:ascii="Times New Roman" w:hAnsi="Times New Roman" w:eastAsia="Times New Roman"/>
        </w:rPr>
        <w:t>Merkel discs are located at the base of the epidermis, immediately above the dermis. They are sensitive to gentle pressure applied to the skin.</w:t>
      </w:r>
    </w:p>
    <w:p>
      <w:pPr>
        <w:jc w:val="left"/>
      </w:pPr>
      <w:r>
        <w:rPr>
          <w:rFonts w:ascii="Times New Roman" w:hAnsi="Times New Roman" w:eastAsia="Times New Roman"/>
        </w:rPr>
        <w:t>As soon as manual pressure deforms the epidermal–dermal layer — identified by the sensation of a “drum-like” skin tension pushing back against the finger — Meissner corpuscles and Merkel discs generate action potentials that travel through the sensory pathways of the lemniscal system.</w:t>
      </w:r>
    </w:p>
    <w:p>
      <w:pPr>
        <w:pStyle w:val="Heading3"/>
        <w:jc w:val="left"/>
      </w:pPr>
      <w:r>
        <w:rPr>
          <w:rFonts w:ascii="Arial" w:hAnsi="Arial" w:eastAsia="Arial"/>
        </w:rPr>
        <w:t>The lemniscal system</w:t>
      </w:r>
    </w:p>
    <w:p>
      <w:pPr>
        <w:jc w:val="left"/>
      </w:pPr>
      <w:r>
        <w:rPr>
          <w:rFonts w:ascii="Times New Roman" w:hAnsi="Times New Roman" w:eastAsia="Times New Roman"/>
        </w:rPr>
        <w:t>The lemniscal system is a bundle of afferent fibres of the spinal cord. It is deliberately targeted in our technique because of its properties:</w:t>
      </w:r>
    </w:p>
    <w:p>
      <w:pPr>
        <w:pStyle w:val="ListBullet"/>
        <w:ind w:left="360" w:hanging="216"/>
        <w:jc w:val="left"/>
      </w:pPr>
      <w:r>
        <w:rPr>
          <w:rFonts w:ascii="Times New Roman" w:hAnsi="Times New Roman" w:eastAsia="Times New Roman"/>
        </w:rPr>
        <w:t>it conveys fine, non-painful touch sensation;</w:t>
      </w:r>
    </w:p>
    <w:p>
      <w:pPr>
        <w:pStyle w:val="ListBullet"/>
        <w:ind w:left="360" w:hanging="216"/>
        <w:jc w:val="left"/>
      </w:pPr>
      <w:r>
        <w:rPr>
          <w:rFonts w:ascii="Times New Roman" w:hAnsi="Times New Roman" w:eastAsia="Times New Roman"/>
        </w:rPr>
        <w:t>it ensures rapid and precise transmission of the nerve impulses it carries;</w:t>
      </w:r>
    </w:p>
    <w:p>
      <w:pPr>
        <w:pStyle w:val="ListBullet"/>
        <w:ind w:left="360" w:hanging="216"/>
        <w:jc w:val="left"/>
      </w:pPr>
      <w:r>
        <w:rPr>
          <w:rFonts w:ascii="Times New Roman" w:hAnsi="Times New Roman" w:eastAsia="Times New Roman"/>
        </w:rPr>
        <w:t>it has a rich somatotopic organization in the brain;</w:t>
      </w:r>
    </w:p>
    <w:p>
      <w:pPr>
        <w:pStyle w:val="ListBullet"/>
        <w:ind w:left="360" w:hanging="216"/>
        <w:jc w:val="left"/>
      </w:pPr>
      <w:r>
        <w:rPr>
          <w:rFonts w:ascii="Times New Roman" w:hAnsi="Times New Roman" w:eastAsia="Times New Roman"/>
        </w:rPr>
        <w:t>it has an analgesic action: it modulates pain transmitted by the extralemniscal system.</w:t>
      </w:r>
    </w:p>
    <w:p>
      <w:pPr>
        <w:jc w:val="left"/>
      </w:pPr>
      <w:r>
        <w:rPr>
          <w:rFonts w:ascii="Times New Roman" w:hAnsi="Times New Roman" w:eastAsia="Times New Roman"/>
        </w:rPr>
        <w:t>This analgesic property is explained by the gate control theory: nerve impulses travelling through the lemniscal system reach the dorsal horn of the spinal cord more rapidly and help close the gate to slower pain impulses.</w:t>
      </w:r>
    </w:p>
    <w:p>
      <w:pPr>
        <w:pStyle w:val="Heading2"/>
        <w:jc w:val="left"/>
      </w:pPr>
      <w:r>
        <w:rPr>
          <w:rFonts w:ascii="Arial" w:hAnsi="Arial" w:eastAsia="Arial"/>
        </w:rPr>
        <w:t>Relevance in ROP</w:t>
      </w:r>
    </w:p>
    <w:p>
      <w:pPr>
        <w:jc w:val="left"/>
      </w:pPr>
      <w:r>
        <w:rPr>
          <w:rFonts w:ascii="Times New Roman" w:hAnsi="Times New Roman" w:eastAsia="Times New Roman"/>
        </w:rPr>
        <w:t>Forceful pressure and tissue grinding during reflex treatment must be avoided. The harder one presses, the more one feels one’s own fingers, the less one perceives the bony landmarks that guide the search for reflex zones, and the more difficult it becomes to read those zones.</w:t>
      </w:r>
    </w:p>
    <w:p>
      <w:pPr>
        <w:jc w:val="left"/>
      </w:pPr>
      <w:r>
        <w:rPr>
          <w:rFonts w:ascii="Times New Roman" w:hAnsi="Times New Roman" w:eastAsia="Times New Roman"/>
        </w:rPr>
        <w:t>The aim of restoring good tissue quality reflects the respect we give to the organism. The objective is not to force the organism, but to gently engage it. Even a well-conducted treatment is a stressor — positive, certainly — but one that must take into account the individual’s capacity for self-correction.</w:t>
      </w:r>
    </w:p>
    <w:p>
      <w:pPr>
        <w:pStyle w:val="Heading2"/>
        <w:jc w:val="left"/>
      </w:pPr>
      <w:r>
        <w:rPr>
          <w:rFonts w:ascii="Arial" w:hAnsi="Arial" w:eastAsia="Arial"/>
        </w:rPr>
        <w:t>The three phases of manual treatment</w:t>
      </w:r>
    </w:p>
    <w:p>
      <w:pPr>
        <w:pStyle w:val="Heading3"/>
        <w:jc w:val="left"/>
      </w:pPr>
      <w:r>
        <w:rPr>
          <w:rFonts w:ascii="Arial" w:hAnsi="Arial" w:eastAsia="Arial"/>
        </w:rPr>
        <w:t>1. Textural diagnostic phase</w:t>
      </w:r>
    </w:p>
    <w:p>
      <w:pPr>
        <w:jc w:val="left"/>
      </w:pPr>
      <w:r>
        <w:rPr>
          <w:rFonts w:ascii="Times New Roman" w:hAnsi="Times New Roman" w:eastAsia="Times New Roman"/>
        </w:rPr>
        <w:t>This phase consists of searching for reflex zones characterized by a modification in the texture of the occipital and plantar skin: roughness, densification, loss of glide, or a sensation of crystals.</w:t>
      </w:r>
    </w:p>
    <w:p>
      <w:pPr>
        <w:jc w:val="left"/>
      </w:pPr>
      <w:r>
        <w:rPr>
          <w:rFonts w:ascii="Times New Roman" w:hAnsi="Times New Roman" w:eastAsia="Times New Roman"/>
        </w:rPr>
        <w:t>These findings must confirm the diagnosis obtained at the end of the clinical examination.</w:t>
      </w:r>
    </w:p>
    <w:p>
      <w:pPr>
        <w:pStyle w:val="Heading3"/>
        <w:jc w:val="left"/>
      </w:pPr>
      <w:r>
        <w:rPr>
          <w:rFonts w:ascii="Arial" w:hAnsi="Arial" w:eastAsia="Arial"/>
        </w:rPr>
        <w:t>2. Therapeutic phase</w:t>
      </w:r>
    </w:p>
    <w:p>
      <w:pPr>
        <w:jc w:val="left"/>
      </w:pPr>
      <w:r>
        <w:rPr>
          <w:rFonts w:ascii="Times New Roman" w:hAnsi="Times New Roman" w:eastAsia="Times New Roman"/>
        </w:rPr>
        <w:t>The pressure is fine and non-painful, targeting epicritic sensitivity; sharp pain would indicate overdosing.</w:t>
      </w:r>
    </w:p>
    <w:p>
      <w:pPr>
        <w:jc w:val="left"/>
      </w:pPr>
      <w:r>
        <w:rPr>
          <w:rFonts w:ascii="Times New Roman" w:hAnsi="Times New Roman" w:eastAsia="Times New Roman"/>
        </w:rPr>
        <w:t>The manual manoeuvre consists of:</w:t>
      </w:r>
    </w:p>
    <w:p>
      <w:pPr>
        <w:pStyle w:val="ListBullet"/>
        <w:ind w:left="360" w:hanging="216"/>
        <w:jc w:val="left"/>
      </w:pPr>
      <w:r>
        <w:rPr>
          <w:rFonts w:ascii="Times New Roman" w:hAnsi="Times New Roman" w:eastAsia="Times New Roman"/>
        </w:rPr>
        <w:t>mobilizing the epidermal–dermal layer in order to stimulate the mechanoreceptors at the origin of the lemniscal system;</w:t>
      </w:r>
    </w:p>
    <w:p>
      <w:pPr>
        <w:pStyle w:val="ListBullet"/>
        <w:ind w:left="360" w:hanging="216"/>
        <w:jc w:val="left"/>
      </w:pPr>
      <w:r>
        <w:rPr>
          <w:rFonts w:ascii="Times New Roman" w:hAnsi="Times New Roman" w:eastAsia="Times New Roman"/>
        </w:rPr>
        <w:t>providing corrective sensory input to the higher nervous centres involved in regulating dysfunctional regions of the body.</w:t>
      </w:r>
    </w:p>
    <w:p>
      <w:pPr>
        <w:pStyle w:val="Heading3"/>
        <w:jc w:val="left"/>
      </w:pPr>
      <w:r>
        <w:rPr>
          <w:rFonts w:ascii="Arial" w:hAnsi="Arial" w:eastAsia="Arial"/>
        </w:rPr>
        <w:t>3. The “letting be” phase</w:t>
      </w:r>
    </w:p>
    <w:p>
      <w:pPr>
        <w:jc w:val="left"/>
      </w:pPr>
      <w:r>
        <w:rPr>
          <w:rFonts w:ascii="Times New Roman" w:hAnsi="Times New Roman" w:eastAsia="Times New Roman"/>
        </w:rPr>
        <w:t>After stimulation, the organism needs time to integrate and stabilize neurovegetative (autonomic), vascular and tissue adaptations.</w:t>
      </w:r>
    </w:p>
    <w:p>
      <w:pPr>
        <w:jc w:val="left"/>
      </w:pPr>
      <w:r>
        <w:rPr>
          <w:rFonts w:ascii="Times New Roman" w:hAnsi="Times New Roman" w:eastAsia="Times New Roman"/>
        </w:rPr>
        <w:t>It is not the stimulation of the reflex zones itself that produces the therapeutic effect, but the organism’s response. At the level of the reflex zones, this response is expressed by an improvement in skin texture — greater suppleness and glide — and by a reduction in sensitivity.</w:t>
      </w:r>
    </w:p>
    <w:p>
      <w:pPr>
        <w:jc w:val="left"/>
      </w:pPr>
      <w:r>
        <w:rPr>
          <w:rFonts w:ascii="Times New Roman" w:hAnsi="Times New Roman" w:eastAsia="Times New Roman"/>
        </w:rPr>
        <w:t>This latency period of a few seconds is the time required for the organism to initiate the therapeutic reflex loop responsible for deconstructing the pathological reflex loop involved in the dysfunction.</w:t>
      </w:r>
    </w:p>
    <w:p>
      <w:pPr>
        <w:jc w:val="left"/>
      </w:pPr>
      <w:r>
        <w:rPr>
          <w:rFonts w:ascii="Times New Roman" w:hAnsi="Times New Roman" w:eastAsia="Times New Roman"/>
        </w:rPr>
        <w:t>The organism’s capacity and quality of response depend on its vitality and its adaptive–compensatory capacities, in relation to the phase of the general adaptation syndrome in which the disease is evolving: alarm, adaptation, resistance or exhaustion. See Chapter 5, Stress Mechanism, p. …</w:t>
      </w:r>
    </w:p>
    <w:p>
      <w:pPr>
        <w:pStyle w:val="Heading1"/>
        <w:jc w:val="left"/>
      </w:pPr>
      <w:r>
        <w:rPr>
          <w:rFonts w:ascii="Arial" w:hAnsi="Arial" w:eastAsia="Arial"/>
        </w:rPr>
        <w:t>2. Treatment modalities</w:t>
      </w:r>
    </w:p>
    <w:p>
      <w:pPr>
        <w:pStyle w:val="Heading2"/>
        <w:jc w:val="left"/>
      </w:pPr>
      <w:r>
        <w:rPr>
          <w:rFonts w:ascii="Arial" w:hAnsi="Arial" w:eastAsia="Arial"/>
        </w:rPr>
        <w:t>Duration</w:t>
      </w:r>
    </w:p>
    <w:p>
      <w:pPr>
        <w:jc w:val="left"/>
      </w:pPr>
      <w:r>
        <w:rPr>
          <w:rFonts w:ascii="Times New Roman" w:hAnsi="Times New Roman" w:eastAsia="Times New Roman"/>
        </w:rPr>
        <w:t>The effectiveness of treatment is not related to the duration of the session.</w:t>
      </w:r>
    </w:p>
    <w:p>
      <w:pPr>
        <w:pStyle w:val="Heading2"/>
        <w:jc w:val="left"/>
      </w:pPr>
      <w:r>
        <w:rPr>
          <w:rFonts w:ascii="Arial" w:hAnsi="Arial" w:eastAsia="Arial"/>
        </w:rPr>
        <w:t>Frequency</w:t>
      </w:r>
    </w:p>
    <w:p>
      <w:pPr>
        <w:jc w:val="left"/>
      </w:pPr>
      <w:r>
        <w:rPr>
          <w:rFonts w:ascii="Times New Roman" w:hAnsi="Times New Roman" w:eastAsia="Times New Roman"/>
        </w:rPr>
        <w:t>An interval of three weeks between sessions is the time required for the organism to integrate the treatment.</w:t>
      </w:r>
    </w:p>
    <w:p>
      <w:pPr>
        <w:jc w:val="left"/>
      </w:pPr>
      <w:r>
        <w:rPr>
          <w:rFonts w:ascii="Times New Roman" w:hAnsi="Times New Roman" w:eastAsia="Times New Roman"/>
        </w:rPr>
        <w:t>Treatments given too close together do not allow enough time for the neurovascular and structural processes involved in the functional disorders to support physiological regulation in the dysfunctional viscera and structures.</w:t>
      </w:r>
    </w:p>
    <w:p>
      <w:pPr>
        <w:jc w:val="left"/>
      </w:pPr>
      <w:r>
        <w:rPr>
          <w:rFonts w:ascii="Times New Roman" w:hAnsi="Times New Roman" w:eastAsia="Times New Roman"/>
        </w:rPr>
        <w:t>For most indications — see Indications, p. … — three sessions are sufficient to obtain satisfactory improvement, with the possibility of seeing the patient again six months later if necessary.</w:t>
      </w:r>
    </w:p>
    <w:p>
      <w:pPr>
        <w:jc w:val="left"/>
      </w:pPr>
      <w:r>
        <w:rPr>
          <w:rFonts w:ascii="Times New Roman" w:hAnsi="Times New Roman" w:eastAsia="Times New Roman"/>
        </w:rPr>
        <w:t>If no significant improvement is observed after three sessions, the diagnosis should be reconsidered and, if necessary, the patient should be referred back to their physician.</w:t>
      </w:r>
    </w:p>
    <w:p>
      <w:pPr>
        <w:jc w:val="left"/>
      </w:pPr>
      <w:r>
        <w:rPr>
          <w:rFonts w:ascii="Times New Roman" w:hAnsi="Times New Roman" w:eastAsia="Times New Roman"/>
        </w:rPr>
        <w:t>Chronic conditions require more regular follow-up.</w:t>
      </w:r>
    </w:p>
    <w:p>
      <w:pPr>
        <w:pStyle w:val="Heading1"/>
        <w:jc w:val="left"/>
      </w:pPr>
      <w:r>
        <w:rPr>
          <w:rFonts w:ascii="Arial" w:hAnsi="Arial" w:eastAsia="Arial"/>
        </w:rPr>
        <w:t>3. Treatment hierarchy</w:t>
      </w:r>
    </w:p>
    <w:p>
      <w:pPr>
        <w:jc w:val="left"/>
      </w:pPr>
      <w:r>
        <w:rPr>
          <w:rFonts w:ascii="Times New Roman" w:hAnsi="Times New Roman" w:eastAsia="Times New Roman"/>
        </w:rPr>
        <w:t>There is no immutable protocol: such a protocol would contradict the holistic concept. It is the tests that determine the priority.</w:t>
      </w:r>
    </w:p>
    <w:p>
      <w:pPr>
        <w:jc w:val="left"/>
      </w:pPr>
      <w:r>
        <w:rPr>
          <w:rFonts w:ascii="Times New Roman" w:hAnsi="Times New Roman" w:eastAsia="Times New Roman"/>
        </w:rPr>
        <w:t>Nevertheless, broad treatment guidelines may be proposed, but they should not be used to confine the patient within a rigid protocol disconnected from clinical reality.</w:t>
      </w:r>
    </w:p>
    <w:p>
      <w:pPr>
        <w:pStyle w:val="Heading2"/>
        <w:jc w:val="left"/>
      </w:pPr>
      <w:r>
        <w:rPr>
          <w:rFonts w:ascii="Arial" w:hAnsi="Arial" w:eastAsia="Arial"/>
        </w:rPr>
        <w:t>1. Sequelae of trauma, surgery or infection</w:t>
      </w:r>
    </w:p>
    <w:p>
      <w:pPr>
        <w:jc w:val="left"/>
      </w:pPr>
      <w:r>
        <w:rPr>
          <w:rFonts w:ascii="Times New Roman" w:hAnsi="Times New Roman" w:eastAsia="Times New Roman"/>
        </w:rPr>
        <w:t>Symptoms spontaneously reported by the patient and appearing after trauma, surgery or infection generally coincide with the clinical examination. These symptoms retain their priority.</w:t>
      </w:r>
    </w:p>
    <w:p>
      <w:pPr>
        <w:pStyle w:val="Heading2"/>
        <w:jc w:val="left"/>
      </w:pPr>
      <w:r>
        <w:rPr>
          <w:rFonts w:ascii="Arial" w:hAnsi="Arial" w:eastAsia="Arial"/>
        </w:rPr>
        <w:t>2. Case history and global/local listening tests</w:t>
      </w:r>
    </w:p>
    <w:p>
      <w:pPr>
        <w:jc w:val="left"/>
      </w:pPr>
      <w:r>
        <w:rPr>
          <w:rFonts w:ascii="Times New Roman" w:hAnsi="Times New Roman" w:eastAsia="Times New Roman"/>
        </w:rPr>
        <w:t>In the absence of spontaneously reported trauma, surgical history or infection, it is the case history, clinical examination, and global and local listening tests that lead us to the dominant fixation.</w:t>
      </w:r>
    </w:p>
    <w:p>
      <w:pPr>
        <w:jc w:val="left"/>
      </w:pPr>
      <w:r>
        <w:rPr>
          <w:rFonts w:ascii="Times New Roman" w:hAnsi="Times New Roman" w:eastAsia="Times New Roman"/>
        </w:rPr>
        <w:t>Through mechanisms of adaptation–compensation and then decompensation, this fixation may have resulted in symptoms sometimes located far from the fixation itself.</w:t>
      </w:r>
    </w:p>
    <w:p>
      <w:pPr>
        <w:pStyle w:val="Heading2"/>
        <w:jc w:val="left"/>
      </w:pPr>
      <w:r>
        <w:rPr>
          <w:rFonts w:ascii="Arial" w:hAnsi="Arial" w:eastAsia="Arial"/>
        </w:rPr>
        <w:t>3. Emotional listening</w:t>
      </w:r>
    </w:p>
    <w:p>
      <w:pPr>
        <w:jc w:val="left"/>
      </w:pPr>
      <w:r>
        <w:rPr>
          <w:rFonts w:ascii="Times New Roman" w:hAnsi="Times New Roman" w:eastAsia="Times New Roman"/>
        </w:rPr>
        <w:t>It may be necessary to search for old physical or psycho-emotional traumas that have been forgotten, repressed in certain layers of the unconscious, or even deliberately suppressed.</w:t>
      </w:r>
    </w:p>
    <w:p>
      <w:pPr>
        <w:jc w:val="left"/>
      </w:pPr>
      <w:r>
        <w:rPr>
          <w:rFonts w:ascii="Times New Roman" w:hAnsi="Times New Roman" w:eastAsia="Times New Roman"/>
        </w:rPr>
        <w:t>Tissue listening, followed by emotional listening, may help reveal significant — and especially negative — events encoded in the amygdala and hippocampus of the limbic system. See Chapter 3, Central Nervous System, p. …</w:t>
      </w:r>
    </w:p>
    <w:p>
      <w:pPr>
        <w:pStyle w:val="Heading2"/>
        <w:jc w:val="left"/>
      </w:pPr>
      <w:r>
        <w:rPr>
          <w:rFonts w:ascii="Arial" w:hAnsi="Arial" w:eastAsia="Arial"/>
        </w:rPr>
        <w:t>4. Stress mechanism</w:t>
      </w:r>
    </w:p>
    <w:p>
      <w:pPr>
        <w:jc w:val="left"/>
      </w:pPr>
      <w:r>
        <w:rPr>
          <w:rFonts w:ascii="Times New Roman" w:hAnsi="Times New Roman" w:eastAsia="Times New Roman"/>
        </w:rPr>
        <w:t>A local tissue fixation — or locoregional syndrome — must always be placed within its general context, namely the general adaptation syndrome, which in fact reflects the individual’s history. See Chapter 5, Stress Mechanism, p. …</w:t>
      </w:r>
    </w:p>
    <w:p>
      <w:pPr>
        <w:pStyle w:val="Heading1"/>
        <w:jc w:val="left"/>
      </w:pPr>
      <w:r>
        <w:rPr>
          <w:rFonts w:ascii="Arial" w:hAnsi="Arial" w:eastAsia="Arial"/>
        </w:rPr>
        <w:t>4. Occipital and plantar reflex zones</w:t>
      </w:r>
    </w:p>
    <w:p>
      <w:pPr>
        <w:pStyle w:val="Heading2"/>
        <w:jc w:val="left"/>
      </w:pPr>
      <w:r>
        <w:rPr>
          <w:rFonts w:ascii="Arial" w:hAnsi="Arial" w:eastAsia="Arial"/>
        </w:rPr>
        <w:t>1. Occipital reflex zones</w:t>
      </w:r>
    </w:p>
    <w:p>
      <w:pPr>
        <w:jc w:val="left"/>
      </w:pPr>
      <w:r>
        <w:rPr>
          <w:rFonts w:ascii="Times New Roman" w:hAnsi="Times New Roman" w:eastAsia="Times New Roman"/>
        </w:rPr>
        <w:t>See Figure 3.6.</w:t>
      </w:r>
    </w:p>
    <w:p>
      <w:pPr>
        <w:pStyle w:val="Heading2"/>
        <w:jc w:val="left"/>
      </w:pPr>
      <w:r>
        <w:rPr>
          <w:rFonts w:ascii="Arial" w:hAnsi="Arial" w:eastAsia="Arial"/>
        </w:rPr>
        <w:t>2. General adaptation syndrome</w:t>
      </w:r>
    </w:p>
    <w:p>
      <w:pPr>
        <w:jc w:val="left"/>
      </w:pPr>
      <w:r>
        <w:rPr>
          <w:rFonts w:ascii="Times New Roman" w:hAnsi="Times New Roman" w:eastAsia="Times New Roman"/>
        </w:rPr>
        <w:t>The objective is to support neurovegetative regulation and general adaptation before addressing the local dysfunction.</w:t>
      </w:r>
    </w:p>
    <w:p>
      <w:pPr>
        <w:pStyle w:val="ListBullet"/>
        <w:ind w:left="360" w:hanging="216"/>
        <w:jc w:val="left"/>
      </w:pPr>
      <w:r>
        <w:rPr>
          <w:rFonts w:ascii="Times New Roman" w:hAnsi="Times New Roman" w:eastAsia="Times New Roman"/>
        </w:rPr>
        <w:t>PRM: occiput–C1–C2, trigeminal nerve V, vagus nerve X and hypoglossal nerve XII, falx cerebri and tentorium cerebelli, second sacral vertebra S2, cranial base and vault. See Figure 4.3.</w:t>
      </w:r>
    </w:p>
    <w:p>
      <w:pPr>
        <w:pStyle w:val="ListBullet"/>
        <w:ind w:left="360" w:hanging="216"/>
        <w:jc w:val="left"/>
      </w:pPr>
      <w:r>
        <w:rPr>
          <w:rFonts w:ascii="Times New Roman" w:hAnsi="Times New Roman" w:eastAsia="Times New Roman"/>
        </w:rPr>
        <w:t>Cerebrospinal fluid circulation: venous system — jugular foramen, deep breathing — compression of the fourth ventricle, see Figure 3.18, and SSB–S2 synchronization, see Figure 3.19. Refer to Réflexothérapie occipito-podale et système neuro-méningé, Elsevier Masson, pp. 96–97.</w:t>
      </w:r>
    </w:p>
    <w:p>
      <w:pPr>
        <w:pStyle w:val="ListBullet"/>
        <w:ind w:left="360" w:hanging="216"/>
        <w:jc w:val="left"/>
      </w:pPr>
      <w:r>
        <w:rPr>
          <w:rFonts w:ascii="Times New Roman" w:hAnsi="Times New Roman" w:eastAsia="Times New Roman"/>
        </w:rPr>
        <w:t>Diencephalon, brainstem, pituitary gland. See Figures 3.7 and 3.8.</w:t>
      </w:r>
    </w:p>
    <w:p>
      <w:pPr>
        <w:pStyle w:val="ListBullet"/>
        <w:ind w:left="360" w:hanging="216"/>
        <w:jc w:val="left"/>
      </w:pPr>
      <w:r>
        <w:rPr>
          <w:rFonts w:ascii="Times New Roman" w:hAnsi="Times New Roman" w:eastAsia="Times New Roman"/>
        </w:rPr>
        <w:t>Vagus nerve — viscera of the cervico-thoraco-abdominal territory: foramen magnum, jugular foramen, carotid sinus, see Figure 4.11, and oesophageal hiatus, see Figure 4.17.</w:t>
      </w:r>
    </w:p>
    <w:p>
      <w:pPr>
        <w:pStyle w:val="ListBullet"/>
        <w:ind w:left="360" w:hanging="216"/>
        <w:jc w:val="left"/>
      </w:pPr>
      <w:r>
        <w:rPr>
          <w:rFonts w:ascii="Times New Roman" w:hAnsi="Times New Roman" w:eastAsia="Times New Roman"/>
        </w:rPr>
        <w:t>Pelvic parasympathetic system — pelvic viscera and distal part of the colon. See Figure 4.23.</w:t>
      </w:r>
    </w:p>
    <w:p>
      <w:pPr>
        <w:pStyle w:val="ListBullet"/>
        <w:ind w:left="360" w:hanging="216"/>
        <w:jc w:val="left"/>
      </w:pPr>
      <w:r>
        <w:rPr>
          <w:rFonts w:ascii="Times New Roman" w:hAnsi="Times New Roman" w:eastAsia="Times New Roman"/>
        </w:rPr>
        <w:t>Spinal column, costotransverse joints, sympathetic innervation — thoracic paravertebral ganglionic chain. See Figures 4.23 and 4.32.</w:t>
      </w:r>
    </w:p>
    <w:p>
      <w:pPr>
        <w:pStyle w:val="ListBullet"/>
        <w:ind w:left="360" w:hanging="216"/>
        <w:jc w:val="left"/>
      </w:pPr>
      <w:r>
        <w:rPr>
          <w:rFonts w:ascii="Times New Roman" w:hAnsi="Times New Roman" w:eastAsia="Times New Roman"/>
        </w:rPr>
        <w:t>Prevertebral plexus. See Figures 4.17 and 4.22.</w:t>
      </w:r>
    </w:p>
    <w:p>
      <w:pPr>
        <w:pStyle w:val="Heading2"/>
        <w:jc w:val="left"/>
      </w:pPr>
      <w:r>
        <w:rPr>
          <w:rFonts w:ascii="Arial" w:hAnsi="Arial" w:eastAsia="Arial"/>
        </w:rPr>
        <w:t>3. Locoregional syndrome</w:t>
      </w:r>
    </w:p>
    <w:p>
      <w:pPr>
        <w:jc w:val="left"/>
      </w:pPr>
      <w:r>
        <w:rPr>
          <w:rFonts w:ascii="Times New Roman" w:hAnsi="Times New Roman" w:eastAsia="Times New Roman"/>
        </w:rPr>
        <w:t>The objective is to address the mechanical and neurovegetative loops related to the symptomatic region.</w:t>
      </w:r>
    </w:p>
    <w:p>
      <w:pPr>
        <w:pStyle w:val="ListBullet"/>
        <w:ind w:left="360" w:hanging="216"/>
        <w:jc w:val="left"/>
      </w:pPr>
      <w:r>
        <w:rPr>
          <w:rFonts w:ascii="Times New Roman" w:hAnsi="Times New Roman" w:eastAsia="Times New Roman"/>
        </w:rPr>
        <w:t>Plexuses and nerves of the somatic nervous system — viscerosomatic relationships;</w:t>
      </w:r>
    </w:p>
    <w:p>
      <w:pPr>
        <w:pStyle w:val="ListBullet"/>
        <w:ind w:left="360" w:hanging="216"/>
        <w:jc w:val="left"/>
      </w:pPr>
      <w:r>
        <w:rPr>
          <w:rFonts w:ascii="Times New Roman" w:hAnsi="Times New Roman" w:eastAsia="Times New Roman"/>
        </w:rPr>
        <w:t>Visceral system;</w:t>
      </w:r>
    </w:p>
    <w:p>
      <w:pPr>
        <w:pStyle w:val="ListBullet"/>
        <w:ind w:left="360" w:hanging="216"/>
        <w:jc w:val="left"/>
      </w:pPr>
      <w:r>
        <w:rPr>
          <w:rFonts w:ascii="Times New Roman" w:hAnsi="Times New Roman" w:eastAsia="Times New Roman"/>
        </w:rPr>
        <w:t>Abdominal or pelvic cavity, depending on the visceral system involved.</w:t>
      </w:r>
    </w:p>
    <w:p>
      <w:pPr>
        <w:pStyle w:val="Heading2"/>
        <w:jc w:val="left"/>
      </w:pPr>
      <w:r>
        <w:rPr>
          <w:rFonts w:ascii="Arial" w:hAnsi="Arial" w:eastAsia="Arial"/>
        </w:rPr>
        <w:t>4. Limbic system</w:t>
      </w:r>
    </w:p>
    <w:p>
      <w:pPr>
        <w:jc w:val="left"/>
      </w:pPr>
      <w:r>
        <w:rPr>
          <w:rFonts w:ascii="Times New Roman" w:hAnsi="Times New Roman" w:eastAsia="Times New Roman"/>
        </w:rPr>
        <w:t>The objective is to integrate the stress, emotional and body-memory dimensions that may maintain neurovegetative and tissue loops.</w:t>
      </w:r>
    </w:p>
    <w:p>
      <w:pPr>
        <w:pStyle w:val="ListBullet"/>
        <w:ind w:left="360" w:hanging="216"/>
        <w:jc w:val="left"/>
      </w:pPr>
      <w:r>
        <w:rPr>
          <w:rFonts w:ascii="Times New Roman" w:hAnsi="Times New Roman" w:eastAsia="Times New Roman"/>
        </w:rPr>
        <w:t>Amygdala, hippocampus, insula;</w:t>
      </w:r>
    </w:p>
    <w:p>
      <w:pPr>
        <w:pStyle w:val="ListBullet"/>
        <w:ind w:left="360" w:hanging="216"/>
        <w:jc w:val="left"/>
      </w:pPr>
      <w:r>
        <w:rPr>
          <w:rFonts w:ascii="Times New Roman" w:hAnsi="Times New Roman" w:eastAsia="Times New Roman"/>
        </w:rPr>
        <w:t>Limbic brain–dysfunctional viscus balance: listening–induction, with one thumb placed on the dominant dysfunctional viscus and the other thumb on the limbic brain area. See Figure 1.12.</w:t>
      </w:r>
    </w:p>
    <w:p>
      <w:pPr>
        <w:pStyle w:val="Heading1"/>
        <w:jc w:val="left"/>
      </w:pPr>
      <w:r>
        <w:rPr>
          <w:rFonts w:ascii="Arial" w:hAnsi="Arial" w:eastAsia="Arial"/>
        </w:rPr>
        <w:t>5. Example</w:t>
      </w:r>
    </w:p>
    <w:p>
      <w:pPr>
        <w:pStyle w:val="Heading2"/>
        <w:jc w:val="left"/>
      </w:pPr>
      <w:r>
        <w:rPr>
          <w:rFonts w:ascii="Arial" w:hAnsi="Arial" w:eastAsia="Arial"/>
        </w:rPr>
        <w:t>Left-sided lumbosciatica occurring a few months after childbirth in Mrs X, in her thirties</w:t>
      </w:r>
    </w:p>
    <w:p>
      <w:pPr>
        <w:pStyle w:val="Heading2"/>
        <w:jc w:val="left"/>
      </w:pPr>
      <w:r>
        <w:rPr>
          <w:rFonts w:ascii="Arial" w:hAnsi="Arial" w:eastAsia="Arial"/>
        </w:rPr>
        <w:t>Case history</w:t>
      </w:r>
    </w:p>
    <w:p>
      <w:pPr>
        <w:pStyle w:val="ListBullet"/>
        <w:ind w:left="360" w:hanging="216"/>
        <w:jc w:val="left"/>
      </w:pPr>
      <w:r>
        <w:rPr>
          <w:rFonts w:ascii="Times New Roman" w:hAnsi="Times New Roman" w:eastAsia="Times New Roman"/>
        </w:rPr>
        <w:t>No known history of trauma;</w:t>
      </w:r>
    </w:p>
    <w:p>
      <w:pPr>
        <w:pStyle w:val="ListBullet"/>
        <w:ind w:left="360" w:hanging="216"/>
        <w:jc w:val="left"/>
      </w:pPr>
      <w:r>
        <w:rPr>
          <w:rFonts w:ascii="Times New Roman" w:hAnsi="Times New Roman" w:eastAsia="Times New Roman"/>
        </w:rPr>
        <w:t>Lumbosciatic pain is aggravated during menstruation;</w:t>
      </w:r>
    </w:p>
    <w:p>
      <w:pPr>
        <w:pStyle w:val="ListBullet"/>
        <w:ind w:left="360" w:hanging="216"/>
        <w:jc w:val="left"/>
      </w:pPr>
      <w:r>
        <w:rPr>
          <w:rFonts w:ascii="Times New Roman" w:hAnsi="Times New Roman" w:eastAsia="Times New Roman"/>
        </w:rPr>
        <w:t>Stress urinary incontinence is revealed during the case history;</w:t>
      </w:r>
    </w:p>
    <w:p>
      <w:pPr>
        <w:pStyle w:val="ListBullet"/>
        <w:ind w:left="360" w:hanging="216"/>
        <w:jc w:val="left"/>
      </w:pPr>
      <w:r>
        <w:rPr>
          <w:rFonts w:ascii="Times New Roman" w:hAnsi="Times New Roman" w:eastAsia="Times New Roman"/>
        </w:rPr>
        <w:t>The labour was long — primiparous patient;</w:t>
      </w:r>
    </w:p>
    <w:p>
      <w:pPr>
        <w:pStyle w:val="ListBullet"/>
        <w:ind w:left="360" w:hanging="216"/>
        <w:jc w:val="left"/>
      </w:pPr>
      <w:r>
        <w:rPr>
          <w:rFonts w:ascii="Times New Roman" w:hAnsi="Times New Roman" w:eastAsia="Times New Roman"/>
        </w:rPr>
        <w:t>The gynaecological examination is normal. Radiography shows slight narrowing at L5–S1 without displacement of the S1 nerve root;</w:t>
      </w:r>
    </w:p>
    <w:p>
      <w:pPr>
        <w:pStyle w:val="ListBullet"/>
        <w:ind w:left="360" w:hanging="216"/>
        <w:jc w:val="left"/>
      </w:pPr>
      <w:r>
        <w:rPr>
          <w:rFonts w:ascii="Times New Roman" w:hAnsi="Times New Roman" w:eastAsia="Times New Roman"/>
        </w:rPr>
        <w:t>The pain affects her emotionally because she is self-employed and would like to resume work quickly.</w:t>
      </w:r>
    </w:p>
    <w:p>
      <w:pPr>
        <w:pStyle w:val="Heading2"/>
        <w:jc w:val="left"/>
      </w:pPr>
      <w:r>
        <w:rPr>
          <w:rFonts w:ascii="Arial" w:hAnsi="Arial" w:eastAsia="Arial"/>
        </w:rPr>
        <w:t>Tests</w:t>
      </w:r>
    </w:p>
    <w:p>
      <w:pPr>
        <w:pStyle w:val="ListBullet"/>
        <w:ind w:left="360" w:hanging="216"/>
        <w:jc w:val="left"/>
      </w:pPr>
      <w:r>
        <w:rPr>
          <w:rFonts w:ascii="Times New Roman" w:hAnsi="Times New Roman" w:eastAsia="Times New Roman"/>
        </w:rPr>
        <w:t>Global listening tests in standing and sitting positions show anterior flexion of the trunk and low left lateral flexion.</w:t>
      </w:r>
    </w:p>
    <w:p>
      <w:pPr>
        <w:pStyle w:val="ListBullet"/>
        <w:ind w:left="360" w:hanging="216"/>
        <w:jc w:val="left"/>
      </w:pPr>
      <w:r>
        <w:rPr>
          <w:rFonts w:ascii="Times New Roman" w:hAnsi="Times New Roman" w:eastAsia="Times New Roman"/>
        </w:rPr>
        <w:t>Vertebral tests show slight loss of left-sided mobility at the L2–L3 and L5–S1 vertebral levels, and left fixation of the sacroiliac joint and coccyx.</w:t>
      </w:r>
    </w:p>
    <w:p>
      <w:pPr>
        <w:pStyle w:val="ListBullet"/>
        <w:ind w:left="360" w:hanging="216"/>
        <w:jc w:val="left"/>
      </w:pPr>
      <w:r>
        <w:rPr>
          <w:rFonts w:ascii="Times New Roman" w:hAnsi="Times New Roman" w:eastAsia="Times New Roman"/>
        </w:rPr>
        <w:t>Local listening tests in the supine position show improvement of the completed Lasègue test when the listening hand placed on the pubic symphysis is drawn slightly to the left and in depth towards the cervico-isthmic region of the uterus.</w:t>
      </w:r>
    </w:p>
    <w:p>
      <w:pPr>
        <w:pStyle w:val="ListBullet"/>
        <w:ind w:left="360" w:hanging="216"/>
        <w:jc w:val="left"/>
      </w:pPr>
      <w:r>
        <w:rPr>
          <w:rFonts w:ascii="Times New Roman" w:hAnsi="Times New Roman" w:eastAsia="Times New Roman"/>
        </w:rPr>
        <w:t>In left lateral decubitus, the practitioner’s fingers, placed in the lower abdominal region, perceive resistance to uterine mobility.</w:t>
      </w:r>
    </w:p>
    <w:p>
      <w:pPr>
        <w:pStyle w:val="ListBullet"/>
        <w:ind w:left="360" w:hanging="216"/>
        <w:jc w:val="left"/>
      </w:pPr>
      <w:r>
        <w:rPr>
          <w:rFonts w:ascii="Times New Roman" w:hAnsi="Times New Roman" w:eastAsia="Times New Roman"/>
        </w:rPr>
        <w:t>The left hip test shows loss of medial rotation.</w:t>
      </w:r>
    </w:p>
    <w:p>
      <w:pPr>
        <w:pStyle w:val="Heading2"/>
        <w:jc w:val="left"/>
      </w:pPr>
      <w:r>
        <w:rPr>
          <w:rFonts w:ascii="Arial" w:hAnsi="Arial" w:eastAsia="Arial"/>
        </w:rPr>
        <w:t>Anatomophysiopathological mechanism</w:t>
      </w:r>
    </w:p>
    <w:p>
      <w:pPr>
        <w:pStyle w:val="Heading3"/>
        <w:jc w:val="left"/>
      </w:pPr>
      <w:r>
        <w:rPr>
          <w:rFonts w:ascii="Arial" w:hAnsi="Arial" w:eastAsia="Arial"/>
        </w:rPr>
        <w:t>Locoregional syndrome</w:t>
      </w:r>
    </w:p>
    <w:p>
      <w:pPr>
        <w:jc w:val="left"/>
      </w:pPr>
      <w:r>
        <w:rPr>
          <w:rFonts w:ascii="Times New Roman" w:hAnsi="Times New Roman" w:eastAsia="Times New Roman"/>
        </w:rPr>
        <w:t>Within the ROP model, the left-sided sciatica is related to malposition of the uterus, deviated to the left by tension in the left uterosacral ligament.</w:t>
      </w:r>
    </w:p>
    <w:p>
      <w:pPr>
        <w:jc w:val="left"/>
      </w:pPr>
      <w:r>
        <w:rPr>
          <w:rFonts w:ascii="Times New Roman" w:hAnsi="Times New Roman" w:eastAsia="Times New Roman"/>
        </w:rPr>
        <w:t>As a consequence, there is:</w:t>
      </w:r>
    </w:p>
    <w:p>
      <w:pPr>
        <w:pStyle w:val="ListBullet"/>
        <w:ind w:left="360" w:hanging="216"/>
        <w:jc w:val="left"/>
      </w:pPr>
      <w:r>
        <w:rPr>
          <w:rFonts w:ascii="Times New Roman" w:hAnsi="Times New Roman" w:eastAsia="Times New Roman"/>
        </w:rPr>
        <w:t>partial fixation of the left sacroiliac joint;</w:t>
      </w:r>
    </w:p>
    <w:p>
      <w:pPr>
        <w:pStyle w:val="ListBullet"/>
        <w:ind w:left="360" w:hanging="216"/>
        <w:jc w:val="left"/>
      </w:pPr>
      <w:r>
        <w:rPr>
          <w:rFonts w:ascii="Times New Roman" w:hAnsi="Times New Roman" w:eastAsia="Times New Roman"/>
        </w:rPr>
        <w:t>fibrosis of the left piriformis muscle, interfering with the sciatic nerve;</w:t>
      </w:r>
    </w:p>
    <w:p>
      <w:pPr>
        <w:pStyle w:val="ListBullet"/>
        <w:ind w:left="360" w:hanging="216"/>
        <w:jc w:val="left"/>
      </w:pPr>
      <w:r>
        <w:rPr>
          <w:rFonts w:ascii="Times New Roman" w:hAnsi="Times New Roman" w:eastAsia="Times New Roman"/>
        </w:rPr>
        <w:t>deviation of the uterus, which also pulls the bladder and sacrum with it;</w:t>
      </w:r>
    </w:p>
    <w:p>
      <w:pPr>
        <w:pStyle w:val="ListBullet"/>
        <w:ind w:left="360" w:hanging="216"/>
        <w:jc w:val="left"/>
      </w:pPr>
      <w:r>
        <w:rPr>
          <w:rFonts w:ascii="Times New Roman" w:hAnsi="Times New Roman" w:eastAsia="Times New Roman"/>
        </w:rPr>
        <w:t>sacrococcygeal fixation, leading to loss of elasticity and contractility of the pelvic floor.</w:t>
      </w:r>
    </w:p>
    <w:p>
      <w:pPr>
        <w:pStyle w:val="Heading3"/>
        <w:jc w:val="left"/>
      </w:pPr>
      <w:r>
        <w:rPr>
          <w:rFonts w:ascii="Arial" w:hAnsi="Arial" w:eastAsia="Arial"/>
        </w:rPr>
        <w:t>General syndrome</w:t>
      </w:r>
    </w:p>
    <w:p>
      <w:pPr>
        <w:pStyle w:val="ListBullet"/>
        <w:ind w:left="360" w:hanging="216"/>
        <w:jc w:val="left"/>
      </w:pPr>
      <w:r>
        <w:rPr>
          <w:rFonts w:ascii="Times New Roman" w:hAnsi="Times New Roman" w:eastAsia="Times New Roman"/>
        </w:rPr>
        <w:t>The menstrual cycle is under the hormonal and neurovegetative control of diencephalic centres.</w:t>
      </w:r>
    </w:p>
    <w:p>
      <w:pPr>
        <w:pStyle w:val="ListBullet"/>
        <w:ind w:left="360" w:hanging="216"/>
        <w:jc w:val="left"/>
      </w:pPr>
      <w:r>
        <w:rPr>
          <w:rFonts w:ascii="Times New Roman" w:hAnsi="Times New Roman" w:eastAsia="Times New Roman"/>
        </w:rPr>
        <w:t>Sacrococcygeal fixation places tension on the spinal dura mater and, through it, on the Primary Respiratory Mechanism — PRM.</w:t>
      </w:r>
    </w:p>
    <w:p>
      <w:pPr>
        <w:pStyle w:val="ListBullet"/>
        <w:ind w:left="360" w:hanging="216"/>
        <w:jc w:val="left"/>
      </w:pPr>
      <w:r>
        <w:rPr>
          <w:rFonts w:ascii="Times New Roman" w:hAnsi="Times New Roman" w:eastAsia="Times New Roman"/>
        </w:rPr>
        <w:t>The portal system drains venous blood from the pelvis. Any hepatic fixation slows venous return from the lesser pelvis.</w:t>
      </w:r>
    </w:p>
    <w:p>
      <w:pPr>
        <w:pStyle w:val="ListBullet"/>
        <w:ind w:left="360" w:hanging="216"/>
        <w:jc w:val="left"/>
      </w:pPr>
      <w:r>
        <w:rPr>
          <w:rFonts w:ascii="Times New Roman" w:hAnsi="Times New Roman" w:eastAsia="Times New Roman"/>
        </w:rPr>
        <w:t>The left kidney also contributes to venous return from the lesser pelvis.</w:t>
      </w:r>
    </w:p>
    <w:p>
      <w:pPr>
        <w:pStyle w:val="ListBullet"/>
        <w:ind w:left="360" w:hanging="216"/>
        <w:jc w:val="left"/>
      </w:pPr>
      <w:r>
        <w:rPr>
          <w:rFonts w:ascii="Times New Roman" w:hAnsi="Times New Roman" w:eastAsia="Times New Roman"/>
        </w:rPr>
        <w:t>In her new life as a mother, her limbic system is activated by anxiety, by sciatica, and by the return to professional activity disrupted by motherhood.</w:t>
      </w:r>
    </w:p>
    <w:p>
      <w:pPr>
        <w:pStyle w:val="Heading2"/>
        <w:jc w:val="left"/>
      </w:pPr>
      <w:r>
        <w:rPr>
          <w:rFonts w:ascii="Arial" w:hAnsi="Arial" w:eastAsia="Arial"/>
        </w:rPr>
        <w:t>ROP treatment</w:t>
      </w:r>
    </w:p>
    <w:p>
      <w:pPr>
        <w:pStyle w:val="Heading3"/>
        <w:jc w:val="left"/>
      </w:pPr>
      <w:r>
        <w:rPr>
          <w:rFonts w:ascii="Arial" w:hAnsi="Arial" w:eastAsia="Arial"/>
        </w:rPr>
        <w:t>1. Occipital reflex zones</w:t>
      </w:r>
    </w:p>
    <w:p>
      <w:pPr>
        <w:pStyle w:val="Heading3"/>
        <w:jc w:val="left"/>
      </w:pPr>
      <w:r>
        <w:rPr>
          <w:rFonts w:ascii="Arial" w:hAnsi="Arial" w:eastAsia="Arial"/>
        </w:rPr>
        <w:t>2. General adaptation syndrome</w:t>
      </w:r>
    </w:p>
    <w:p>
      <w:pPr>
        <w:pStyle w:val="ListBullet"/>
        <w:ind w:left="360" w:hanging="216"/>
        <w:jc w:val="left"/>
      </w:pPr>
      <w:r>
        <w:rPr>
          <w:rFonts w:ascii="Times New Roman" w:hAnsi="Times New Roman" w:eastAsia="Times New Roman"/>
        </w:rPr>
        <w:t>PRM;</w:t>
      </w:r>
    </w:p>
    <w:p>
      <w:pPr>
        <w:pStyle w:val="ListBullet"/>
        <w:ind w:left="360" w:hanging="216"/>
        <w:jc w:val="left"/>
      </w:pPr>
      <w:r>
        <w:rPr>
          <w:rFonts w:ascii="Times New Roman" w:hAnsi="Times New Roman" w:eastAsia="Times New Roman"/>
        </w:rPr>
        <w:t>Diencephalon;</w:t>
      </w:r>
    </w:p>
    <w:p>
      <w:pPr>
        <w:pStyle w:val="ListBullet"/>
        <w:ind w:left="360" w:hanging="216"/>
        <w:jc w:val="left"/>
      </w:pPr>
      <w:r>
        <w:rPr>
          <w:rFonts w:ascii="Times New Roman" w:hAnsi="Times New Roman" w:eastAsia="Times New Roman"/>
        </w:rPr>
        <w:t>Brainstem;</w:t>
      </w:r>
    </w:p>
    <w:p>
      <w:pPr>
        <w:pStyle w:val="ListBullet"/>
        <w:ind w:left="360" w:hanging="216"/>
        <w:jc w:val="left"/>
      </w:pPr>
      <w:r>
        <w:rPr>
          <w:rFonts w:ascii="Times New Roman" w:hAnsi="Times New Roman" w:eastAsia="Times New Roman"/>
        </w:rPr>
        <w:t>Pituitary gland;</w:t>
      </w:r>
    </w:p>
    <w:p>
      <w:pPr>
        <w:pStyle w:val="ListBullet"/>
        <w:ind w:left="360" w:hanging="216"/>
        <w:jc w:val="left"/>
      </w:pPr>
      <w:r>
        <w:rPr>
          <w:rFonts w:ascii="Times New Roman" w:hAnsi="Times New Roman" w:eastAsia="Times New Roman"/>
        </w:rPr>
        <w:t>Adrenal glands;</w:t>
      </w:r>
    </w:p>
    <w:p>
      <w:pPr>
        <w:pStyle w:val="ListBullet"/>
        <w:ind w:left="360" w:hanging="216"/>
        <w:jc w:val="left"/>
      </w:pPr>
      <w:r>
        <w:rPr>
          <w:rFonts w:ascii="Times New Roman" w:hAnsi="Times New Roman" w:eastAsia="Times New Roman"/>
        </w:rPr>
        <w:t>Spinal column;</w:t>
      </w:r>
    </w:p>
    <w:p>
      <w:pPr>
        <w:pStyle w:val="ListBullet"/>
        <w:ind w:left="360" w:hanging="216"/>
        <w:jc w:val="left"/>
      </w:pPr>
      <w:r>
        <w:rPr>
          <w:rFonts w:ascii="Times New Roman" w:hAnsi="Times New Roman" w:eastAsia="Times New Roman"/>
        </w:rPr>
        <w:t>Liver;</w:t>
      </w:r>
    </w:p>
    <w:p>
      <w:pPr>
        <w:pStyle w:val="ListBullet"/>
        <w:ind w:left="360" w:hanging="216"/>
        <w:jc w:val="left"/>
      </w:pPr>
      <w:r>
        <w:rPr>
          <w:rFonts w:ascii="Times New Roman" w:hAnsi="Times New Roman" w:eastAsia="Times New Roman"/>
        </w:rPr>
        <w:t>Left kidney.</w:t>
      </w:r>
    </w:p>
    <w:p>
      <w:pPr>
        <w:pStyle w:val="Heading3"/>
        <w:jc w:val="left"/>
      </w:pPr>
      <w:r>
        <w:rPr>
          <w:rFonts w:ascii="Arial" w:hAnsi="Arial" w:eastAsia="Arial"/>
        </w:rPr>
        <w:t>3. Locoregional syndrome</w:t>
      </w:r>
    </w:p>
    <w:p>
      <w:pPr>
        <w:pStyle w:val="ListBullet"/>
        <w:ind w:left="360" w:hanging="216"/>
        <w:jc w:val="left"/>
      </w:pPr>
      <w:r>
        <w:rPr>
          <w:rFonts w:ascii="Times New Roman" w:hAnsi="Times New Roman" w:eastAsia="Times New Roman"/>
        </w:rPr>
        <w:t>Cervico-isthmic region of the uterus;</w:t>
      </w:r>
    </w:p>
    <w:p>
      <w:pPr>
        <w:pStyle w:val="ListBullet"/>
        <w:ind w:left="360" w:hanging="216"/>
        <w:jc w:val="left"/>
      </w:pPr>
      <w:r>
        <w:rPr>
          <w:rFonts w:ascii="Times New Roman" w:hAnsi="Times New Roman" w:eastAsia="Times New Roman"/>
        </w:rPr>
        <w:t>Piriformis muscle;</w:t>
      </w:r>
    </w:p>
    <w:p>
      <w:pPr>
        <w:pStyle w:val="ListBullet"/>
        <w:ind w:left="360" w:hanging="216"/>
        <w:jc w:val="left"/>
      </w:pPr>
      <w:r>
        <w:rPr>
          <w:rFonts w:ascii="Times New Roman" w:hAnsi="Times New Roman" w:eastAsia="Times New Roman"/>
        </w:rPr>
        <w:t>Sacrotuberous and sacrospinous ligaments;</w:t>
      </w:r>
    </w:p>
    <w:p>
      <w:pPr>
        <w:pStyle w:val="ListBullet"/>
        <w:ind w:left="360" w:hanging="216"/>
        <w:jc w:val="left"/>
      </w:pPr>
      <w:r>
        <w:rPr>
          <w:rFonts w:ascii="Times New Roman" w:hAnsi="Times New Roman" w:eastAsia="Times New Roman"/>
        </w:rPr>
        <w:t>Pudendal nerve;</w:t>
      </w:r>
    </w:p>
    <w:p>
      <w:pPr>
        <w:pStyle w:val="ListBullet"/>
        <w:ind w:left="360" w:hanging="216"/>
        <w:jc w:val="left"/>
      </w:pPr>
      <w:r>
        <w:rPr>
          <w:rFonts w:ascii="Times New Roman" w:hAnsi="Times New Roman" w:eastAsia="Times New Roman"/>
        </w:rPr>
        <w:t>Sacrococcygeal and sacroiliac joints;</w:t>
      </w:r>
    </w:p>
    <w:p>
      <w:pPr>
        <w:pStyle w:val="ListBullet"/>
        <w:ind w:left="360" w:hanging="216"/>
        <w:jc w:val="left"/>
      </w:pPr>
      <w:r>
        <w:rPr>
          <w:rFonts w:ascii="Times New Roman" w:hAnsi="Times New Roman" w:eastAsia="Times New Roman"/>
        </w:rPr>
        <w:t>Left sacral and sciatic plexuses.</w:t>
      </w:r>
    </w:p>
    <w:p>
      <w:pPr>
        <w:pStyle w:val="Heading3"/>
        <w:jc w:val="left"/>
      </w:pPr>
      <w:r>
        <w:rPr>
          <w:rFonts w:ascii="Arial" w:hAnsi="Arial" w:eastAsia="Arial"/>
        </w:rPr>
        <w:t>4. Limbic system</w:t>
      </w:r>
    </w:p>
    <w:p>
      <w:pPr>
        <w:pStyle w:val="ListBullet"/>
        <w:ind w:left="360" w:hanging="216"/>
        <w:jc w:val="left"/>
      </w:pPr>
      <w:r>
        <w:rPr>
          <w:rFonts w:ascii="Times New Roman" w:hAnsi="Times New Roman" w:eastAsia="Times New Roman"/>
        </w:rPr>
        <w:t>Amygdala;</w:t>
      </w:r>
    </w:p>
    <w:p>
      <w:pPr>
        <w:pStyle w:val="ListBullet"/>
        <w:ind w:left="360" w:hanging="216"/>
        <w:jc w:val="left"/>
      </w:pPr>
      <w:r>
        <w:rPr>
          <w:rFonts w:ascii="Times New Roman" w:hAnsi="Times New Roman" w:eastAsia="Times New Roman"/>
        </w:rPr>
        <w:t>Hippocampus;</w:t>
      </w:r>
    </w:p>
    <w:p>
      <w:pPr>
        <w:pStyle w:val="ListBullet"/>
        <w:ind w:left="360" w:hanging="216"/>
        <w:jc w:val="left"/>
      </w:pPr>
      <w:r>
        <w:rPr>
          <w:rFonts w:ascii="Times New Roman" w:hAnsi="Times New Roman" w:eastAsia="Times New Roman"/>
        </w:rPr>
        <w:t>Insula.</w:t>
      </w:r>
    </w:p>
    <w:p>
      <w:pPr>
        <w:pStyle w:val="Heading1"/>
        <w:jc w:val="left"/>
      </w:pPr>
      <w:r>
        <w:rPr>
          <w:rFonts w:ascii="Arial" w:hAnsi="Arial" w:eastAsia="Arial"/>
        </w:rPr>
        <w:t>6. Contraindications</w:t>
      </w:r>
    </w:p>
    <w:p>
      <w:pPr>
        <w:jc w:val="left"/>
      </w:pPr>
      <w:r>
        <w:rPr>
          <w:rFonts w:ascii="Times New Roman" w:hAnsi="Times New Roman" w:eastAsia="Times New Roman"/>
        </w:rPr>
        <w:t>ROP belongs to a functional-care framework. Any suspicion of organic disease or the presence of a red-flag sign requires medical assessment.</w:t>
      </w:r>
    </w:p>
    <w:p>
      <w:pPr>
        <w:jc w:val="left"/>
      </w:pPr>
      <w:r>
        <w:rPr>
          <w:rFonts w:ascii="Times New Roman" w:hAnsi="Times New Roman" w:eastAsia="Times New Roman"/>
        </w:rPr>
        <w:t>Symptoms that may appear harmless can sometimes conceal serious disease. It is our responsibility to recognize the signs that should lead us not to intervene, in accordance with the principle primum non nocere — first, do no harm.</w:t>
      </w:r>
    </w:p>
    <w:p>
      <w:pPr>
        <w:jc w:val="left"/>
      </w:pPr>
      <w:r>
        <w:rPr>
          <w:rFonts w:ascii="Times New Roman" w:hAnsi="Times New Roman" w:eastAsia="Times New Roman"/>
        </w:rPr>
        <w:t>We will detail the contraindications for each viscus, but the following symptoms should already raise suspicion:</w:t>
      </w:r>
    </w:p>
    <w:p>
      <w:pPr>
        <w:pStyle w:val="ListBullet"/>
        <w:ind w:left="360" w:hanging="216"/>
        <w:jc w:val="left"/>
      </w:pPr>
      <w:r>
        <w:rPr>
          <w:rFonts w:ascii="Times New Roman" w:hAnsi="Times New Roman" w:eastAsia="Times New Roman"/>
        </w:rPr>
        <w:t>non-mechanical pain, aggravated during the first part of the night;</w:t>
      </w:r>
    </w:p>
    <w:p>
      <w:pPr>
        <w:pStyle w:val="ListBullet"/>
        <w:ind w:left="360" w:hanging="216"/>
        <w:jc w:val="left"/>
      </w:pPr>
      <w:r>
        <w:rPr>
          <w:rFonts w:ascii="Times New Roman" w:hAnsi="Times New Roman" w:eastAsia="Times New Roman"/>
        </w:rPr>
        <w:t>atypical chest pain, dyspnoea, malaise;</w:t>
      </w:r>
    </w:p>
    <w:p>
      <w:pPr>
        <w:pStyle w:val="ListBullet"/>
        <w:ind w:left="360" w:hanging="216"/>
        <w:jc w:val="left"/>
      </w:pPr>
      <w:r>
        <w:rPr>
          <w:rFonts w:ascii="Times New Roman" w:hAnsi="Times New Roman" w:eastAsia="Times New Roman"/>
        </w:rPr>
        <w:t>blood in the urine or stools;</w:t>
      </w:r>
    </w:p>
    <w:p>
      <w:pPr>
        <w:pStyle w:val="ListBullet"/>
        <w:ind w:left="360" w:hanging="216"/>
        <w:jc w:val="left"/>
      </w:pPr>
      <w:r>
        <w:rPr>
          <w:rFonts w:ascii="Times New Roman" w:hAnsi="Times New Roman" w:eastAsia="Times New Roman"/>
        </w:rPr>
        <w:t>fever or infectious disease;</w:t>
      </w:r>
    </w:p>
    <w:p>
      <w:pPr>
        <w:pStyle w:val="ListBullet"/>
        <w:ind w:left="360" w:hanging="216"/>
        <w:jc w:val="left"/>
      </w:pPr>
      <w:r>
        <w:rPr>
          <w:rFonts w:ascii="Times New Roman" w:hAnsi="Times New Roman" w:eastAsia="Times New Roman"/>
        </w:rPr>
        <w:t>unexplained weight loss;</w:t>
      </w:r>
    </w:p>
    <w:p>
      <w:pPr>
        <w:pStyle w:val="ListBullet"/>
        <w:ind w:left="360" w:hanging="216"/>
        <w:jc w:val="left"/>
      </w:pPr>
      <w:r>
        <w:rPr>
          <w:rFonts w:ascii="Times New Roman" w:hAnsi="Times New Roman" w:eastAsia="Times New Roman"/>
        </w:rPr>
        <w:t>risk of thrombus migration;</w:t>
      </w:r>
    </w:p>
    <w:p>
      <w:pPr>
        <w:pStyle w:val="ListBullet"/>
        <w:ind w:left="360" w:hanging="216"/>
        <w:jc w:val="left"/>
      </w:pPr>
      <w:r>
        <w:rPr>
          <w:rFonts w:ascii="Times New Roman" w:hAnsi="Times New Roman" w:eastAsia="Times New Roman"/>
        </w:rPr>
        <w:t>pallor and marked fatigue;</w:t>
      </w:r>
    </w:p>
    <w:p>
      <w:pPr>
        <w:pStyle w:val="ListBullet"/>
        <w:ind w:left="360" w:hanging="216"/>
        <w:jc w:val="left"/>
      </w:pPr>
      <w:r>
        <w:rPr>
          <w:rFonts w:ascii="Times New Roman" w:hAnsi="Times New Roman" w:eastAsia="Times New Roman"/>
        </w:rPr>
        <w:t>neurological deficit: sphincter dysfunction or progressive sensory disturbances;</w:t>
      </w:r>
    </w:p>
    <w:p>
      <w:pPr>
        <w:pStyle w:val="ListBullet"/>
        <w:ind w:left="360" w:hanging="216"/>
        <w:jc w:val="left"/>
      </w:pPr>
      <w:r>
        <w:rPr>
          <w:rFonts w:ascii="Times New Roman" w:hAnsi="Times New Roman" w:eastAsia="Times New Roman"/>
        </w:rPr>
        <w:t>anxiety or fear of dying;</w:t>
      </w:r>
    </w:p>
    <w:p>
      <w:pPr>
        <w:pStyle w:val="ListBullet"/>
        <w:ind w:left="360" w:hanging="216"/>
        <w:jc w:val="left"/>
      </w:pPr>
      <w:r>
        <w:rPr>
          <w:rFonts w:ascii="Times New Roman" w:hAnsi="Times New Roman" w:eastAsia="Times New Roman"/>
        </w:rPr>
        <w:t>admitting one’s helplessness when faced with a clinical case that one does not understand.</w:t>
      </w:r>
    </w:p>
    <w:p>
      <w:pPr>
        <w:jc w:val="left"/>
      </w:pPr>
      <w:r>
        <w:rPr>
          <w:rFonts w:ascii="Times New Roman" w:hAnsi="Times New Roman" w:eastAsia="Times New Roman"/>
        </w:rPr>
        <w:t>It is important to be aware of serious disease presentations, because of the risk of delaying medical diagnosis, especially when patients consult us as first-line practitioners without prior medical screening.</w:t>
      </w:r>
    </w:p>
    <w:p>
      <w:pPr>
        <w:jc w:val="left"/>
      </w:pPr>
      <w:r>
        <w:rPr>
          <w:rFonts w:ascii="Times New Roman" w:hAnsi="Times New Roman" w:eastAsia="Times New Roman"/>
        </w:rPr>
        <w:t>ROP must not replace appropriate medical treatment. It nevertheless retains its place as an integrative therapy alongside conventional medicine, helping to reduce the functional consequences of disease or the undesirable but sometimes unavoidable effects of intensive pharmacological treatments, particularly in oncology, or simply to support patients in their well-being.</w:t>
      </w:r>
    </w:p>
    <w:p>
      <w:pPr>
        <w:pStyle w:val="Heading2"/>
        <w:jc w:val="left"/>
      </w:pPr>
      <w:r>
        <w:rPr>
          <w:rFonts w:ascii="Arial" w:hAnsi="Arial" w:eastAsia="Arial"/>
        </w:rPr>
        <w:t>Example</w:t>
      </w:r>
    </w:p>
    <w:p>
      <w:pPr>
        <w:jc w:val="left"/>
      </w:pPr>
      <w:r>
        <w:rPr>
          <w:rFonts w:ascii="Times New Roman" w:hAnsi="Times New Roman" w:eastAsia="Times New Roman"/>
        </w:rPr>
        <w:t>After abdominal surgery, reflex-based intervention may reduce smooth-muscle spasms of the viscera, support restoration of intestinal transit and reduce the need for analgesic and symptom-relief medication.</w:t>
      </w:r>
    </w:p>
    <w:p>
      <w:pPr>
        <w:jc w:val="left"/>
      </w:pPr>
      <w:r>
        <w:rPr>
          <w:rFonts w:ascii="Times New Roman" w:hAnsi="Times New Roman" w:eastAsia="Times New Roman"/>
        </w:rPr>
        <w:t>By acting remotely through reflex pathways, away from the dysfunctional viscus, the risk of iatrogenic effects is limited: this provides safety for both patient and practitioner.</w:t>
      </w:r>
    </w:p>
    <w:p>
      <w:pPr>
        <w:pStyle w:val="Heading1"/>
        <w:jc w:val="left"/>
      </w:pPr>
      <w:r>
        <w:rPr>
          <w:rFonts w:ascii="Arial" w:hAnsi="Arial" w:eastAsia="Arial"/>
        </w:rPr>
        <w:t>7. Indications</w:t>
      </w:r>
    </w:p>
    <w:p>
      <w:pPr>
        <w:jc w:val="left"/>
      </w:pPr>
      <w:r>
        <w:rPr>
          <w:rFonts w:ascii="Times New Roman" w:hAnsi="Times New Roman" w:eastAsia="Times New Roman"/>
        </w:rPr>
        <w:t>Indications are based on the case history, tests, coherence of the reflex zones, and hierarchy of the terrain.</w:t>
      </w:r>
    </w:p>
    <w:p>
      <w:pPr>
        <w:jc w:val="left"/>
      </w:pPr>
      <w:r>
        <w:rPr>
          <w:rFonts w:ascii="Times New Roman" w:hAnsi="Times New Roman" w:eastAsia="Times New Roman"/>
        </w:rPr>
        <w:t>Functional pathologies are the major field of so-called integrative therapies.</w:t>
      </w:r>
    </w:p>
    <w:p>
      <w:pPr>
        <w:jc w:val="left"/>
      </w:pPr>
      <w:r>
        <w:rPr>
          <w:rFonts w:ascii="Times New Roman" w:hAnsi="Times New Roman" w:eastAsia="Times New Roman"/>
        </w:rPr>
        <w:t>They are the consequence of an imbalance in the neurovascular system appearing upstream of disease.</w:t>
      </w:r>
    </w:p>
    <w:p>
      <w:pPr>
        <w:jc w:val="left"/>
      </w:pPr>
      <w:r>
        <w:rPr>
          <w:rFonts w:ascii="Times New Roman" w:hAnsi="Times New Roman" w:eastAsia="Times New Roman"/>
        </w:rPr>
        <w:t>Their particular feature is that they are reversible, extracellular, and only slightly — or not at all — detectable by radiography, CT scan or MRI, because anatomical alteration has not yet begun.</w:t>
      </w:r>
    </w:p>
    <w:p>
      <w:pPr>
        <w:jc w:val="left"/>
      </w:pPr>
      <w:r>
        <w:rPr>
          <w:rFonts w:ascii="Times New Roman" w:hAnsi="Times New Roman" w:eastAsia="Times New Roman"/>
        </w:rPr>
        <w:t>As long as the vitality of the organism is capable of adaptation–compensation, health is preserved. Our role is to help the patient improve their vitality in order to restore physiological balance.</w:t>
      </w:r>
    </w:p>
    <w:p>
      <w:pPr>
        <w:jc w:val="left"/>
      </w:pPr>
      <w:r>
        <w:rPr>
          <w:rFonts w:ascii="Times New Roman" w:hAnsi="Times New Roman" w:eastAsia="Times New Roman"/>
        </w:rPr>
        <w:t>We will detail the functional symptoms for each viscus. The most common types of functional symptoms encountered are:</w:t>
      </w:r>
    </w:p>
    <w:p>
      <w:pPr>
        <w:pStyle w:val="ListBullet"/>
        <w:ind w:left="360" w:hanging="216"/>
        <w:jc w:val="left"/>
      </w:pPr>
      <w:r>
        <w:rPr>
          <w:rFonts w:ascii="Times New Roman" w:hAnsi="Times New Roman" w:eastAsia="Times New Roman"/>
        </w:rPr>
        <w:t>musculoskeletal pain;</w:t>
      </w:r>
    </w:p>
    <w:p>
      <w:pPr>
        <w:pStyle w:val="ListBullet"/>
        <w:ind w:left="360" w:hanging="216"/>
        <w:jc w:val="left"/>
      </w:pPr>
      <w:r>
        <w:rPr>
          <w:rFonts w:ascii="Times New Roman" w:hAnsi="Times New Roman" w:eastAsia="Times New Roman"/>
        </w:rPr>
        <w:t>sequelae of osteo-musculo-articular trauma;</w:t>
      </w:r>
    </w:p>
    <w:p>
      <w:pPr>
        <w:pStyle w:val="ListBullet"/>
        <w:ind w:left="360" w:hanging="216"/>
        <w:jc w:val="left"/>
      </w:pPr>
      <w:r>
        <w:rPr>
          <w:rFonts w:ascii="Times New Roman" w:hAnsi="Times New Roman" w:eastAsia="Times New Roman"/>
        </w:rPr>
        <w:t>sequelae of spinal and cranial nerve trauma;</w:t>
      </w:r>
    </w:p>
    <w:p>
      <w:pPr>
        <w:pStyle w:val="ListBullet"/>
        <w:ind w:left="360" w:hanging="216"/>
        <w:jc w:val="left"/>
      </w:pPr>
      <w:r>
        <w:rPr>
          <w:rFonts w:ascii="Times New Roman" w:hAnsi="Times New Roman" w:eastAsia="Times New Roman"/>
        </w:rPr>
        <w:t>visceral dysfunctions related to tissue fixations and neurovegetative loops;</w:t>
      </w:r>
    </w:p>
    <w:p>
      <w:pPr>
        <w:pStyle w:val="ListBullet"/>
        <w:ind w:left="360" w:hanging="216"/>
        <w:jc w:val="left"/>
      </w:pPr>
      <w:r>
        <w:rPr>
          <w:rFonts w:ascii="Times New Roman" w:hAnsi="Times New Roman" w:eastAsia="Times New Roman"/>
        </w:rPr>
        <w:t>viscerosomatic and somatovisceral disorders;</w:t>
      </w:r>
    </w:p>
    <w:p>
      <w:pPr>
        <w:pStyle w:val="ListBullet"/>
        <w:ind w:left="360" w:hanging="216"/>
        <w:jc w:val="left"/>
      </w:pPr>
      <w:r>
        <w:rPr>
          <w:rFonts w:ascii="Times New Roman" w:hAnsi="Times New Roman" w:eastAsia="Times New Roman"/>
        </w:rPr>
        <w:t>neurovegetative regulation disorders;</w:t>
      </w:r>
    </w:p>
    <w:p>
      <w:pPr>
        <w:pStyle w:val="ListBullet"/>
        <w:ind w:left="360" w:hanging="216"/>
        <w:jc w:val="left"/>
      </w:pPr>
      <w:r>
        <w:rPr>
          <w:rFonts w:ascii="Times New Roman" w:hAnsi="Times New Roman" w:eastAsia="Times New Roman"/>
        </w:rPr>
        <w:t>emotional stress and anxiety.</w:t>
      </w:r>
    </w:p>
    <w:p>
      <w:pPr>
        <w:pStyle w:val="Heading1"/>
        <w:jc w:val="left"/>
      </w:pPr>
      <w:r>
        <w:rPr>
          <w:rFonts w:ascii="Arial" w:hAnsi="Arial" w:eastAsia="Arial"/>
        </w:rPr>
        <w:t>8. Effects of reflexotherapy treatment</w:t>
      </w:r>
    </w:p>
    <w:p>
      <w:pPr>
        <w:jc w:val="left"/>
      </w:pPr>
      <w:r>
        <w:rPr>
          <w:rFonts w:ascii="Times New Roman" w:hAnsi="Times New Roman" w:eastAsia="Times New Roman"/>
        </w:rPr>
        <w:t>As already stated in the introduction, we often observe clinical results that we cannot yet measure objectively.</w:t>
      </w:r>
    </w:p>
    <w:p>
      <w:pPr>
        <w:jc w:val="left"/>
      </w:pPr>
      <w:r>
        <w:rPr>
          <w:rFonts w:ascii="Times New Roman" w:hAnsi="Times New Roman" w:eastAsia="Times New Roman"/>
        </w:rPr>
        <w:t>Our action has both local and general effects:</w:t>
      </w:r>
    </w:p>
    <w:p>
      <w:pPr>
        <w:pStyle w:val="ListBullet"/>
        <w:ind w:left="360" w:hanging="216"/>
        <w:jc w:val="left"/>
      </w:pPr>
      <w:r>
        <w:rPr>
          <w:rFonts w:ascii="Times New Roman" w:hAnsi="Times New Roman" w:eastAsia="Times New Roman"/>
        </w:rPr>
        <w:t>analgesic action;</w:t>
      </w:r>
    </w:p>
    <w:p>
      <w:pPr>
        <w:pStyle w:val="ListBullet"/>
        <w:ind w:left="360" w:hanging="216"/>
        <w:jc w:val="left"/>
      </w:pPr>
      <w:r>
        <w:rPr>
          <w:rFonts w:ascii="Times New Roman" w:hAnsi="Times New Roman" w:eastAsia="Times New Roman"/>
        </w:rPr>
        <w:t>neurovegetative rebalancing: shift towards parasympathetic signs — calmness, yawning, drowsiness, marked relaxation, need for rest;</w:t>
      </w:r>
    </w:p>
    <w:p>
      <w:pPr>
        <w:pStyle w:val="ListBullet"/>
        <w:ind w:left="360" w:hanging="216"/>
        <w:jc w:val="left"/>
      </w:pPr>
      <w:r>
        <w:rPr>
          <w:rFonts w:ascii="Times New Roman" w:hAnsi="Times New Roman" w:eastAsia="Times New Roman"/>
        </w:rPr>
        <w:t>improvement in intestinal transit, diuresis and visceral sensations;</w:t>
      </w:r>
    </w:p>
    <w:p>
      <w:pPr>
        <w:pStyle w:val="ListBullet"/>
        <w:ind w:left="360" w:hanging="216"/>
        <w:jc w:val="left"/>
      </w:pPr>
      <w:r>
        <w:rPr>
          <w:rFonts w:ascii="Times New Roman" w:hAnsi="Times New Roman" w:eastAsia="Times New Roman"/>
        </w:rPr>
        <w:t>reduction of vertebral fixations at the metameric level of the viscus — viscerosomatic relationship.</w:t>
      </w:r>
    </w:p>
    <w:p>
      <w:pPr>
        <w:pStyle w:val="Heading1"/>
        <w:jc w:val="left"/>
      </w:pPr>
      <w:r>
        <w:rPr>
          <w:rFonts w:ascii="Arial" w:hAnsi="Arial" w:eastAsia="Arial"/>
        </w:rPr>
        <w:t>9. Reactions to treatment</w:t>
      </w:r>
    </w:p>
    <w:p>
      <w:pPr>
        <w:pStyle w:val="Heading2"/>
        <w:jc w:val="left"/>
      </w:pPr>
      <w:r>
        <w:rPr>
          <w:rFonts w:ascii="Arial" w:hAnsi="Arial" w:eastAsia="Arial"/>
        </w:rPr>
        <w:t>Immediate reactions</w:t>
      </w:r>
    </w:p>
    <w:p>
      <w:pPr>
        <w:pStyle w:val="ListBullet"/>
        <w:ind w:left="360" w:hanging="216"/>
        <w:jc w:val="left"/>
      </w:pPr>
      <w:r>
        <w:rPr>
          <w:rFonts w:ascii="Times New Roman" w:hAnsi="Times New Roman" w:eastAsia="Times New Roman"/>
        </w:rPr>
        <w:t>Relaxation.</w:t>
      </w:r>
    </w:p>
    <w:p>
      <w:pPr>
        <w:pStyle w:val="Heading2"/>
        <w:jc w:val="left"/>
      </w:pPr>
      <w:r>
        <w:rPr>
          <w:rFonts w:ascii="Arial" w:hAnsi="Arial" w:eastAsia="Arial"/>
        </w:rPr>
        <w:t>Reactions within 24 to 48 hours</w:t>
      </w:r>
    </w:p>
    <w:p>
      <w:pPr>
        <w:pStyle w:val="ListBullet"/>
        <w:ind w:left="360" w:hanging="216"/>
        <w:jc w:val="left"/>
      </w:pPr>
      <w:r>
        <w:rPr>
          <w:rFonts w:ascii="Times New Roman" w:hAnsi="Times New Roman" w:eastAsia="Times New Roman"/>
        </w:rPr>
        <w:t>Muscle soreness or mild fatigability;</w:t>
      </w:r>
    </w:p>
    <w:p>
      <w:pPr>
        <w:pStyle w:val="ListBullet"/>
        <w:ind w:left="360" w:hanging="216"/>
        <w:jc w:val="left"/>
      </w:pPr>
      <w:r>
        <w:rPr>
          <w:rFonts w:ascii="Times New Roman" w:hAnsi="Times New Roman" w:eastAsia="Times New Roman"/>
        </w:rPr>
        <w:t>Dreams, emergence of memories.</w:t>
      </w:r>
    </w:p>
    <w:p>
      <w:pPr>
        <w:jc w:val="left"/>
      </w:pPr>
      <w:r>
        <w:rPr>
          <w:rFonts w:ascii="Times New Roman" w:hAnsi="Times New Roman" w:eastAsia="Times New Roman"/>
        </w:rPr>
        <w:t>These transient reactions are beneficial and even desirable, and are specific to each individual. They may reflect the organism’s adaptation to a stressor that is certainly positive, but unfamiliar to it.</w:t>
      </w:r>
    </w:p>
    <w:p>
      <w:pPr>
        <w:jc w:val="left"/>
      </w:pPr>
      <w:r>
        <w:rPr>
          <w:rFonts w:ascii="Times New Roman" w:hAnsi="Times New Roman" w:eastAsia="Times New Roman"/>
        </w:rPr>
        <w:t>Within the ROP model, they are interpreted as signs of physiological elimination and regulation, traditionally described as the elimination of accumulated “toxins”. See Recovery Phase of the General Stress Syndrome, p. …</w:t>
      </w:r>
    </w:p>
    <w:p>
      <w:pPr>
        <w:jc w:val="left"/>
      </w:pPr>
      <w:r>
        <w:rPr>
          <w:rFonts w:ascii="Times New Roman" w:hAnsi="Times New Roman" w:eastAsia="Times New Roman"/>
        </w:rPr>
        <w:t>If reactions are intense, last beyond 72 hours, or are accompanied by concerning signs, the situation should be reassessed and the patient referred.</w:t>
      </w:r>
    </w:p>
    <w:p>
      <w:pPr>
        <w:pStyle w:val="Heading2"/>
        <w:jc w:val="left"/>
      </w:pPr>
      <w:r>
        <w:rPr>
          <w:rFonts w:ascii="Arial" w:hAnsi="Arial" w:eastAsia="Arial"/>
        </w:rPr>
        <w:t>Reactions in the following weeks</w:t>
      </w:r>
    </w:p>
    <w:p>
      <w:pPr>
        <w:jc w:val="left"/>
      </w:pPr>
      <w:r>
        <w:rPr>
          <w:rFonts w:ascii="Times New Roman" w:hAnsi="Times New Roman" w:eastAsia="Times New Roman"/>
        </w:rPr>
        <w:t>The recovery of vitality is expected to act not only locally, at the visceroglandular level, but also on hormonal and biochemical regulation, on local and general immunity, and on the psyche, although these effects cannot necessarily be measured objectively.</w:t>
      </w:r>
    </w:p>
    <w:p>
      <w:pPr>
        <w:jc w:val="left"/>
      </w:pPr>
      <w:r>
        <w:rPr>
          <w:rFonts w:ascii="Times New Roman" w:hAnsi="Times New Roman" w:eastAsia="Times New Roman"/>
        </w:rPr>
        <w:t>The interval of three to four weeks must be respected to allow the organism to integrate the changes before undertaking the next session.</w:t>
      </w:r>
    </w:p>
    <w:p>
      <w:pPr>
        <w:pStyle w:val="Heading1"/>
        <w:jc w:val="left"/>
      </w:pPr>
      <w:r>
        <w:rPr>
          <w:rFonts w:ascii="Arial" w:hAnsi="Arial" w:eastAsia="Arial"/>
        </w:rPr>
        <w:t>10. Advice</w:t>
      </w:r>
    </w:p>
    <w:p>
      <w:pPr>
        <w:jc w:val="left"/>
      </w:pPr>
      <w:r>
        <w:rPr>
          <w:rFonts w:ascii="Times New Roman" w:hAnsi="Times New Roman" w:eastAsia="Times New Roman"/>
        </w:rPr>
        <w:t>“Before trying to heal someone, ask them whether they are ready to give up the things that made them ill.” — traditionally attributed to Hippocrates</w:t>
      </w:r>
    </w:p>
    <w:p>
      <w:pPr>
        <w:jc w:val="left"/>
      </w:pPr>
      <w:r>
        <w:rPr>
          <w:rFonts w:ascii="Times New Roman" w:hAnsi="Times New Roman" w:eastAsia="Times New Roman"/>
        </w:rPr>
        <w:t>Even the best treatment cannot guarantee significant and lasting improvement if it is not accompanied by essential advice to prolong the effect of the treatment.</w:t>
      </w:r>
    </w:p>
    <w:p>
      <w:pPr>
        <w:jc w:val="left"/>
      </w:pPr>
      <w:r>
        <w:rPr>
          <w:rFonts w:ascii="Times New Roman" w:hAnsi="Times New Roman" w:eastAsia="Times New Roman"/>
        </w:rPr>
        <w:t>This advice most often relies on common sense:</w:t>
      </w:r>
    </w:p>
    <w:p>
      <w:pPr>
        <w:pStyle w:val="ListBullet"/>
        <w:ind w:left="360" w:hanging="216"/>
        <w:jc w:val="left"/>
      </w:pPr>
      <w:r>
        <w:rPr>
          <w:rFonts w:ascii="Times New Roman" w:hAnsi="Times New Roman" w:eastAsia="Times New Roman"/>
        </w:rPr>
        <w:t>relative rest — avoid physical overload on the day of treatment;</w:t>
      </w:r>
    </w:p>
    <w:p>
      <w:pPr>
        <w:pStyle w:val="ListBullet"/>
        <w:ind w:left="360" w:hanging="216"/>
        <w:jc w:val="left"/>
      </w:pPr>
      <w:r>
        <w:rPr>
          <w:rFonts w:ascii="Times New Roman" w:hAnsi="Times New Roman" w:eastAsia="Times New Roman"/>
        </w:rPr>
        <w:t>healthy diet;</w:t>
      </w:r>
    </w:p>
    <w:p>
      <w:pPr>
        <w:pStyle w:val="ListBullet"/>
        <w:ind w:left="360" w:hanging="216"/>
        <w:jc w:val="left"/>
      </w:pPr>
      <w:r>
        <w:rPr>
          <w:rFonts w:ascii="Times New Roman" w:hAnsi="Times New Roman" w:eastAsia="Times New Roman"/>
        </w:rPr>
        <w:t>adequate hydration;</w:t>
      </w:r>
    </w:p>
    <w:p>
      <w:pPr>
        <w:pStyle w:val="ListBullet"/>
        <w:ind w:left="360" w:hanging="216"/>
        <w:jc w:val="left"/>
      </w:pPr>
      <w:r>
        <w:rPr>
          <w:rFonts w:ascii="Times New Roman" w:hAnsi="Times New Roman" w:eastAsia="Times New Roman"/>
        </w:rPr>
        <w:t>regular physical activity;</w:t>
      </w:r>
    </w:p>
    <w:p>
      <w:pPr>
        <w:pStyle w:val="ListBullet"/>
        <w:ind w:left="360" w:hanging="216"/>
        <w:jc w:val="left"/>
      </w:pPr>
      <w:r>
        <w:rPr>
          <w:rFonts w:ascii="Times New Roman" w:hAnsi="Times New Roman" w:eastAsia="Times New Roman"/>
        </w:rPr>
        <w:t>becoming an active participant in one’s own health;</w:t>
      </w:r>
    </w:p>
    <w:p>
      <w:pPr>
        <w:pStyle w:val="ListBullet"/>
        <w:ind w:left="360" w:hanging="216"/>
        <w:jc w:val="left"/>
      </w:pPr>
      <w:r>
        <w:rPr>
          <w:rFonts w:ascii="Times New Roman" w:hAnsi="Times New Roman" w:eastAsia="Times New Roman"/>
        </w:rPr>
        <w:t>maintaining positive thoughts;</w:t>
      </w:r>
    </w:p>
    <w:p>
      <w:pPr>
        <w:pStyle w:val="ListBullet"/>
        <w:ind w:left="360" w:hanging="216"/>
        <w:jc w:val="left"/>
      </w:pPr>
      <w:r>
        <w:rPr>
          <w:rFonts w:ascii="Times New Roman" w:hAnsi="Times New Roman" w:eastAsia="Times New Roman"/>
        </w:rPr>
        <w:t>having a fulfilling social life, both personally and professionally;</w:t>
      </w:r>
    </w:p>
    <w:p>
      <w:pPr>
        <w:pStyle w:val="ListBullet"/>
        <w:ind w:left="360" w:hanging="216"/>
        <w:jc w:val="left"/>
      </w:pPr>
      <w:r>
        <w:rPr>
          <w:rFonts w:ascii="Times New Roman" w:hAnsi="Times New Roman" w:eastAsia="Times New Roman"/>
        </w:rPr>
        <w:t>recording changes: pain from 0 to 10, sleep, intestinal transit, energy;</w:t>
      </w:r>
    </w:p>
    <w:p>
      <w:pPr>
        <w:pStyle w:val="ListBullet"/>
        <w:ind w:left="360" w:hanging="216"/>
        <w:jc w:val="left"/>
      </w:pPr>
      <w:r>
        <w:rPr>
          <w:rFonts w:ascii="Times New Roman" w:hAnsi="Times New Roman" w:eastAsia="Times New Roman"/>
        </w:rPr>
        <w:t>returning with these elements in order to assess the effect more objectively and adjust the treatment hierarchy.</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7"/>
      </w:rPr>
      <w:t>Polished English medical translation - ROP acronym retained as Guy Boitout brand terminology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Chapter 2 - Treatment by Occipito-Podal Reflexotherapy (ROP)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376EAA"/>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376EA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Treatment by Occipito-Podal Reflexotherapy (ROP)</dc:title>
  <dc:subject>Polished English medical translation</dc:subject>
  <dc:creator>Guy Boitout</dc:creator>
  <cp:keywords/>
  <dc:description>Final polished English version. ROP acronym retained as brand terminology.</dc:description>
  <cp:lastModifiedBy/>
  <cp:revision>1</cp:revision>
  <dcterms:created xsi:type="dcterms:W3CDTF">2013-12-23T23:15:00Z</dcterms:created>
  <dcterms:modified xsi:type="dcterms:W3CDTF">2013-12-23T23:15:00Z</dcterms:modified>
  <cp:category/>
</cp:coreProperties>
</file>