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BCD1" w14:textId="77777777" w:rsidR="00966354" w:rsidRDefault="00000000">
      <w:pPr>
        <w:pStyle w:val="Title"/>
        <w:keepNext/>
        <w:jc w:val="center"/>
        <w:rPr>
          <w:lang w:val="fr-FR"/>
        </w:rPr>
      </w:pPr>
      <w:r>
        <w:rPr>
          <w:b/>
          <w:lang w:val="fr-FR"/>
        </w:rPr>
        <w:t>Chapitre 10 — Duodénum</w:t>
      </w:r>
    </w:p>
    <w:p w14:paraId="385D6901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1. Présentation</w:t>
      </w:r>
    </w:p>
    <w:p w14:paraId="72922559" w14:textId="77777777" w:rsidR="00966354" w:rsidRDefault="00000000">
      <w:pPr>
        <w:rPr>
          <w:lang w:val="fr-FR"/>
        </w:rPr>
      </w:pPr>
      <w:r>
        <w:rPr>
          <w:lang w:val="fr-FR"/>
        </w:rPr>
        <w:t>Le duodénum constitue la partie proximale de l’intestin grêle.</w:t>
      </w:r>
    </w:p>
    <w:p w14:paraId="6BAFCD4D" w14:textId="77777777" w:rsidR="00966354" w:rsidRDefault="00000000">
      <w:pPr>
        <w:rPr>
          <w:lang w:val="fr-FR"/>
        </w:rPr>
      </w:pPr>
      <w:r>
        <w:rPr>
          <w:lang w:val="fr-FR"/>
        </w:rPr>
        <w:t>Sa paroi plus épaisse, sa relative fixité et son rôle spécifique dans la digestion le distinguent du jéjunum et de l’iléon, plus mobiles.</w:t>
      </w:r>
    </w:p>
    <w:p w14:paraId="5263FA7C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2. Situation</w:t>
      </w:r>
    </w:p>
    <w:p w14:paraId="608D3618" w14:textId="77777777" w:rsidR="00966354" w:rsidRDefault="00000000">
      <w:pPr>
        <w:rPr>
          <w:lang w:val="fr-FR"/>
        </w:rPr>
      </w:pPr>
      <w:r>
        <w:rPr>
          <w:lang w:val="fr-FR"/>
        </w:rPr>
        <w:t>Le duodénum a globalement une forme en U ou en C.</w:t>
      </w:r>
    </w:p>
    <w:p w14:paraId="246128C3" w14:textId="77777777" w:rsidR="00966354" w:rsidRDefault="00000000">
      <w:pPr>
        <w:rPr>
          <w:lang w:val="fr-FR"/>
        </w:rPr>
      </w:pPr>
      <w:r>
        <w:rPr>
          <w:lang w:val="fr-FR"/>
        </w:rPr>
        <w:t>Sa longueur est de l’ordre de 25 cm, ce qui a historiquement motivé son nom.</w:t>
      </w:r>
    </w:p>
    <w:p w14:paraId="3E6585D9" w14:textId="77777777" w:rsidR="00966354" w:rsidRDefault="00000000">
      <w:pPr>
        <w:rPr>
          <w:lang w:val="fr-FR"/>
        </w:rPr>
      </w:pPr>
      <w:r>
        <w:rPr>
          <w:lang w:val="fr-FR"/>
        </w:rPr>
        <w:t xml:space="preserve">Il s’étend du pylore à l’angle </w:t>
      </w:r>
      <w:proofErr w:type="spellStart"/>
      <w:r>
        <w:rPr>
          <w:lang w:val="fr-FR"/>
        </w:rPr>
        <w:t>duodéno-jéjunal</w:t>
      </w:r>
      <w:proofErr w:type="spellEnd"/>
      <w:r>
        <w:rPr>
          <w:lang w:val="fr-FR"/>
        </w:rPr>
        <w:t>.</w:t>
      </w:r>
    </w:p>
    <w:p w14:paraId="57CCBAD6" w14:textId="77777777" w:rsidR="00966354" w:rsidRDefault="00000000">
      <w:pPr>
        <w:rPr>
          <w:lang w:val="fr-FR"/>
        </w:rPr>
      </w:pPr>
      <w:r>
        <w:rPr>
          <w:lang w:val="fr-FR"/>
        </w:rPr>
        <w:t>Il joue un rôle majeur dans la poursuite de la digestion, en recevant la bile et les sécrétions pancréatiques ; il participe aussi à la neutralisation de l’acidité gastrique en sortie d’estomac.</w:t>
      </w:r>
    </w:p>
    <w:p w14:paraId="642877E3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3. Anatomie</w:t>
      </w:r>
    </w:p>
    <w:p w14:paraId="7F8C18A0" w14:textId="77777777" w:rsidR="00966354" w:rsidRDefault="00000000">
      <w:pPr>
        <w:rPr>
          <w:lang w:val="fr-FR"/>
        </w:rPr>
      </w:pPr>
      <w:r>
        <w:rPr>
          <w:lang w:val="fr-FR"/>
        </w:rPr>
        <w:t xml:space="preserve">Le duodénum est un organe en grande partie </w:t>
      </w:r>
      <w:proofErr w:type="spellStart"/>
      <w:r>
        <w:rPr>
          <w:lang w:val="fr-FR"/>
        </w:rPr>
        <w:t>rétro-péritonéal</w:t>
      </w:r>
      <w:proofErr w:type="spellEnd"/>
      <w:r>
        <w:rPr>
          <w:lang w:val="fr-FR"/>
        </w:rPr>
        <w:t>, appliqué contre la paroi abdominale postérieure.</w:t>
      </w:r>
    </w:p>
    <w:p w14:paraId="3C99B82C" w14:textId="77777777" w:rsidR="00966354" w:rsidRDefault="00000000">
      <w:pPr>
        <w:rPr>
          <w:lang w:val="fr-FR"/>
        </w:rPr>
      </w:pPr>
      <w:r>
        <w:rPr>
          <w:lang w:val="fr-FR"/>
        </w:rPr>
        <w:t>Il comprend quatre segments.</w:t>
      </w:r>
    </w:p>
    <w:p w14:paraId="703B482C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3.1. D1 ou duodénum bulbo-pylorique</w:t>
      </w:r>
    </w:p>
    <w:p w14:paraId="2D4CB82C" w14:textId="77777777" w:rsidR="00966354" w:rsidRDefault="00000000">
      <w:pPr>
        <w:rPr>
          <w:lang w:val="fr-FR"/>
        </w:rPr>
      </w:pPr>
      <w:r>
        <w:rPr>
          <w:lang w:val="fr-FR"/>
        </w:rPr>
        <w:t>Long d’environ 5 à 6 cm, situé à droite de L1, il est oblique à droite, légèrement ascendant et postérieur, sous la vésicule biliaire.</w:t>
      </w:r>
    </w:p>
    <w:p w14:paraId="734230F2" w14:textId="77777777" w:rsidR="00966354" w:rsidRDefault="00000000">
      <w:pPr>
        <w:rPr>
          <w:lang w:val="fr-FR"/>
        </w:rPr>
      </w:pPr>
      <w:r>
        <w:rPr>
          <w:lang w:val="fr-FR"/>
        </w:rPr>
        <w:t>C’est la seule portion du duodénum classiquement décrite comme intra-péritonéale sur sa partie initiale.</w:t>
      </w:r>
    </w:p>
    <w:p w14:paraId="4D5CA043" w14:textId="77777777" w:rsidR="00966354" w:rsidRDefault="00000000">
      <w:pPr>
        <w:rPr>
          <w:lang w:val="fr-FR"/>
        </w:rPr>
      </w:pPr>
      <w:r>
        <w:rPr>
          <w:lang w:val="fr-FR"/>
        </w:rPr>
        <w:t>Il présente un segment proximal mobile, le bulbe, et un segment plus fixe, en continuité avec le ligament hépato-duodénal du petit omentum.</w:t>
      </w:r>
    </w:p>
    <w:p w14:paraId="757CF6FD" w14:textId="77777777" w:rsidR="00966354" w:rsidRDefault="00000000">
      <w:pPr>
        <w:rPr>
          <w:lang w:val="fr-FR"/>
        </w:rPr>
      </w:pPr>
      <w:r>
        <w:rPr>
          <w:lang w:val="fr-FR"/>
        </w:rPr>
        <w:t>Il est en rapport avec le foie et la vésicule biliaire, à l’exception de sa partie bulbaire la plus libre.</w:t>
      </w:r>
    </w:p>
    <w:p w14:paraId="561C4125" w14:textId="77777777" w:rsidR="00966354" w:rsidRDefault="00000000">
      <w:pPr>
        <w:rPr>
          <w:lang w:val="fr-FR"/>
        </w:rPr>
      </w:pPr>
      <w:r>
        <w:rPr>
          <w:lang w:val="fr-FR"/>
        </w:rPr>
        <w:t>L’angle entre D1 et D2 est appelé genu superius.</w:t>
      </w:r>
    </w:p>
    <w:p w14:paraId="14FBFE63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3.2. D2 ou duodénum pancréatico-biliaire</w:t>
      </w:r>
    </w:p>
    <w:p w14:paraId="225ADC8E" w14:textId="77777777" w:rsidR="00966354" w:rsidRDefault="00000000">
      <w:pPr>
        <w:rPr>
          <w:lang w:val="fr-FR"/>
        </w:rPr>
      </w:pPr>
      <w:r>
        <w:rPr>
          <w:lang w:val="fr-FR"/>
        </w:rPr>
        <w:t>Long d’environ 8 à 10 cm, il descend verticalement sur le flanc droit des vertèbres lombaires et reste appliqué contre la paroi abdominale postérieure.</w:t>
      </w:r>
    </w:p>
    <w:p w14:paraId="12CBFD18" w14:textId="77777777" w:rsidR="00966354" w:rsidRDefault="00000000">
      <w:pPr>
        <w:rPr>
          <w:lang w:val="fr-FR"/>
        </w:rPr>
      </w:pPr>
      <w:r>
        <w:rPr>
          <w:lang w:val="fr-FR"/>
        </w:rPr>
        <w:t>Il constitue un segment fonctionnellement central, du fait de l’abouchement bilio-pancréatique sur sa face postéro-médiale.</w:t>
      </w:r>
    </w:p>
    <w:p w14:paraId="36B93C77" w14:textId="77777777" w:rsidR="00966354" w:rsidRDefault="00000000">
      <w:pPr>
        <w:rPr>
          <w:lang w:val="fr-FR"/>
        </w:rPr>
      </w:pPr>
      <w:r>
        <w:rPr>
          <w:lang w:val="fr-FR"/>
        </w:rPr>
        <w:t>Deux reliefs muqueux y sont classiquement décrits : la papille duodénale majeure et la papille duodénale mineure.</w:t>
      </w:r>
    </w:p>
    <w:p w14:paraId="7B51644A" w14:textId="77777777" w:rsidR="00966354" w:rsidRDefault="00000000">
      <w:pPr>
        <w:rPr>
          <w:lang w:val="fr-FR"/>
        </w:rPr>
      </w:pPr>
      <w:r>
        <w:rPr>
          <w:lang w:val="fr-FR"/>
        </w:rPr>
        <w:t>Papille duodénale majeure : située vers l’union des tiers moyen et inférieur de D2, elle correspond à l’abouchement du canal cholédoque et du canal pancréatique principal dans l’ampoule hépato-pancréatique, dont l’ouverture est régulée par le sphincter d’Oddi.</w:t>
      </w:r>
    </w:p>
    <w:p w14:paraId="7C815A86" w14:textId="77777777" w:rsidR="00966354" w:rsidRDefault="00000000">
      <w:pPr>
        <w:rPr>
          <w:lang w:val="fr-FR"/>
        </w:rPr>
      </w:pPr>
      <w:r>
        <w:rPr>
          <w:lang w:val="fr-FR"/>
        </w:rPr>
        <w:t>Son repère topographique pariétal est donné ici à titre clinique : sur la ligne ombilico-médio-claviculaire droite, à environ trois travers de doigt au-dessus de l’ombilic, vers L2.</w:t>
      </w:r>
    </w:p>
    <w:p w14:paraId="097AB966" w14:textId="77777777" w:rsidR="00966354" w:rsidRDefault="00000000">
      <w:pPr>
        <w:rPr>
          <w:lang w:val="fr-FR"/>
        </w:rPr>
      </w:pPr>
      <w:r>
        <w:rPr>
          <w:lang w:val="fr-FR"/>
        </w:rPr>
        <w:t>Papille duodénale mineure : située plus haut, elle correspond à l’abouchement du canal pancréatique accessoire de Santorini lorsqu’il est présent et perméable.</w:t>
      </w:r>
    </w:p>
    <w:p w14:paraId="44273521" w14:textId="77777777" w:rsidR="00966354" w:rsidRDefault="00000000">
      <w:pPr>
        <w:rPr>
          <w:lang w:val="fr-FR"/>
        </w:rPr>
      </w:pPr>
      <w:r>
        <w:rPr>
          <w:lang w:val="fr-FR"/>
        </w:rPr>
        <w:lastRenderedPageBreak/>
        <w:t>L’angle entre D2 et D3 est appelé genu inferius.</w:t>
      </w:r>
    </w:p>
    <w:p w14:paraId="2F2DF9DF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3.3. D3 ou duodénum vasculaire</w:t>
      </w:r>
    </w:p>
    <w:p w14:paraId="11D7B369" w14:textId="77777777" w:rsidR="00966354" w:rsidRDefault="00000000">
      <w:pPr>
        <w:rPr>
          <w:lang w:val="fr-FR"/>
        </w:rPr>
      </w:pPr>
      <w:r>
        <w:rPr>
          <w:lang w:val="fr-FR"/>
        </w:rPr>
        <w:t>Long d’environ 6 à 9 cm, il est globalement horizontal, avec une légère obliquité ascendante.</w:t>
      </w:r>
    </w:p>
    <w:p w14:paraId="1B0A7CFE" w14:textId="77777777" w:rsidR="00966354" w:rsidRDefault="00000000">
      <w:pPr>
        <w:rPr>
          <w:lang w:val="fr-FR"/>
        </w:rPr>
      </w:pPr>
      <w:r>
        <w:rPr>
          <w:lang w:val="fr-FR"/>
        </w:rPr>
        <w:t>Concave, il croise en avant de L3, dont il est séparé par les plans musculaires et vasculaires profonds.</w:t>
      </w:r>
    </w:p>
    <w:p w14:paraId="7C69D870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3.4. D4 ou duodénum jéjunal</w:t>
      </w:r>
    </w:p>
    <w:p w14:paraId="03A13B6D" w14:textId="77777777" w:rsidR="00966354" w:rsidRDefault="00000000">
      <w:pPr>
        <w:rPr>
          <w:lang w:val="fr-FR"/>
        </w:rPr>
      </w:pPr>
      <w:r>
        <w:rPr>
          <w:lang w:val="fr-FR"/>
        </w:rPr>
        <w:t>Long d’environ 6 cm, il remonte obliquement le long du flanc gauche de l’aorte vers L2.</w:t>
      </w:r>
    </w:p>
    <w:p w14:paraId="5B716617" w14:textId="77777777" w:rsidR="00966354" w:rsidRDefault="00000000">
      <w:pPr>
        <w:rPr>
          <w:lang w:val="fr-FR"/>
        </w:rPr>
      </w:pPr>
      <w:r>
        <w:rPr>
          <w:lang w:val="fr-FR"/>
        </w:rPr>
        <w:t>Il se termine à la jonction duodéno-jéjunale, ou angle de Treitz.</w:t>
      </w:r>
    </w:p>
    <w:p w14:paraId="2866619D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3.5. Jonction duodéno-jéjunale</w:t>
      </w:r>
    </w:p>
    <w:p w14:paraId="7ABB9508" w14:textId="77777777" w:rsidR="00966354" w:rsidRDefault="00000000">
      <w:pPr>
        <w:rPr>
          <w:lang w:val="fr-FR"/>
        </w:rPr>
      </w:pPr>
      <w:r>
        <w:rPr>
          <w:lang w:val="fr-FR"/>
        </w:rPr>
        <w:t>Son repère topographique pariétal est présenté ici comme symétrique du sphincter d’Oddi, sur la ligne ombilico-médio-claviculaire gauche.</w:t>
      </w:r>
    </w:p>
    <w:p w14:paraId="09513B50" w14:textId="77777777" w:rsidR="00966354" w:rsidRDefault="00000000">
      <w:pPr>
        <w:rPr>
          <w:lang w:val="fr-FR"/>
        </w:rPr>
      </w:pPr>
      <w:r>
        <w:rPr>
          <w:lang w:val="fr-FR"/>
        </w:rPr>
        <w:t>Elle sert d’attache caudale au muscle de Treitz.</w:t>
      </w:r>
    </w:p>
    <w:p w14:paraId="0C5D12A7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3.6. Muscle de Treitz</w:t>
      </w:r>
    </w:p>
    <w:p w14:paraId="69A1590C" w14:textId="77777777" w:rsidR="00966354" w:rsidRDefault="00000000">
      <w:pPr>
        <w:rPr>
          <w:lang w:val="fr-FR"/>
        </w:rPr>
      </w:pPr>
      <w:r>
        <w:rPr>
          <w:lang w:val="fr-FR"/>
        </w:rPr>
        <w:t>Le muscle de Treitz, ou muscle suspenseur du duodénum, est décrit comme reliant la région duodéno-jéjunale aux structures conjonctivo-musculaires profondes sous-diaphragmatiques et mésentériques.</w:t>
      </w:r>
    </w:p>
    <w:p w14:paraId="6DE20D07" w14:textId="77777777" w:rsidR="00966354" w:rsidRDefault="00000000">
      <w:pPr>
        <w:rPr>
          <w:lang w:val="fr-FR"/>
        </w:rPr>
      </w:pPr>
      <w:r>
        <w:rPr>
          <w:lang w:val="fr-FR"/>
        </w:rPr>
        <w:t>Sa mise en tension est classiquement décrite comme participant à l’ouverture de l’angle duodéno-jéjunal et à la dynamique de vidange gastro-duodénale.</w:t>
      </w:r>
    </w:p>
    <w:p w14:paraId="141AC66C" w14:textId="77777777" w:rsidR="00966354" w:rsidRDefault="00000000">
      <w:pPr>
        <w:rPr>
          <w:lang w:val="fr-FR"/>
        </w:rPr>
      </w:pPr>
      <w:r>
        <w:rPr>
          <w:lang w:val="fr-FR"/>
        </w:rPr>
        <w:t>Dans cette lecture fonctionnelle, il contribue aussi au maintien de la tension longitudinale de la racine du mésentère.</w:t>
      </w:r>
    </w:p>
    <w:p w14:paraId="623AE0E5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4. Rapports</w:t>
      </w:r>
    </w:p>
    <w:p w14:paraId="07D28BDC" w14:textId="77777777" w:rsidR="00966354" w:rsidRDefault="00000000">
      <w:pPr>
        <w:rPr>
          <w:lang w:val="fr-FR"/>
        </w:rPr>
      </w:pPr>
      <w:r>
        <w:rPr>
          <w:lang w:val="fr-FR"/>
        </w:rPr>
        <w:t>D1 est en rapport avec la petite courbure de l’estomac, le foie et la vésicule biliaire.</w:t>
      </w:r>
    </w:p>
    <w:p w14:paraId="334C2228" w14:textId="77777777" w:rsidR="00966354" w:rsidRDefault="00000000">
      <w:pPr>
        <w:rPr>
          <w:lang w:val="fr-FR"/>
        </w:rPr>
      </w:pPr>
      <w:r>
        <w:rPr>
          <w:lang w:val="fr-FR"/>
        </w:rPr>
        <w:t>Le pylore, situé à environ cinq travers de doigt au-dessus de l’ombilic, constitue ici un repère clinique pour situer D1.</w:t>
      </w:r>
    </w:p>
    <w:p w14:paraId="0AC72AF5" w14:textId="77777777" w:rsidR="00966354" w:rsidRDefault="00000000">
      <w:pPr>
        <w:rPr>
          <w:lang w:val="fr-FR"/>
        </w:rPr>
      </w:pPr>
      <w:r>
        <w:rPr>
          <w:lang w:val="fr-FR"/>
        </w:rPr>
        <w:t>D2 est en rapport médial avec la tête du pancréas, latéral avec le rein droit et le côlon ascendant, et dorsal avec l’uretère.</w:t>
      </w:r>
    </w:p>
    <w:p w14:paraId="15C7A4FD" w14:textId="77777777" w:rsidR="00966354" w:rsidRDefault="00000000">
      <w:pPr>
        <w:rPr>
          <w:lang w:val="fr-FR"/>
        </w:rPr>
      </w:pPr>
      <w:r>
        <w:rPr>
          <w:lang w:val="fr-FR"/>
        </w:rPr>
        <w:t>La forte solidarité anatomique entre D2 et la tête du pancréas explique leur association fréquente dans l’examen clinique.</w:t>
      </w:r>
    </w:p>
    <w:p w14:paraId="2711494A" w14:textId="77777777" w:rsidR="00966354" w:rsidRDefault="00000000">
      <w:pPr>
        <w:rPr>
          <w:lang w:val="fr-FR"/>
        </w:rPr>
      </w:pPr>
      <w:r>
        <w:rPr>
          <w:lang w:val="fr-FR"/>
        </w:rPr>
        <w:t>D3 est croisé ventralement par la racine du mésentère et les vaisseaux mésentériques supérieurs, et se situe en avant de l’aorte et de la veine cave inférieure.</w:t>
      </w:r>
    </w:p>
    <w:p w14:paraId="5D356B61" w14:textId="77777777" w:rsidR="00966354" w:rsidRDefault="00000000">
      <w:pPr>
        <w:rPr>
          <w:lang w:val="fr-FR"/>
        </w:rPr>
      </w:pPr>
      <w:r>
        <w:rPr>
          <w:lang w:val="fr-FR"/>
        </w:rPr>
        <w:t>D4 est en rapport avec l’estomac en avant et avec les structures rénales et vasculaires rétro-péritonéales en arrière.</w:t>
      </w:r>
    </w:p>
    <w:p w14:paraId="65655DB9" w14:textId="77777777" w:rsidR="00966354" w:rsidRDefault="00000000">
      <w:pPr>
        <w:rPr>
          <w:lang w:val="fr-FR"/>
        </w:rPr>
      </w:pPr>
      <w:r>
        <w:rPr>
          <w:lang w:val="fr-FR"/>
        </w:rPr>
        <w:t>Un conflit aorto-mésentérique peut comprimer D4 et, dans certains cas, la veine rénale gauche, avec retentissement sur la vidange duodénale et le drainage veineux gauche.</w:t>
      </w:r>
    </w:p>
    <w:p w14:paraId="7CC97B36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4.1. Quadrilatère de Rogié</w:t>
      </w:r>
    </w:p>
    <w:p w14:paraId="5888D43B" w14:textId="77777777" w:rsidR="00966354" w:rsidRDefault="00000000">
      <w:pPr>
        <w:rPr>
          <w:lang w:val="fr-FR"/>
        </w:rPr>
      </w:pPr>
      <w:r>
        <w:rPr>
          <w:lang w:val="fr-FR"/>
        </w:rPr>
        <w:t>Le quadrilatère de Rogié est une construction topographique clinique couvrant le flanc droit des trois premières vertèbres lombaires.</w:t>
      </w:r>
    </w:p>
    <w:p w14:paraId="1442C0F7" w14:textId="77777777" w:rsidR="00966354" w:rsidRDefault="00000000">
      <w:pPr>
        <w:rPr>
          <w:lang w:val="fr-FR"/>
        </w:rPr>
      </w:pPr>
      <w:r>
        <w:rPr>
          <w:lang w:val="fr-FR"/>
        </w:rPr>
        <w:t>Il est délimité par deux lignes horizontales et deux lignes verticales décrites ici comme repères de surface.</w:t>
      </w:r>
    </w:p>
    <w:p w14:paraId="5FF17BED" w14:textId="77777777" w:rsidR="00966354" w:rsidRDefault="00000000">
      <w:pPr>
        <w:rPr>
          <w:lang w:val="fr-FR"/>
        </w:rPr>
      </w:pPr>
      <w:r>
        <w:rPr>
          <w:lang w:val="fr-FR"/>
        </w:rPr>
        <w:t>Dans ce cadre, il concentre des éléments viscéraux, vasculaires, nerveux, lymphatiques et ligamentaires en rapport étroit avec D2.</w:t>
      </w:r>
    </w:p>
    <w:p w14:paraId="4E2C15C7" w14:textId="77777777" w:rsidR="00966354" w:rsidRDefault="00000000">
      <w:pPr>
        <w:rPr>
          <w:lang w:val="fr-FR"/>
        </w:rPr>
      </w:pPr>
      <w:r>
        <w:rPr>
          <w:lang w:val="fr-FR"/>
        </w:rPr>
        <w:lastRenderedPageBreak/>
        <w:t>Dans le cadre ROP, ce quadrilatère présente un intérêt pratique car il regroupe plusieurs structures anatomiques fortement solidaires du deuxième duodénum.</w:t>
      </w:r>
    </w:p>
    <w:p w14:paraId="0C4C559A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5. Vascularisation</w:t>
      </w:r>
    </w:p>
    <w:p w14:paraId="677CB468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5.1. Vascularisation artérielle</w:t>
      </w:r>
    </w:p>
    <w:p w14:paraId="3621F437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la</w:t>
      </w:r>
      <w:proofErr w:type="gramEnd"/>
      <w:r>
        <w:rPr>
          <w:lang w:val="fr-FR"/>
        </w:rPr>
        <w:t xml:space="preserve"> vascularisation duodénale dépend principalement des arcades pancréatico-duodénales, issues des territoires cœliaque et mésentérique supérieur, qui s’anastomosent entre elles.</w:t>
      </w:r>
    </w:p>
    <w:p w14:paraId="4FA2B42D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5.2. Vascularisation veineuse</w:t>
      </w:r>
    </w:p>
    <w:p w14:paraId="2FE70627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les</w:t>
      </w:r>
      <w:proofErr w:type="gramEnd"/>
      <w:r>
        <w:rPr>
          <w:lang w:val="fr-FR"/>
        </w:rPr>
        <w:t xml:space="preserve"> veines pancréatico-duodénales rejoignent la veine mésentérique supérieure, en continuité avec le système porte.</w:t>
      </w:r>
    </w:p>
    <w:p w14:paraId="4CE3DDE9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6. Innervation</w:t>
      </w:r>
    </w:p>
    <w:p w14:paraId="5CC50205" w14:textId="77777777" w:rsidR="00966354" w:rsidRDefault="00000000">
      <w:pPr>
        <w:rPr>
          <w:lang w:val="fr-FR"/>
        </w:rPr>
      </w:pPr>
      <w:r>
        <w:rPr>
          <w:lang w:val="fr-FR"/>
        </w:rPr>
        <w:t>Le duodénum reçoit une innervation parasympathique par les nerfs vagues X.</w:t>
      </w:r>
    </w:p>
    <w:p w14:paraId="0CEB5382" w14:textId="77777777" w:rsidR="00966354" w:rsidRDefault="00000000">
      <w:pPr>
        <w:rPr>
          <w:lang w:val="fr-FR"/>
        </w:rPr>
      </w:pPr>
      <w:r>
        <w:rPr>
          <w:lang w:val="fr-FR"/>
        </w:rPr>
        <w:t>Son innervation sympathique implique les fibres splanchniques thoraciques et les plexus prévertébraux, notamment cœliaque et mésentérique supérieur.</w:t>
      </w:r>
    </w:p>
    <w:p w14:paraId="3AEF65F6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7. Physiologie</w:t>
      </w:r>
    </w:p>
    <w:p w14:paraId="0D277001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7.1. Fonction digestive et neutralisation</w:t>
      </w:r>
    </w:p>
    <w:p w14:paraId="3D007D7A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duodénum participe à la digestion et à l’absorption initiale de plusieurs nutriments.</w:t>
      </w:r>
    </w:p>
    <w:p w14:paraId="56DA841D" w14:textId="77777777" w:rsidR="00966354" w:rsidRDefault="00000000">
      <w:pPr>
        <w:rPr>
          <w:lang w:val="fr-FR"/>
        </w:rPr>
      </w:pPr>
      <w:r>
        <w:rPr>
          <w:lang w:val="fr-FR"/>
        </w:rPr>
        <w:t>Il contribue à la neutralisation du contenu gastrique acide en sortie de pylore.</w:t>
      </w:r>
    </w:p>
    <w:p w14:paraId="180B41BA" w14:textId="77777777" w:rsidR="00966354" w:rsidRDefault="00000000">
      <w:pPr>
        <w:rPr>
          <w:lang w:val="fr-FR"/>
        </w:rPr>
      </w:pPr>
      <w:r>
        <w:rPr>
          <w:lang w:val="fr-FR"/>
        </w:rPr>
        <w:t>Son pH est globalement voisin de la neutralité, avec des variations selon les sécrétions et le moment digestif.</w:t>
      </w:r>
    </w:p>
    <w:p w14:paraId="02E53359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7.2. Motricité</w:t>
      </w:r>
    </w:p>
    <w:p w14:paraId="2DEF8858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duodénum présente une motricité régulière, coordonnée avec les phases digestives, permettant la progression et le brassage du chyme vers le jéjunum.</w:t>
      </w:r>
    </w:p>
    <w:p w14:paraId="594E557C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7.3. Sécrétions digestives et protection muqueuse</w:t>
      </w:r>
    </w:p>
    <w:p w14:paraId="2D326BC3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il</w:t>
      </w:r>
      <w:proofErr w:type="gramEnd"/>
      <w:r>
        <w:rPr>
          <w:lang w:val="fr-FR"/>
        </w:rPr>
        <w:t xml:space="preserve"> reçoit sur 24 heures un volume important de contenu digestif et de sécrétions gastriques, biliaires et pancréatiques ; les ordres de grandeur varient selon les sources.</w:t>
      </w:r>
    </w:p>
    <w:p w14:paraId="025CD908" w14:textId="77777777" w:rsidR="00966354" w:rsidRDefault="00000000">
      <w:pPr>
        <w:rPr>
          <w:lang w:val="fr-FR"/>
        </w:rPr>
      </w:pPr>
      <w:r>
        <w:rPr>
          <w:lang w:val="fr-FR"/>
        </w:rPr>
        <w:t>Cette activité sécrétoire permet le mélange du chyme avec des enzymes pancréatiques, de la bile et des sécrétions protectrices muqueuses.</w:t>
      </w:r>
    </w:p>
    <w:p w14:paraId="3EFEBC6E" w14:textId="77777777" w:rsidR="00966354" w:rsidRDefault="00000000">
      <w:pPr>
        <w:rPr>
          <w:lang w:val="fr-FR"/>
        </w:rPr>
      </w:pPr>
      <w:r>
        <w:rPr>
          <w:lang w:val="fr-FR"/>
        </w:rPr>
        <w:t>L’amylase pancréatique participe à l’hydrolyse de l’amidon et du glycogène.</w:t>
      </w:r>
    </w:p>
    <w:p w14:paraId="4D8FAE77" w14:textId="77777777" w:rsidR="00966354" w:rsidRDefault="00000000">
      <w:pPr>
        <w:rPr>
          <w:lang w:val="fr-FR"/>
        </w:rPr>
      </w:pPr>
      <w:r>
        <w:rPr>
          <w:lang w:val="fr-FR"/>
        </w:rPr>
        <w:t>Les précurseurs protéolytiques pancréatiques participent à la digestion des protéines après activation luminale.</w:t>
      </w:r>
    </w:p>
    <w:p w14:paraId="1C24E84B" w14:textId="77777777" w:rsidR="00966354" w:rsidRDefault="00000000">
      <w:pPr>
        <w:rPr>
          <w:lang w:val="fr-FR"/>
        </w:rPr>
      </w:pPr>
      <w:r>
        <w:rPr>
          <w:lang w:val="fr-FR"/>
        </w:rPr>
        <w:t>La lipase pancréatique participe à la digestion des graisses, en synergie avec l’émulsification biliaire.</w:t>
      </w:r>
    </w:p>
    <w:p w14:paraId="4EF04FA6" w14:textId="77777777" w:rsidR="00966354" w:rsidRDefault="00000000">
      <w:pPr>
        <w:rPr>
          <w:lang w:val="fr-FR"/>
        </w:rPr>
      </w:pPr>
      <w:r>
        <w:rPr>
          <w:lang w:val="fr-FR"/>
        </w:rPr>
        <w:t>Le mucus et les glandes de Brunner contribuent à la protection de la muqueuse duodénale.</w:t>
      </w:r>
    </w:p>
    <w:p w14:paraId="742C7B4D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t>7.4. Régulation hormonale</w:t>
      </w:r>
    </w:p>
    <w:p w14:paraId="69833DAB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la</w:t>
      </w:r>
      <w:proofErr w:type="gramEnd"/>
      <w:r>
        <w:rPr>
          <w:lang w:val="fr-FR"/>
        </w:rPr>
        <w:t xml:space="preserve"> sécrétine contribue à la régulation antiacide et stimule la sécrétion pancréatique bicarbonatée.</w:t>
      </w:r>
    </w:p>
    <w:p w14:paraId="6AE1BD55" w14:textId="77777777" w:rsidR="00966354" w:rsidRDefault="00000000">
      <w:pPr>
        <w:rPr>
          <w:lang w:val="fr-FR"/>
        </w:rPr>
      </w:pPr>
      <w:r>
        <w:rPr>
          <w:lang w:val="fr-FR"/>
        </w:rPr>
        <w:t>La cholécystokinine participe à la contraction de la vésicule biliaire et à la régulation des sécrétions digestives en réponse au chyme.</w:t>
      </w:r>
    </w:p>
    <w:p w14:paraId="71295B83" w14:textId="77777777" w:rsidR="00966354" w:rsidRPr="00E97507" w:rsidRDefault="00000000">
      <w:pPr>
        <w:pStyle w:val="Heading2"/>
        <w:spacing w:before="100" w:after="60"/>
        <w:rPr>
          <w:lang w:val="fr-FR"/>
        </w:rPr>
      </w:pPr>
      <w:r w:rsidRPr="00E97507">
        <w:rPr>
          <w:lang w:val="fr-FR"/>
        </w:rPr>
        <w:lastRenderedPageBreak/>
        <w:t>7.5. Absorption</w:t>
      </w:r>
    </w:p>
    <w:p w14:paraId="5AA8B7AF" w14:textId="77777777" w:rsidR="00966354" w:rsidRDefault="00000000">
      <w:pPr>
        <w:rPr>
          <w:lang w:val="fr-FR"/>
        </w:rPr>
      </w:pPr>
      <w:proofErr w:type="gramStart"/>
      <w:r>
        <w:rPr>
          <w:lang w:val="fr-FR"/>
        </w:rPr>
        <w:t>le</w:t>
      </w:r>
      <w:proofErr w:type="gramEnd"/>
      <w:r>
        <w:rPr>
          <w:lang w:val="fr-FR"/>
        </w:rPr>
        <w:t xml:space="preserve"> duodénum contribue notamment à l’absorption du fer, du calcium et de certains micronutriments ; cette absorption se poursuit ensuite dans le reste de l’intestin grêle.</w:t>
      </w:r>
    </w:p>
    <w:p w14:paraId="159BA199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8. Pathologies courantes</w:t>
      </w:r>
    </w:p>
    <w:p w14:paraId="0E932913" w14:textId="77777777" w:rsidR="00966354" w:rsidRDefault="00000000">
      <w:pPr>
        <w:rPr>
          <w:lang w:val="fr-FR"/>
        </w:rPr>
      </w:pPr>
      <w:r>
        <w:rPr>
          <w:lang w:val="fr-FR"/>
        </w:rPr>
        <w:t>Les douleurs projetées du duodénum siègent classiquement dans la région épigastrique et peuvent irradier vers l’ombilic.</w:t>
      </w:r>
    </w:p>
    <w:p w14:paraId="3E9B841C" w14:textId="77777777" w:rsidR="00966354" w:rsidRDefault="00000000">
      <w:pPr>
        <w:rPr>
          <w:lang w:val="fr-FR"/>
        </w:rPr>
      </w:pPr>
      <w:r>
        <w:rPr>
          <w:lang w:val="fr-FR"/>
        </w:rPr>
        <w:t>Certaines atteintes duodénales peuvent s’accompagner de douleurs dorsales, ce qui justifie de les envisager dans le diagnostic différentiel.</w:t>
      </w:r>
    </w:p>
    <w:p w14:paraId="6F280793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8.1. Diagnostic d’exclusion</w:t>
      </w:r>
    </w:p>
    <w:p w14:paraId="6DB797B3" w14:textId="77777777" w:rsidR="00966354" w:rsidRDefault="00000000">
      <w:pPr>
        <w:rPr>
          <w:lang w:val="fr-FR"/>
        </w:rPr>
      </w:pPr>
      <w:r>
        <w:rPr>
          <w:lang w:val="fr-FR"/>
        </w:rPr>
        <w:t>L’ulcère duodénal est plus fréquent que l’ulcère gastrique.</w:t>
      </w:r>
    </w:p>
    <w:p w14:paraId="37438D43" w14:textId="77777777" w:rsidR="00966354" w:rsidRDefault="00000000">
      <w:pPr>
        <w:rPr>
          <w:lang w:val="fr-FR"/>
        </w:rPr>
      </w:pPr>
      <w:r>
        <w:rPr>
          <w:lang w:val="fr-FR"/>
        </w:rPr>
        <w:t>Il correspond à un déséquilibre entre facteurs agressifs acido-peptiques et mécanismes de défense muqueuse.</w:t>
      </w:r>
    </w:p>
    <w:p w14:paraId="358F1816" w14:textId="77777777" w:rsidR="00966354" w:rsidRDefault="00000000">
      <w:pPr>
        <w:rPr>
          <w:lang w:val="fr-FR"/>
        </w:rPr>
      </w:pPr>
      <w:r>
        <w:rPr>
          <w:lang w:val="fr-FR"/>
        </w:rPr>
        <w:t>Helicobacter pylori constitue un facteur majeur associé à cette pathologie.</w:t>
      </w:r>
    </w:p>
    <w:p w14:paraId="4D9BC82D" w14:textId="77777777" w:rsidR="00966354" w:rsidRDefault="00000000">
      <w:pPr>
        <w:rPr>
          <w:lang w:val="fr-FR"/>
        </w:rPr>
      </w:pPr>
      <w:r>
        <w:rPr>
          <w:lang w:val="fr-FR"/>
        </w:rPr>
        <w:t>Le stress peut s’accompagner de modifications de la sécrétion acide et des mécanismes de défense muqueuse.</w:t>
      </w:r>
    </w:p>
    <w:p w14:paraId="6C5B4B6C" w14:textId="77777777" w:rsidR="00966354" w:rsidRDefault="00000000">
      <w:pPr>
        <w:rPr>
          <w:lang w:val="fr-FR"/>
        </w:rPr>
      </w:pPr>
      <w:r>
        <w:rPr>
          <w:lang w:val="fr-FR"/>
        </w:rPr>
        <w:t>L’alcool, le tabac et certains médicaments, notamment les anti-inflammatoires non stéroïdiens et l’aspirine, peuvent augmenter le risque lésionnel.</w:t>
      </w:r>
    </w:p>
    <w:p w14:paraId="05696FB7" w14:textId="77777777" w:rsidR="00966354" w:rsidRDefault="00000000">
      <w:pPr>
        <w:rPr>
          <w:lang w:val="fr-FR"/>
        </w:rPr>
      </w:pPr>
      <w:r>
        <w:rPr>
          <w:lang w:val="fr-FR"/>
        </w:rPr>
        <w:t>L’exposition à certains toxiques alimentaires ou environnementaux peut être discutée, mais doit être interprétée avec prudence.</w:t>
      </w:r>
    </w:p>
    <w:p w14:paraId="38EF6E29" w14:textId="77777777" w:rsidR="00966354" w:rsidRDefault="00000000">
      <w:pPr>
        <w:rPr>
          <w:lang w:val="fr-FR"/>
        </w:rPr>
      </w:pPr>
      <w:r>
        <w:rPr>
          <w:lang w:val="fr-FR"/>
        </w:rPr>
        <w:t>Les symptômes incluent des douleurs ou brûlures épigastriques, parfois différées après les repas pour l’ulcère duodénal, avec possibles nausées ou vomissements.</w:t>
      </w:r>
    </w:p>
    <w:p w14:paraId="5461FAF4" w14:textId="77777777" w:rsidR="00966354" w:rsidRDefault="00000000">
      <w:pPr>
        <w:rPr>
          <w:lang w:val="fr-FR"/>
        </w:rPr>
      </w:pPr>
      <w:r>
        <w:rPr>
          <w:lang w:val="fr-FR"/>
        </w:rPr>
        <w:t>Une proportion non négligeable des ulcères peut rester paucisymptomatique ou asymptomatique.</w:t>
      </w:r>
    </w:p>
    <w:p w14:paraId="4DE5373C" w14:textId="77777777" w:rsidR="00966354" w:rsidRDefault="00000000">
      <w:pPr>
        <w:pStyle w:val="Heading2"/>
        <w:spacing w:before="100" w:after="60"/>
        <w:rPr>
          <w:lang w:val="fr-FR"/>
        </w:rPr>
      </w:pPr>
      <w:r>
        <w:rPr>
          <w:lang w:val="fr-FR"/>
        </w:rPr>
        <w:t>8.2. Complications</w:t>
      </w:r>
    </w:p>
    <w:p w14:paraId="6D84D568" w14:textId="77777777" w:rsidR="00966354" w:rsidRDefault="00000000">
      <w:pPr>
        <w:rPr>
          <w:lang w:val="fr-FR"/>
        </w:rPr>
      </w:pPr>
      <w:r>
        <w:rPr>
          <w:lang w:val="fr-FR"/>
        </w:rPr>
        <w:t>Les complications comprennent notamment l’hémorragie digestive et la perforation.</w:t>
      </w:r>
    </w:p>
    <w:p w14:paraId="1BFBE41B" w14:textId="77777777" w:rsidR="00966354" w:rsidRDefault="00000000">
      <w:pPr>
        <w:rPr>
          <w:lang w:val="fr-FR"/>
        </w:rPr>
      </w:pPr>
      <w:r>
        <w:rPr>
          <w:lang w:val="fr-FR"/>
        </w:rPr>
        <w:t>Une douleur dorsale aiguë peut faire discuter une atteinte pancréatique associée ou un diagnostic différentiel.</w:t>
      </w:r>
    </w:p>
    <w:p w14:paraId="296A93E3" w14:textId="77777777" w:rsidR="00966354" w:rsidRDefault="00000000">
      <w:pPr>
        <w:rPr>
          <w:lang w:val="fr-FR"/>
        </w:rPr>
      </w:pPr>
      <w:r>
        <w:rPr>
          <w:lang w:val="fr-FR"/>
        </w:rPr>
        <w:t>Les vomissements à jeun du matin peuvent s’observer dans certains tableaux obstructifs ou irritatifs, sans être spécifiques.</w:t>
      </w:r>
    </w:p>
    <w:p w14:paraId="78B82827" w14:textId="77777777" w:rsidR="00966354" w:rsidRDefault="00000000">
      <w:pPr>
        <w:rPr>
          <w:lang w:val="fr-FR"/>
        </w:rPr>
      </w:pPr>
      <w:r>
        <w:rPr>
          <w:lang w:val="fr-FR"/>
        </w:rPr>
        <w:t>La présence d’Helicobacter pylori est associée à un sur-risque de complications à long terme et justifie une évaluation médicale appropriée.</w:t>
      </w:r>
    </w:p>
    <w:p w14:paraId="4BE96551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9. Indications : troubles fonctionnels</w:t>
      </w:r>
    </w:p>
    <w:p w14:paraId="53E0A5B9" w14:textId="77777777" w:rsidR="00966354" w:rsidRDefault="00000000">
      <w:pPr>
        <w:rPr>
          <w:lang w:val="fr-FR"/>
        </w:rPr>
      </w:pPr>
      <w:r>
        <w:rPr>
          <w:lang w:val="fr-FR"/>
        </w:rPr>
        <w:t>Dans le cadre clinique, une duodénoparésie ou stase duodénale peut être évoquée devant une hypomotricité duodénale, parfois associée à une gastroparésie.</w:t>
      </w:r>
    </w:p>
    <w:p w14:paraId="6C42871E" w14:textId="77777777" w:rsidR="00966354" w:rsidRDefault="00000000">
      <w:pPr>
        <w:rPr>
          <w:lang w:val="fr-FR"/>
        </w:rPr>
      </w:pPr>
      <w:r>
        <w:rPr>
          <w:lang w:val="fr-FR"/>
        </w:rPr>
        <w:t>Dans cette lecture, des troubles fonctionnels bilio-pancréatiques peuvent s’y associer.</w:t>
      </w:r>
    </w:p>
    <w:p w14:paraId="4F466CBA" w14:textId="77777777" w:rsidR="00966354" w:rsidRDefault="00000000">
      <w:pPr>
        <w:rPr>
          <w:lang w:val="fr-FR"/>
        </w:rPr>
      </w:pPr>
      <w:r>
        <w:rPr>
          <w:lang w:val="fr-FR"/>
        </w:rPr>
        <w:t>La perte de tension longitudinale de la racine du mésentère est décrite ici comme pouvant s’accompagner d’une moindre efficacité mécanique du muscle de Treitz.</w:t>
      </w:r>
    </w:p>
    <w:p w14:paraId="5BC60BE3" w14:textId="77777777" w:rsidR="00966354" w:rsidRDefault="00000000">
      <w:pPr>
        <w:rPr>
          <w:lang w:val="fr-FR"/>
        </w:rPr>
      </w:pPr>
      <w:r>
        <w:rPr>
          <w:lang w:val="fr-FR"/>
        </w:rPr>
        <w:t>Le syndrome de la pince aorto-mésentérique correspond à une compression de D4 entre l’aorte et l’artère mésentérique supérieure, avec possible retentissement sur la veine rénale gauche.</w:t>
      </w:r>
    </w:p>
    <w:p w14:paraId="57C2E804" w14:textId="77777777" w:rsidR="00966354" w:rsidRDefault="00000000">
      <w:pPr>
        <w:rPr>
          <w:lang w:val="fr-FR"/>
        </w:rPr>
      </w:pPr>
      <w:r>
        <w:rPr>
          <w:lang w:val="fr-FR"/>
        </w:rPr>
        <w:t>Ce conflit peut ralentir l’évacuation du contenu duodénal vers le jéjunum.</w:t>
      </w:r>
    </w:p>
    <w:p w14:paraId="6B4BD883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lastRenderedPageBreak/>
        <w:t>10. Relations viscéro-somatiques</w:t>
      </w:r>
    </w:p>
    <w:p w14:paraId="57BE0B7B" w14:textId="77777777" w:rsidR="00966354" w:rsidRDefault="00000000">
      <w:pPr>
        <w:rPr>
          <w:lang w:val="fr-FR"/>
        </w:rPr>
      </w:pPr>
      <w:r>
        <w:rPr>
          <w:lang w:val="fr-FR"/>
        </w:rPr>
        <w:t>Vertèbres Th7 à Th9 et L1-L2, dernières côtes, piliers médians du diaphragme et psoas sont conservés comme éléments de lecture clinique.</w:t>
      </w:r>
    </w:p>
    <w:p w14:paraId="30CB4B1F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11. Relations viscéro-émotionnelles</w:t>
      </w:r>
    </w:p>
    <w:p w14:paraId="020DAB26" w14:textId="77777777" w:rsidR="00966354" w:rsidRDefault="00000000">
      <w:pPr>
        <w:rPr>
          <w:lang w:val="fr-FR"/>
        </w:rPr>
      </w:pPr>
      <w:r>
        <w:rPr>
          <w:lang w:val="fr-FR"/>
        </w:rPr>
        <w:t>Dans le cadre ROP, le duodénum est décrit comme particulièrement réactif aux émotions impliquant la vie relationnelle.</w:t>
      </w:r>
    </w:p>
    <w:p w14:paraId="616B7DD6" w14:textId="77777777" w:rsidR="00966354" w:rsidRDefault="00000000">
      <w:pPr>
        <w:rPr>
          <w:lang w:val="fr-FR"/>
        </w:rPr>
      </w:pPr>
      <w:r>
        <w:rPr>
          <w:lang w:val="fr-FR"/>
        </w:rPr>
        <w:t>Balance cerveau limbique-duodénum : cette mise en relation relève du cadre clinique ROP et de ses techniques d’écoute-induction.</w:t>
      </w:r>
    </w:p>
    <w:p w14:paraId="73C75AF3" w14:textId="77777777" w:rsidR="00966354" w:rsidRDefault="00000000">
      <w:pPr>
        <w:pStyle w:val="Heading1"/>
        <w:spacing w:before="160" w:after="60"/>
        <w:rPr>
          <w:lang w:val="fr-FR"/>
        </w:rPr>
      </w:pPr>
      <w:r>
        <w:rPr>
          <w:lang w:val="fr-FR"/>
        </w:rPr>
        <w:t>12. Conseils</w:t>
      </w:r>
    </w:p>
    <w:p w14:paraId="41F915D0" w14:textId="77777777" w:rsidR="00966354" w:rsidRDefault="00000000">
      <w:pPr>
        <w:rPr>
          <w:lang w:val="fr-FR"/>
        </w:rPr>
      </w:pPr>
      <w:r>
        <w:rPr>
          <w:lang w:val="fr-FR"/>
        </w:rPr>
        <w:t>Les conseils sont identiques à ceux proposés pour l’estomac.</w:t>
      </w:r>
    </w:p>
    <w:p w14:paraId="0BC69805" w14:textId="77777777" w:rsidR="00966354" w:rsidRDefault="00000000">
      <w:pPr>
        <w:rPr>
          <w:lang w:val="fr-FR"/>
        </w:rPr>
      </w:pPr>
      <w:r>
        <w:rPr>
          <w:lang w:val="fr-FR"/>
        </w:rPr>
        <w:t>Dans le cadre ROP, le travail vise à accompagner la motricité duodénale, à favoriser la dynamique biliaire et pancréatique au niveau des papilles, et à réduire certaines tensions cliniquement perçues autour du sphincter d’Oddi.</w:t>
      </w:r>
    </w:p>
    <w:p w14:paraId="5CC2A7EB" w14:textId="77777777" w:rsidR="00966354" w:rsidRDefault="00000000">
      <w:pPr>
        <w:rPr>
          <w:lang w:val="fr-FR"/>
        </w:rPr>
      </w:pPr>
      <w:r>
        <w:rPr>
          <w:lang w:val="fr-FR"/>
        </w:rPr>
        <w:t>Le traitement du duodénum est alors associé à celui des viscères avec lesquels chaque segment est en rapport : D1 avec l’estomac ; D2 avec le pancréas, le foie et la vésicule biliaire ; D3 et D4 avec l’intestin grêle et la racine du mésentère.</w:t>
      </w:r>
    </w:p>
    <w:p w14:paraId="32B0D3BD" w14:textId="77777777" w:rsidR="00966354" w:rsidRPr="00E97507" w:rsidRDefault="00000000">
      <w:pPr>
        <w:pStyle w:val="Heading1"/>
        <w:rPr>
          <w:lang w:val="fr-FR"/>
        </w:rPr>
      </w:pPr>
      <w:r w:rsidRPr="00E97507">
        <w:rPr>
          <w:lang w:val="fr-FR"/>
        </w:rPr>
        <w:t xml:space="preserve">13. Zones réflexes </w:t>
      </w:r>
      <w:r w:rsidR="00E97507" w:rsidRPr="00E97507">
        <w:rPr>
          <w:lang w:val="fr-FR"/>
        </w:rPr>
        <w:t>ROP</w:t>
      </w:r>
    </w:p>
    <w:p w14:paraId="44B7CCAE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t>13.1. Repères propres au duodénum</w:t>
      </w:r>
    </w:p>
    <w:p w14:paraId="1AC77853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Pied droit. </w:t>
      </w:r>
      <w:r w:rsidRPr="00E97507">
        <w:rPr>
          <w:lang w:val="fr-FR"/>
        </w:rPr>
        <w:t>D1 est projeté horizontalement autour du repère L1 ; D2 verticalement de L1 à L4 ; le sphincter d’Oddi est repéré à l’union du tiers moyen et du tiers inférieur de D2, autour de L2 ; D3 est projeté horizontalement autour du tubercule du naviculaire.</w:t>
      </w:r>
    </w:p>
    <w:p w14:paraId="715FDAA5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Pied gauche. </w:t>
      </w:r>
      <w:r w:rsidRPr="00E97507">
        <w:rPr>
          <w:lang w:val="fr-FR"/>
        </w:rPr>
        <w:t xml:space="preserve">D4 est projeté selon une ligne oblique crânio-latérale ; la jonction </w:t>
      </w:r>
      <w:proofErr w:type="spellStart"/>
      <w:r w:rsidRPr="00E97507">
        <w:rPr>
          <w:lang w:val="fr-FR"/>
        </w:rPr>
        <w:t>duodéno-jéjunale</w:t>
      </w:r>
      <w:proofErr w:type="spellEnd"/>
      <w:r w:rsidRPr="00E97507">
        <w:rPr>
          <w:lang w:val="fr-FR"/>
        </w:rPr>
        <w:t xml:space="preserve"> est décrite comme symétrique du sphincter d’Oddi, autour de L2.</w:t>
      </w:r>
    </w:p>
    <w:p w14:paraId="0553EBA0" w14:textId="77777777" w:rsidR="00DA1955" w:rsidRDefault="00000000">
      <w:pPr>
        <w:spacing w:after="60"/>
        <w:rPr>
          <w:lang w:val="fr-FR"/>
        </w:rPr>
      </w:pPr>
      <w:r w:rsidRPr="00B34A05">
        <w:rPr>
          <w:b/>
          <w:lang w:val="fr-FR"/>
        </w:rPr>
        <w:t xml:space="preserve">Racine du mésentère : </w:t>
      </w:r>
      <w:r w:rsidRPr="00B34A05">
        <w:rPr>
          <w:lang w:val="fr-FR"/>
        </w:rPr>
        <w:t xml:space="preserve">une ligne oblique allant de la valvule iléo-caecale à la jonction </w:t>
      </w:r>
      <w:proofErr w:type="spellStart"/>
      <w:r w:rsidRPr="00B34A05">
        <w:rPr>
          <w:lang w:val="fr-FR"/>
        </w:rPr>
        <w:t>duodéno-jéjunale</w:t>
      </w:r>
      <w:proofErr w:type="spellEnd"/>
      <w:r w:rsidRPr="00B34A05">
        <w:rPr>
          <w:lang w:val="fr-FR"/>
        </w:rPr>
        <w:t>.</w:t>
      </w:r>
    </w:p>
    <w:p w14:paraId="7F82FA04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Sur les deux pieds. </w:t>
      </w:r>
      <w:r w:rsidRPr="00E97507">
        <w:rPr>
          <w:lang w:val="fr-FR"/>
        </w:rPr>
        <w:t>Le pylore est repéré sur le bord médial de la peau plantaire, généralement plus marqué à droite.</w:t>
      </w:r>
    </w:p>
    <w:p w14:paraId="5EBE61B0" w14:textId="77777777" w:rsidR="00966354" w:rsidRPr="00E97507" w:rsidRDefault="00000000">
      <w:pPr>
        <w:rPr>
          <w:lang w:val="fr-FR"/>
        </w:rPr>
      </w:pPr>
      <w:r w:rsidRPr="00E97507">
        <w:rPr>
          <w:lang w:val="fr-FR"/>
        </w:rPr>
        <w:t xml:space="preserve">Le quadrilatère de </w:t>
      </w:r>
      <w:proofErr w:type="spellStart"/>
      <w:r w:rsidRPr="00E97507">
        <w:rPr>
          <w:lang w:val="fr-FR"/>
        </w:rPr>
        <w:t>Rogié</w:t>
      </w:r>
      <w:proofErr w:type="spellEnd"/>
      <w:r w:rsidRPr="00E97507">
        <w:rPr>
          <w:lang w:val="fr-FR"/>
        </w:rPr>
        <w:t xml:space="preserve"> peut être utilisé comme repère régional associé à D2 lorsque les tests le rendent pertinent. Il ne constitue pas une nouvelle zone d’organe, mais un carrefour clinique de structures solidaires du deuxième duodénum.</w:t>
      </w:r>
    </w:p>
    <w:p w14:paraId="1E9AD811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t>13.2. Niveau 1 — Régulation des centres supérieurs</w:t>
      </w:r>
    </w:p>
    <w:p w14:paraId="3523872F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Zones réflexes occipitales.</w:t>
      </w:r>
    </w:p>
    <w:p w14:paraId="2F05EBB8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Tronc cérébral et centres d’intégration.</w:t>
      </w:r>
    </w:p>
    <w:p w14:paraId="1130BCED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Hypothalamus.</w:t>
      </w:r>
    </w:p>
    <w:p w14:paraId="15CC83BA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Axe hypothalamo-hypophysaire.</w:t>
      </w:r>
    </w:p>
    <w:p w14:paraId="501312C9" w14:textId="77777777" w:rsidR="00B34A05" w:rsidRDefault="00B34A05">
      <w:pPr>
        <w:rPr>
          <w:i/>
          <w:color w:val="5E666A"/>
          <w:lang w:val="fr-FR"/>
        </w:rPr>
      </w:pPr>
    </w:p>
    <w:p w14:paraId="61E62FD0" w14:textId="2BED77A0" w:rsidR="00966354" w:rsidRPr="00E97507" w:rsidRDefault="00000000">
      <w:pPr>
        <w:rPr>
          <w:lang w:val="fr-FR"/>
        </w:rPr>
      </w:pPr>
      <w:r w:rsidRPr="00E97507">
        <w:rPr>
          <w:i/>
          <w:color w:val="5E666A"/>
          <w:lang w:val="fr-FR"/>
        </w:rPr>
        <w:t>Cf. chapitre 3 — Système nerveux central.</w:t>
      </w:r>
    </w:p>
    <w:p w14:paraId="66B845E0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lastRenderedPageBreak/>
        <w:t>13.3. Niveau 2 — Régulation neuro-végétative et adaptation</w:t>
      </w:r>
    </w:p>
    <w:p w14:paraId="465D8D73" w14:textId="4D3F87E7" w:rsidR="00966354" w:rsidRPr="00E97507" w:rsidRDefault="00000000">
      <w:pPr>
        <w:rPr>
          <w:lang w:val="fr-FR"/>
        </w:rPr>
      </w:pPr>
      <w:r w:rsidRPr="00E97507">
        <w:rPr>
          <w:lang w:val="fr-FR"/>
        </w:rPr>
        <w:t>Le Niveau 2 associe les voies parasympathiques vagales, les voies sympathiques splanchniques et les plexus prévertébraux impliqués dans la motricité et les sécrétions digestives.</w:t>
      </w:r>
    </w:p>
    <w:p w14:paraId="0E083DE9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Nerf vague X.</w:t>
      </w:r>
    </w:p>
    <w:p w14:paraId="6D3BD1E8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Sympathique thoracique.</w:t>
      </w:r>
    </w:p>
    <w:p w14:paraId="2AF0AF50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Nerfs splanchniques.</w:t>
      </w:r>
    </w:p>
    <w:p w14:paraId="6E82579E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Plexus cœliaque.</w:t>
      </w:r>
    </w:p>
    <w:p w14:paraId="19683426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Plexus mésentérique supérieur.</w:t>
      </w:r>
    </w:p>
    <w:p w14:paraId="4DA55113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Coordination autonome de la motricité duodénale et des sécrétions digestives.</w:t>
      </w:r>
    </w:p>
    <w:p w14:paraId="4BC0F39E" w14:textId="77777777" w:rsidR="00B34A05" w:rsidRDefault="00B34A05">
      <w:pPr>
        <w:rPr>
          <w:i/>
          <w:color w:val="5E666A"/>
          <w:lang w:val="fr-FR"/>
        </w:rPr>
      </w:pPr>
    </w:p>
    <w:p w14:paraId="5A241360" w14:textId="194D7652" w:rsidR="00966354" w:rsidRPr="00E97507" w:rsidRDefault="00000000">
      <w:pPr>
        <w:rPr>
          <w:lang w:val="fr-FR"/>
        </w:rPr>
      </w:pPr>
      <w:r w:rsidRPr="00E97507">
        <w:rPr>
          <w:i/>
          <w:color w:val="5E666A"/>
          <w:lang w:val="fr-FR"/>
        </w:rPr>
        <w:t>Cf. chapitre 4 — Système nerveux autonome.</w:t>
      </w:r>
    </w:p>
    <w:p w14:paraId="19007F19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t>13.4. Niveau 3 — Régulation viscérale loco-régionale</w:t>
      </w:r>
    </w:p>
    <w:p w14:paraId="431898DB" w14:textId="77777777" w:rsidR="00966354" w:rsidRPr="00E97507" w:rsidRDefault="00000000">
      <w:pPr>
        <w:rPr>
          <w:lang w:val="fr-FR"/>
        </w:rPr>
      </w:pPr>
      <w:r w:rsidRPr="00E97507">
        <w:rPr>
          <w:lang w:val="fr-FR"/>
        </w:rPr>
        <w:t>Le Niveau 3 constitue le cœur anatomique du protocole. La sélection régionale varie selon le segment duodénal concerné.</w:t>
      </w:r>
    </w:p>
    <w:p w14:paraId="21ACDAEF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D1 — interface gastro-hépato-duodénale. </w:t>
      </w:r>
      <w:r w:rsidRPr="00E97507">
        <w:rPr>
          <w:lang w:val="fr-FR"/>
        </w:rPr>
        <w:t>Selon les tests : pylore, D1, estomac, foie, vésicule biliaire et ligament hépato-duodénal.</w:t>
      </w:r>
    </w:p>
    <w:p w14:paraId="7F57C056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D2 — carrefour bilio-pancréatique. </w:t>
      </w:r>
      <w:r w:rsidRPr="00E97507">
        <w:rPr>
          <w:lang w:val="fr-FR"/>
        </w:rPr>
        <w:t xml:space="preserve">D2, tête du pancréas, papille majeure, sphincter d’Oddi, papille mineure, voies biliaires et quadrilatère de </w:t>
      </w:r>
      <w:proofErr w:type="spellStart"/>
      <w:r w:rsidRPr="00E97507">
        <w:rPr>
          <w:lang w:val="fr-FR"/>
        </w:rPr>
        <w:t>Rogié</w:t>
      </w:r>
      <w:proofErr w:type="spellEnd"/>
      <w:r w:rsidRPr="00E97507">
        <w:rPr>
          <w:lang w:val="fr-FR"/>
        </w:rPr>
        <w:t>. Le rein droit et le côlon ascendant ne sont ajoutés que si les tests les rendent pertinents.</w:t>
      </w:r>
    </w:p>
    <w:p w14:paraId="647AA850" w14:textId="77777777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D3-D4 — interface mésentérique. </w:t>
      </w:r>
      <w:r w:rsidRPr="00E97507">
        <w:rPr>
          <w:lang w:val="fr-FR"/>
        </w:rPr>
        <w:t xml:space="preserve">D3, D4, racine du mésentère, vaisseaux mésentériques supérieurs, jonction </w:t>
      </w:r>
      <w:proofErr w:type="spellStart"/>
      <w:r w:rsidRPr="00E97507">
        <w:rPr>
          <w:lang w:val="fr-FR"/>
        </w:rPr>
        <w:t>duodéno-jéjunale</w:t>
      </w:r>
      <w:proofErr w:type="spellEnd"/>
      <w:r w:rsidRPr="00E97507">
        <w:rPr>
          <w:lang w:val="fr-FR"/>
        </w:rPr>
        <w:t>, muscle de Treitz et début du jéjunum.</w:t>
      </w:r>
    </w:p>
    <w:p w14:paraId="1D4257BB" w14:textId="77777777" w:rsidR="00B34A05" w:rsidRDefault="00B34A05">
      <w:pPr>
        <w:rPr>
          <w:i/>
          <w:color w:val="5E666A"/>
          <w:lang w:val="fr-FR"/>
        </w:rPr>
      </w:pPr>
    </w:p>
    <w:p w14:paraId="5097F5AE" w14:textId="444EC758" w:rsidR="00966354" w:rsidRPr="00E97507" w:rsidRDefault="00000000">
      <w:pPr>
        <w:rPr>
          <w:lang w:val="fr-FR"/>
        </w:rPr>
      </w:pPr>
      <w:r w:rsidRPr="00E97507">
        <w:rPr>
          <w:i/>
          <w:color w:val="5E666A"/>
          <w:lang w:val="fr-FR"/>
        </w:rPr>
        <w:t>Cf. chapitre 7 — Socle régional abdominal et péritonéal ; chapitre 11 — Foie et voies biliaires ; chapitre 12 — Pancréas ; chapitre 14 — Intestin grêle.</w:t>
      </w:r>
    </w:p>
    <w:p w14:paraId="0199DA03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t xml:space="preserve">13.5. Niveau 4 — Intégration </w:t>
      </w:r>
      <w:proofErr w:type="spellStart"/>
      <w:r w:rsidRPr="00E97507">
        <w:rPr>
          <w:lang w:val="fr-FR"/>
        </w:rPr>
        <w:t>viscéro</w:t>
      </w:r>
      <w:proofErr w:type="spellEnd"/>
      <w:r w:rsidRPr="00E97507">
        <w:rPr>
          <w:lang w:val="fr-FR"/>
        </w:rPr>
        <w:t>-somatique et Balance cerveau limbique-duodénum</w:t>
      </w:r>
    </w:p>
    <w:p w14:paraId="1F7BA416" w14:textId="77777777" w:rsidR="00B34A05" w:rsidRDefault="00B34A05">
      <w:pPr>
        <w:spacing w:after="60"/>
        <w:rPr>
          <w:b/>
          <w:lang w:val="fr-FR"/>
        </w:rPr>
      </w:pPr>
    </w:p>
    <w:p w14:paraId="064D4BD5" w14:textId="55F7D38D" w:rsidR="00966354" w:rsidRPr="00E97507" w:rsidRDefault="00000000">
      <w:pPr>
        <w:spacing w:after="60"/>
        <w:rPr>
          <w:lang w:val="fr-FR"/>
        </w:rPr>
      </w:pPr>
      <w:r w:rsidRPr="00E97507">
        <w:rPr>
          <w:b/>
          <w:lang w:val="fr-FR"/>
        </w:rPr>
        <w:t xml:space="preserve">Versant </w:t>
      </w:r>
      <w:proofErr w:type="spellStart"/>
      <w:r w:rsidRPr="00E97507">
        <w:rPr>
          <w:b/>
          <w:lang w:val="fr-FR"/>
        </w:rPr>
        <w:t>viscéro</w:t>
      </w:r>
      <w:proofErr w:type="spellEnd"/>
      <w:r w:rsidRPr="00E97507">
        <w:rPr>
          <w:b/>
          <w:lang w:val="fr-FR"/>
        </w:rPr>
        <w:t xml:space="preserve">-somatique. </w:t>
      </w:r>
      <w:r w:rsidRPr="00E97507">
        <w:rPr>
          <w:lang w:val="fr-FR"/>
        </w:rPr>
        <w:t>Selon les tests, la lecture peut intégrer Th7-Th9, L1-L2, les dernières côtes, la charnière thoraco-lombaire, les piliers du diaphragme, le psoas et la paroi abdominale postérieure.</w:t>
      </w:r>
    </w:p>
    <w:p w14:paraId="65B11823" w14:textId="77777777" w:rsidR="00B34A05" w:rsidRDefault="00B34A05">
      <w:pPr>
        <w:spacing w:after="60"/>
        <w:rPr>
          <w:b/>
          <w:lang w:val="fr-FR"/>
        </w:rPr>
      </w:pPr>
    </w:p>
    <w:p w14:paraId="5E62DA55" w14:textId="152C75D5" w:rsidR="00966354" w:rsidRPr="00E97507" w:rsidRDefault="00000000">
      <w:pPr>
        <w:spacing w:after="60"/>
        <w:rPr>
          <w:lang w:val="fr-FR"/>
        </w:rPr>
      </w:pPr>
      <w:r w:rsidRPr="00B34A05">
        <w:rPr>
          <w:b/>
          <w:lang w:val="fr-FR"/>
        </w:rPr>
        <w:t xml:space="preserve">Balance cerveau limbique-duodénum. </w:t>
      </w:r>
      <w:r w:rsidRPr="00B34A05">
        <w:rPr>
          <w:lang w:val="fr-FR"/>
        </w:rPr>
        <w:t>Dans le vocabulaire propre à la ROP, l’écoute-induction associe un pouce sur la zone du duodénum et l’autre sur la zone du cerveau limbique.</w:t>
      </w:r>
    </w:p>
    <w:p w14:paraId="2FE9C67C" w14:textId="77777777" w:rsidR="00B34A05" w:rsidRDefault="00B34A05">
      <w:pPr>
        <w:rPr>
          <w:i/>
          <w:color w:val="5E666A"/>
          <w:lang w:val="fr-FR"/>
        </w:rPr>
      </w:pPr>
    </w:p>
    <w:p w14:paraId="7F700A23" w14:textId="6552ADFE" w:rsidR="00966354" w:rsidRPr="00E97507" w:rsidRDefault="00000000">
      <w:pPr>
        <w:rPr>
          <w:lang w:val="fr-FR"/>
        </w:rPr>
      </w:pPr>
      <w:r w:rsidRPr="00E97507">
        <w:rPr>
          <w:i/>
          <w:color w:val="5E666A"/>
          <w:lang w:val="fr-FR"/>
        </w:rPr>
        <w:t>Cf. chapitre 3 — Système nerveux central ; cf. chapitre 5 — Mécanisme de stress.</w:t>
      </w:r>
    </w:p>
    <w:p w14:paraId="642A546D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t>13.6. Soutiens associés selon les tests</w:t>
      </w:r>
    </w:p>
    <w:p w14:paraId="46F5B2C3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Estomac : D1 et pylore.</w:t>
      </w:r>
    </w:p>
    <w:p w14:paraId="5AD7C286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Foie, vésicule et voies biliaires : D1-D2 et sphincter d’Oddi.</w:t>
      </w:r>
    </w:p>
    <w:p w14:paraId="224E66CC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Pancréas : surtout D2.</w:t>
      </w:r>
    </w:p>
    <w:p w14:paraId="34CA6AF7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 xml:space="preserve">• Intestin grêle et racine du mésentère : D3-D4 et jonction </w:t>
      </w:r>
      <w:proofErr w:type="spellStart"/>
      <w:r w:rsidRPr="00E97507">
        <w:rPr>
          <w:lang w:val="fr-FR"/>
        </w:rPr>
        <w:t>duodéno-jéjunale</w:t>
      </w:r>
      <w:proofErr w:type="spellEnd"/>
      <w:r w:rsidRPr="00E97507">
        <w:rPr>
          <w:lang w:val="fr-FR"/>
        </w:rPr>
        <w:t>.</w:t>
      </w:r>
    </w:p>
    <w:p w14:paraId="54764AD0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Rein droit : rapport régional de D2.</w:t>
      </w:r>
    </w:p>
    <w:p w14:paraId="5920F988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Diaphragme : lorsque les interfaces thoraco-abdominales sont pertinentes.</w:t>
      </w:r>
    </w:p>
    <w:p w14:paraId="02EA614A" w14:textId="77777777" w:rsidR="00966354" w:rsidRPr="00E97507" w:rsidRDefault="00000000">
      <w:pPr>
        <w:pStyle w:val="Heading2"/>
        <w:rPr>
          <w:lang w:val="fr-FR"/>
        </w:rPr>
      </w:pPr>
      <w:r w:rsidRPr="00E97507">
        <w:rPr>
          <w:lang w:val="fr-FR"/>
        </w:rPr>
        <w:lastRenderedPageBreak/>
        <w:t>13.7. Lecture clinique</w:t>
      </w:r>
    </w:p>
    <w:p w14:paraId="74A309AE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 xml:space="preserve">• Digestion lente ou stase duodénale fonctionnelle : Niveau 2 + segment duodénal concerné au Niveau 3 + pylore ou jonction </w:t>
      </w:r>
      <w:proofErr w:type="spellStart"/>
      <w:r w:rsidRPr="00E97507">
        <w:rPr>
          <w:lang w:val="fr-FR"/>
        </w:rPr>
        <w:t>duodéno-jéjunale</w:t>
      </w:r>
      <w:proofErr w:type="spellEnd"/>
      <w:r w:rsidRPr="00E97507">
        <w:rPr>
          <w:lang w:val="fr-FR"/>
        </w:rPr>
        <w:t xml:space="preserve"> selon les tests.</w:t>
      </w:r>
    </w:p>
    <w:p w14:paraId="2DB74217" w14:textId="77777777" w:rsidR="00966354" w:rsidRPr="00E97507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Contexte bilio-pancréatique fonctionnel : D2 + sphincter d’Oddi + foie/vésicule + pancréas.</w:t>
      </w:r>
    </w:p>
    <w:p w14:paraId="6A6F29B8" w14:textId="77777777" w:rsidR="00966354" w:rsidRDefault="00000000">
      <w:pPr>
        <w:pStyle w:val="ListParagraph"/>
        <w:spacing w:after="32"/>
        <w:ind w:left="255" w:hanging="142"/>
        <w:rPr>
          <w:lang w:val="fr-FR"/>
        </w:rPr>
      </w:pPr>
      <w:r w:rsidRPr="00E97507">
        <w:rPr>
          <w:lang w:val="fr-FR"/>
        </w:rPr>
        <w:t>• Contexte de tension autour de D3-D4 ou de l’angle de Treitz après exclusion médicale : D3-D4 + racine du mésentère + muscle de Treitz + socle régional du chapitre 7.</w:t>
      </w:r>
    </w:p>
    <w:p w14:paraId="277DCC4B" w14:textId="77777777" w:rsidR="00B34A05" w:rsidRPr="00E97507" w:rsidRDefault="00B34A05">
      <w:pPr>
        <w:pStyle w:val="ListParagraph"/>
        <w:spacing w:after="32"/>
        <w:ind w:left="255" w:hanging="142"/>
        <w:rPr>
          <w:lang w:val="fr-FR"/>
        </w:rPr>
      </w:pPr>
    </w:p>
    <w:p w14:paraId="45A06EFB" w14:textId="36705B63" w:rsidR="00966354" w:rsidRPr="00E97507" w:rsidRDefault="00000000">
      <w:pPr>
        <w:shd w:val="clear" w:color="auto" w:fill="F8E9E5"/>
        <w:spacing w:before="80" w:after="100"/>
        <w:ind w:left="142" w:right="142"/>
        <w:rPr>
          <w:lang w:val="fr-FR"/>
        </w:rPr>
      </w:pPr>
      <w:r w:rsidRPr="00E97507">
        <w:rPr>
          <w:b/>
          <w:lang w:val="fr-FR"/>
        </w:rPr>
        <w:t xml:space="preserve">PRINCIPE DE SÉCURITÉ — </w:t>
      </w:r>
      <w:r w:rsidRPr="00E97507">
        <w:rPr>
          <w:lang w:val="fr-FR"/>
        </w:rPr>
        <w:t xml:space="preserve">Douleur épigastrique intense ou persistante, hémorragie digestive, selles noires, vomissements répétés, amaigrissement inexpliqué ou douleur aiguë transfixiante nécessitent une évaluation médicale. </w:t>
      </w:r>
    </w:p>
    <w:sectPr w:rsidR="00966354" w:rsidRPr="00E97507">
      <w:footerReference w:type="even" r:id="rId8"/>
      <w:footerReference w:type="default" r:id="rId9"/>
      <w:footerReference w:type="firs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5E42" w14:textId="77777777" w:rsidR="00DE270A" w:rsidRDefault="00DE270A">
      <w:pPr>
        <w:spacing w:after="0" w:line="240" w:lineRule="auto"/>
      </w:pPr>
      <w:r>
        <w:separator/>
      </w:r>
    </w:p>
  </w:endnote>
  <w:endnote w:type="continuationSeparator" w:id="0">
    <w:p w14:paraId="06FE9BA3" w14:textId="77777777" w:rsidR="00DE270A" w:rsidRDefault="00DE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204D" w14:textId="77777777" w:rsidR="00966354" w:rsidRDefault="009663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758C" w14:textId="77777777" w:rsidR="00966354" w:rsidRDefault="00000000">
    <w:pPr>
      <w:pStyle w:val="Footer"/>
      <w:jc w:val="center"/>
    </w:pPr>
    <w:proofErr w:type="spellStart"/>
    <w:r>
      <w:t>Chapitre</w:t>
    </w:r>
    <w:proofErr w:type="spellEnd"/>
    <w:r>
      <w:t xml:space="preserve"> 10 — </w:t>
    </w:r>
    <w:proofErr w:type="spellStart"/>
    <w:r>
      <w:t>Duodénum</w:t>
    </w:r>
    <w:proofErr w:type="spellEnd"/>
    <w:r>
      <w:t xml:space="preserve"> · Version </w:t>
    </w:r>
    <w:proofErr w:type="spellStart"/>
    <w:r>
      <w:t>lecteur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9844" w14:textId="77777777" w:rsidR="00966354" w:rsidRDefault="00966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DB9F" w14:textId="77777777" w:rsidR="00DE270A" w:rsidRDefault="00DE270A">
      <w:pPr>
        <w:spacing w:after="0" w:line="240" w:lineRule="auto"/>
      </w:pPr>
      <w:r>
        <w:separator/>
      </w:r>
    </w:p>
  </w:footnote>
  <w:footnote w:type="continuationSeparator" w:id="0">
    <w:p w14:paraId="07AC6F4B" w14:textId="77777777" w:rsidR="00DE270A" w:rsidRDefault="00DE2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225168">
    <w:abstractNumId w:val="8"/>
  </w:num>
  <w:num w:numId="2" w16cid:durableId="98261963">
    <w:abstractNumId w:val="6"/>
  </w:num>
  <w:num w:numId="3" w16cid:durableId="150567651">
    <w:abstractNumId w:val="5"/>
  </w:num>
  <w:num w:numId="4" w16cid:durableId="462626443">
    <w:abstractNumId w:val="4"/>
  </w:num>
  <w:num w:numId="5" w16cid:durableId="1089044096">
    <w:abstractNumId w:val="7"/>
  </w:num>
  <w:num w:numId="6" w16cid:durableId="853686707">
    <w:abstractNumId w:val="3"/>
  </w:num>
  <w:num w:numId="7" w16cid:durableId="1422683379">
    <w:abstractNumId w:val="2"/>
  </w:num>
  <w:num w:numId="8" w16cid:durableId="309527670">
    <w:abstractNumId w:val="1"/>
  </w:num>
  <w:num w:numId="9" w16cid:durableId="20176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0D6"/>
    <w:rsid w:val="00326F90"/>
    <w:rsid w:val="00375154"/>
    <w:rsid w:val="003A4E1B"/>
    <w:rsid w:val="00591B2C"/>
    <w:rsid w:val="0066273A"/>
    <w:rsid w:val="0071682C"/>
    <w:rsid w:val="00966354"/>
    <w:rsid w:val="00AA1D8D"/>
    <w:rsid w:val="00B34A05"/>
    <w:rsid w:val="00B47730"/>
    <w:rsid w:val="00CB0664"/>
    <w:rsid w:val="00DA1955"/>
    <w:rsid w:val="00DE270A"/>
    <w:rsid w:val="00E97507"/>
    <w:rsid w:val="00EA6D23"/>
    <w:rsid w:val="00EB6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A8F4D"/>
  <w14:defaultImageDpi w14:val="300"/>
  <w15:docId w15:val="{2E459796-0FFB-4B5F-956A-DB6A6557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F34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34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34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34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10 — Duodénum</dc:title>
  <dc:subject/>
  <dc:creator/>
  <cp:keywords/>
  <dc:description/>
  <cp:lastModifiedBy>Nicolas Boitout</cp:lastModifiedBy>
  <cp:revision>5</cp:revision>
  <dcterms:created xsi:type="dcterms:W3CDTF">2013-12-23T23:15:00Z</dcterms:created>
  <dcterms:modified xsi:type="dcterms:W3CDTF">2026-08-15T09:42:00Z</dcterms:modified>
  <cp:category/>
</cp:coreProperties>
</file>