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07BB" w14:textId="7CCD7077" w:rsidR="00CC578E" w:rsidRPr="00682BC9" w:rsidRDefault="00000000">
      <w:pPr>
        <w:pStyle w:val="Title"/>
        <w:jc w:val="center"/>
        <w:rPr>
          <w:lang w:val="fr-FR"/>
        </w:rPr>
      </w:pPr>
      <w:r w:rsidRPr="00682BC9">
        <w:rPr>
          <w:b/>
          <w:sz w:val="32"/>
          <w:lang w:val="fr-FR"/>
        </w:rPr>
        <w:t>Chapitre 1 — Généralités</w:t>
      </w:r>
    </w:p>
    <w:p w14:paraId="4778122B" w14:textId="77777777" w:rsidR="00CC578E" w:rsidRPr="00682BC9" w:rsidRDefault="00CC578E">
      <w:pPr>
        <w:rPr>
          <w:lang w:val="fr-FR"/>
        </w:rPr>
      </w:pPr>
    </w:p>
    <w:p w14:paraId="7EC4822F" w14:textId="77777777" w:rsidR="00CC578E" w:rsidRPr="00682BC9" w:rsidRDefault="00000000">
      <w:pPr>
        <w:pStyle w:val="Heading1"/>
        <w:rPr>
          <w:lang w:val="fr-FR"/>
        </w:rPr>
      </w:pPr>
      <w:r w:rsidRPr="00682BC9">
        <w:rPr>
          <w:lang w:val="fr-FR"/>
        </w:rPr>
        <w:t>1. Intention du chapitre</w:t>
      </w:r>
    </w:p>
    <w:p w14:paraId="53C3331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Ce premier chapitre pose un cadre biomécanique et neurophysiologique utile au praticien.</w:t>
      </w:r>
    </w:p>
    <w:p w14:paraId="028B05E5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La fonction viscérale dépend de la biochimie et de l’innervation, mais aussi de la capacité des organes à se déformer, à se mobiliser et à glisser les uns par rapport aux autres.</w:t>
      </w:r>
    </w:p>
    <w:p w14:paraId="2A6DD93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 xml:space="preserve">Lorsque cette liberté diminue (traumatisme, infection, chirurgie, stress), les tissus solidaires (fascias, structures neuro-vasculaires, appareil </w:t>
      </w:r>
      <w:proofErr w:type="spellStart"/>
      <w:r w:rsidRPr="00682BC9">
        <w:rPr>
          <w:lang w:val="fr-FR"/>
        </w:rPr>
        <w:t>musculo-squelettique</w:t>
      </w:r>
      <w:proofErr w:type="spellEnd"/>
      <w:r w:rsidRPr="00682BC9">
        <w:rPr>
          <w:lang w:val="fr-FR"/>
        </w:rPr>
        <w:t>) s’adaptent et compensent.</w:t>
      </w:r>
    </w:p>
    <w:p w14:paraId="5331ECB7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Dans certains cas, ces compensations peuvent contribuer à des symptômes à distance, selon une logique de chaînes mécaniques et neurovégétatives utilisée en clinique.</w:t>
      </w:r>
    </w:p>
    <w:p w14:paraId="3D531700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Important : certaines notions qui suivent relèvent (a) de la physiologie établie, et (b) du modèle clinique utilisé en ROP.</w:t>
      </w:r>
    </w:p>
    <w:p w14:paraId="7DD01314" w14:textId="77777777" w:rsidR="00CC578E" w:rsidRPr="00682BC9" w:rsidRDefault="00000000">
      <w:pPr>
        <w:pStyle w:val="Heading1"/>
        <w:rPr>
          <w:lang w:val="fr-FR"/>
        </w:rPr>
      </w:pPr>
      <w:r w:rsidRPr="00682BC9">
        <w:rPr>
          <w:lang w:val="fr-FR"/>
        </w:rPr>
        <w:t>2. Mobilité viscérale : définitions et moteurs</w:t>
      </w:r>
    </w:p>
    <w:p w14:paraId="3278CF2B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On distinguera ici :</w:t>
      </w:r>
    </w:p>
    <w:p w14:paraId="5FB0637C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Mobilité : déplacement “subi” ou “induit” par les mouvements du corps et des cavités (respiration, marche, efforts, posture).</w:t>
      </w:r>
    </w:p>
    <w:p w14:paraId="0CE5751A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Motilité : activité motrice intrinsèque de l’organe (au sens large), modulée par le système nerveux autonome et l’état tissulaire.</w:t>
      </w:r>
    </w:p>
    <w:p w14:paraId="59CA0CE2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La mobilité viscérale est rendue possible par quatre grands déterminants (moteurs et modulateurs).</w:t>
      </w:r>
    </w:p>
    <w:p w14:paraId="375D1AE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le système nerveux somatique (mouvements actifs du corps) ;</w:t>
      </w:r>
    </w:p>
    <w:p w14:paraId="09DE2A33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le système nerveux autonome (mouvements automatiques viscéraux) ;</w:t>
      </w:r>
    </w:p>
    <w:p w14:paraId="2B0599EE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la motilité (activité intrinsèque tissulaire) ;</w:t>
      </w:r>
    </w:p>
    <w:p w14:paraId="10EF0A2B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les biorythmes (variations cycliques de tonus, sécrétions, vascularisation).</w:t>
      </w:r>
    </w:p>
    <w:p w14:paraId="3D65CAC5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2.1 Système nerveux somatique : la mobilité “passive” par le mouvement</w:t>
      </w:r>
    </w:p>
    <w:p w14:paraId="0520B56C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Les mouvements actifs commandés par le système somatique — marcher, courir, danser, mobiliser le tronc — imposent aux viscères des déplacements et des déformations.</w:t>
      </w:r>
    </w:p>
    <w:p w14:paraId="52DC9925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Inversement, après une chirurgie abdominale, la douleur, les adhérences et les fixations peuvent limiter les amplitudes et modifier la cinématique globale.</w:t>
      </w:r>
    </w:p>
    <w:p w14:paraId="73EC0105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lastRenderedPageBreak/>
        <w:t>Le diaphragme est un moteur majeur du glissement viscéral via l’alternance inspiration/expiration.</w:t>
      </w:r>
    </w:p>
    <w:p w14:paraId="3FF02230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Cette alternance mobilise de façon répétée les viscères thoraciques et abdominaux (≈ 21 000 cycles respiratoires/24 h, ordre de grandeur).</w:t>
      </w:r>
    </w:p>
    <w:p w14:paraId="477D914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L’activité physique régulière entretient ces mobilisations.</w:t>
      </w:r>
    </w:p>
    <w:p w14:paraId="373A52D7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Elle stimule la ventilation, la circulation et le transit, et limite certains effets de l’inactivité (ralentissement cardio-pulmonaire, stase digestive, etc.).</w:t>
      </w:r>
    </w:p>
    <w:p w14:paraId="5388CEFB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2.2 Système nerveux autonome : la mobilité “automatique”</w:t>
      </w:r>
    </w:p>
    <w:p w14:paraId="42795AF6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Sous la commande de centres supérieurs (diencéphale, tronc cérébral) et via les voies sympathique et parasympathique, le SNA régule des fonctions automatiques : respiration, rythme cardiaque, péristaltisme, tonus vasculaire, sécrétions.</w:t>
      </w:r>
    </w:p>
    <w:p w14:paraId="4992643F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— Mouvement respiratoire : le diaphragme module la mobilité viscérale et les gradients de pression entre cavités.</w:t>
      </w:r>
    </w:p>
    <w:p w14:paraId="37F6153B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— Mouvement cardiaque : à raison d’environ 100 000 battements/24 h (ordre de grandeur), les mouvements cardiaques induisent des contraintes mécaniques locales dans le thorax.</w:t>
      </w:r>
    </w:p>
    <w:p w14:paraId="76994827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Ces contraintes peuvent se répercuter sur les structures adjacentes (poumons, médiastin, œsophage) et, indirectement, sur la zone diaphragmatique.</w:t>
      </w:r>
    </w:p>
    <w:p w14:paraId="3F0BFCAC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— Péristaltisme : le transit dépend de réseaux neuro-entériques et du SNA.</w:t>
      </w:r>
    </w:p>
    <w:p w14:paraId="49E91B8A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Il peut être modulé par l’état émotionnel, la douleur, l’inflammation, l’alimentation et les rythmes circadiens.</w:t>
      </w:r>
    </w:p>
    <w:p w14:paraId="0ED25ACC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2.3 Motilité : mouvement intrinsèque et lecture clinique</w:t>
      </w:r>
    </w:p>
    <w:p w14:paraId="36F1F98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 xml:space="preserve">La motilité désigne ici l’activité propre de l’organe : </w:t>
      </w:r>
      <w:proofErr w:type="spellStart"/>
      <w:r w:rsidRPr="00682BC9">
        <w:rPr>
          <w:lang w:val="fr-FR"/>
        </w:rPr>
        <w:t>micro-mouvements</w:t>
      </w:r>
      <w:proofErr w:type="spellEnd"/>
      <w:r w:rsidRPr="00682BC9">
        <w:rPr>
          <w:lang w:val="fr-FR"/>
        </w:rPr>
        <w:t>, variations de tension, de volume et de vascularisation (au sens large).</w:t>
      </w:r>
    </w:p>
    <w:p w14:paraId="7BFEC3CC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Sur le plan clinique, le praticien recherche moins une “mesure” instrumentale qu’une cohérence de comportement tissulaire : qualité d’élasticité, direction de préférence, retour, symétrie, capacité d’adaptation.</w:t>
      </w:r>
    </w:p>
    <w:p w14:paraId="77AA70CD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Dans l’approche ROP (Réflexo-Occipito-Podale), cette “motilité” est appréciée via des tests manuels codifiés et des réponses réflexes utilisées dans la méthode.</w:t>
      </w:r>
    </w:p>
    <w:p w14:paraId="60B666E0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 but est d’identifier des restrictions de mobilité/motilité associées à des chaînes fasciales et neuro-végétatives, puis de chercher une normalisation clinique.</w:t>
      </w:r>
    </w:p>
    <w:p w14:paraId="509589B3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2.4 Biorythmes : variations cycliques utiles au diagnostic</w:t>
      </w:r>
    </w:p>
    <w:p w14:paraId="13D06834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De nombreux paramètres viscéraux varient selon des rythmes (circadien, ultradien, cycles digestifs, cycles hormonaux).</w:t>
      </w:r>
    </w:p>
    <w:p w14:paraId="3D3A540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Pour le praticien, cela impose :</w:t>
      </w:r>
    </w:p>
    <w:p w14:paraId="01B57E4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lastRenderedPageBreak/>
        <w:t>• de replacer le symptôme dans son contexte temporel (moment de la journée, après repas, après effort, cycle menstruel, etc.) ;</w:t>
      </w:r>
    </w:p>
    <w:p w14:paraId="2ABA7AC8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de distinguer un trouble plutôt “réactif” (fatigue, stress, surcharge) d’un trouble plus installé (inflammation, fixations, ptoses), comme repère clinique.</w:t>
      </w:r>
    </w:p>
    <w:p w14:paraId="4F051057" w14:textId="77777777" w:rsidR="00CC578E" w:rsidRPr="00682BC9" w:rsidRDefault="00000000">
      <w:pPr>
        <w:pStyle w:val="Heading1"/>
        <w:rPr>
          <w:lang w:val="fr-FR"/>
        </w:rPr>
      </w:pPr>
      <w:r w:rsidRPr="00682BC9">
        <w:rPr>
          <w:lang w:val="fr-FR"/>
        </w:rPr>
        <w:t>3. Parenthèse : théorie crânienne et MRP</w:t>
      </w:r>
    </w:p>
    <w:p w14:paraId="1050C79A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Certaines écoles décrivent une dynamique de circulation du liquide cérébro-spinal associée à un mécanisme respiratoire primaire (MRP).</w:t>
      </w:r>
    </w:p>
    <w:p w14:paraId="06062B4D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Dans un livre pour praticiens, il est utile de préciser que :</w:t>
      </w:r>
    </w:p>
    <w:p w14:paraId="35B7DFF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l’existence et la description fine de ce mécanisme sont discutées selon les référentiels ;</w:t>
      </w:r>
    </w:p>
    <w:p w14:paraId="6A18135E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cliniquement, l’enjeu pratique est la relation entre respiration, pressions, retour veineux/lymphatique, et adaptabilité tissulaire.</w:t>
      </w:r>
    </w:p>
    <w:p w14:paraId="38CA1B61" w14:textId="77777777" w:rsidR="00CC578E" w:rsidRPr="00682BC9" w:rsidRDefault="00000000">
      <w:pPr>
        <w:pStyle w:val="Heading1"/>
        <w:rPr>
          <w:lang w:val="fr-FR"/>
        </w:rPr>
      </w:pPr>
      <w:r w:rsidRPr="00682BC9">
        <w:rPr>
          <w:lang w:val="fr-FR"/>
        </w:rPr>
        <w:t>4. “Articulations” viscérales : surfaces, glissement, moyens d’union, innervation</w:t>
      </w:r>
    </w:p>
    <w:p w14:paraId="3C8917EE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On peut modéliser les viscères comme des structures suspendues, en interaction mécanique permanente avec leur environnement.</w:t>
      </w:r>
    </w:p>
    <w:p w14:paraId="7267C812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Quatre éléments sont indispensables au glissement et à l’adaptation :</w:t>
      </w:r>
    </w:p>
    <w:p w14:paraId="127346BD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1. Surfaces de contact et séreuses.</w:t>
      </w:r>
    </w:p>
    <w:p w14:paraId="6B6D7F3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2. Interstitium et continuités fasciales.</w:t>
      </w:r>
    </w:p>
    <w:p w14:paraId="62B6A13F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3. Moyens d’union (ligaments, mésos, omentums).</w:t>
      </w:r>
    </w:p>
    <w:p w14:paraId="1354CB53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4. Innervation (sensibilité viscérale, pariétale, autonomique).</w:t>
      </w:r>
    </w:p>
    <w:p w14:paraId="3708F609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4.1 Séreuses : glissement et pressions</w:t>
      </w:r>
    </w:p>
    <w:p w14:paraId="6DD38AAA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Les séreuses (plèvre, péricarde, péritoine) permettent un glissement à faible friction et participent aux jeux de pression entre cavités.</w:t>
      </w:r>
    </w:p>
    <w:p w14:paraId="677B7BF7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Elles contribuent aussi à certaines douleurs projetées lorsque le feuillet pariétal est sollicité (sensibilité plus fine).</w:t>
      </w:r>
    </w:p>
    <w:p w14:paraId="131DFFB6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4.2 Interstitium : continuité tissulaire et capacité de déformation</w:t>
      </w:r>
    </w:p>
    <w:p w14:paraId="00E7B0D4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 terme interstitium renvoie ici, au sens clinique, à l’idée d’un continuum micro-fibrillaire entre les tissus (peau, fascia, muscle, viscères, os).</w:t>
      </w:r>
    </w:p>
    <w:p w14:paraId="537761F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La notion pratique : déformation et glissement sont possibles parce que les fibres (notamment collagéniques) s’organisent en réseau tridimensionnel, permettant des changements de direction et des adaptations aux contraintes.</w:t>
      </w:r>
    </w:p>
    <w:p w14:paraId="78CEACC7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lastRenderedPageBreak/>
        <w:t>4.3 Moyens d’union : ligaments, mésos, omentums</w:t>
      </w:r>
    </w:p>
    <w:p w14:paraId="2BC740A3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Les moyens d’union viscéraux ne sont pas comparables, en solidité, aux ligaments ostéo-articulaires.</w:t>
      </w:r>
    </w:p>
    <w:p w14:paraId="160767E3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Ils contribuent néanmoins à la suspension, à la répartition des contraintes de pesanteur, et à l’organisation des trajets vasculo-nerveux.</w:t>
      </w:r>
    </w:p>
    <w:p w14:paraId="35292B8F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Ligaments (ex. ligament coronaire / suspenseur du foie).</w:t>
      </w:r>
    </w:p>
    <w:p w14:paraId="425D7A86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Mésos : replis séreux du tube digestif, rôle de passage vasculo-nerveux/lymphatique.</w:t>
      </w:r>
    </w:p>
    <w:p w14:paraId="7CD98BE2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Omentums : replis péritonéaux entre deux éléments digestifs, rôle vasculo-nerveux et immunitaire.</w:t>
      </w:r>
    </w:p>
    <w:p w14:paraId="46C2939E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 xml:space="preserve">• Petit omentum : ligament </w:t>
      </w:r>
      <w:proofErr w:type="spellStart"/>
      <w:r w:rsidRPr="00682BC9">
        <w:rPr>
          <w:lang w:val="fr-FR"/>
        </w:rPr>
        <w:t>hépatogastrique</w:t>
      </w:r>
      <w:proofErr w:type="spellEnd"/>
      <w:r w:rsidRPr="00682BC9">
        <w:rPr>
          <w:lang w:val="fr-FR"/>
        </w:rPr>
        <w:t xml:space="preserve"> + hépato-duodénal, contenant notamment les éléments hépato-biliaires.</w:t>
      </w:r>
    </w:p>
    <w:p w14:paraId="472FBAA2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 xml:space="preserve">• Foramen </w:t>
      </w:r>
      <w:proofErr w:type="gramStart"/>
      <w:r w:rsidRPr="00682BC9">
        <w:rPr>
          <w:lang w:val="fr-FR"/>
        </w:rPr>
        <w:t>omental  :</w:t>
      </w:r>
      <w:proofErr w:type="gramEnd"/>
      <w:r w:rsidRPr="00682BC9">
        <w:rPr>
          <w:lang w:val="fr-FR"/>
        </w:rPr>
        <w:t xml:space="preserve"> communication anatomique entre espaces péritonéaux.</w:t>
      </w:r>
    </w:p>
    <w:p w14:paraId="5F7735C2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4.4 Innervation : douleur viscérale, douleur pariétale, douleur projetée</w:t>
      </w:r>
    </w:p>
    <w:p w14:paraId="7B563D92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La douleur viscérale est souvent mal localisée, profonde, parfois associée à des nausées ou une réaction végétative.</w:t>
      </w:r>
    </w:p>
    <w:p w14:paraId="3685120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La douleur pariétale (péritoine pariétal, plèvre pariétale) est en général plus précise et plus “coupante”.</w:t>
      </w:r>
    </w:p>
    <w:p w14:paraId="2A11B0D2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 xml:space="preserve">La douleur projetée s’explique par des convergences médullaires entre afférences viscérales et somatiques : un même segment spinal peut recevoir des informations du dermatome, myotome, </w:t>
      </w:r>
      <w:proofErr w:type="spellStart"/>
      <w:r w:rsidRPr="00682BC9">
        <w:rPr>
          <w:lang w:val="fr-FR"/>
        </w:rPr>
        <w:t>viscérotome</w:t>
      </w:r>
      <w:proofErr w:type="spellEnd"/>
      <w:r w:rsidRPr="00682BC9">
        <w:rPr>
          <w:lang w:val="fr-FR"/>
        </w:rPr>
        <w:t xml:space="preserve">, </w:t>
      </w:r>
      <w:proofErr w:type="spellStart"/>
      <w:r w:rsidRPr="00682BC9">
        <w:rPr>
          <w:lang w:val="fr-FR"/>
        </w:rPr>
        <w:t>angiotope</w:t>
      </w:r>
      <w:proofErr w:type="spellEnd"/>
      <w:r w:rsidRPr="00682BC9">
        <w:rPr>
          <w:lang w:val="fr-FR"/>
        </w:rPr>
        <w:t>, sclérotome.</w:t>
      </w:r>
    </w:p>
    <w:p w14:paraId="03B9420F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 Dr Jarricot a décrit ces territoires et leurs correspondances cliniques.</w:t>
      </w:r>
    </w:p>
    <w:p w14:paraId="15746BE5" w14:textId="77777777" w:rsidR="00CC578E" w:rsidRPr="00682BC9" w:rsidRDefault="00000000">
      <w:pPr>
        <w:pStyle w:val="Heading1"/>
        <w:rPr>
          <w:lang w:val="fr-FR"/>
        </w:rPr>
      </w:pPr>
      <w:r w:rsidRPr="00682BC9">
        <w:rPr>
          <w:lang w:val="fr-FR"/>
        </w:rPr>
        <w:t>Encadré sécurité : ne pas passer à côté d’une pathologie organique</w:t>
      </w:r>
    </w:p>
    <w:p w14:paraId="2E5BFE0B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Un trouble fonctionnel et une dysfonction de mobilité peuvent coexister avec une pathologie organique.</w:t>
      </w:r>
    </w:p>
    <w:p w14:paraId="1A2DBB46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 praticien doit être attentif aux signes d’alerte et orienter vers un avis médical si nécessaire.</w:t>
      </w:r>
    </w:p>
    <w:p w14:paraId="677626A6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douleur inhabituelle, progressive, non mécanique, notamment nocturne ;</w:t>
      </w:r>
    </w:p>
    <w:p w14:paraId="3AB58D50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fièvre, amaigrissement, fatigue inexpliquée ;</w:t>
      </w:r>
    </w:p>
    <w:p w14:paraId="61FB1C30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vomissements persistants, rectorragies/méléna, hématurie ;</w:t>
      </w:r>
    </w:p>
    <w:p w14:paraId="79754D6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douleur thoracique, dyspnée, malaise ;</w:t>
      </w:r>
    </w:p>
    <w:p w14:paraId="24266A5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déficit neurologique, troubles sphinctériens.</w:t>
      </w:r>
    </w:p>
    <w:p w14:paraId="70C96470" w14:textId="77777777" w:rsidR="00CC578E" w:rsidRPr="00682BC9" w:rsidRDefault="00000000">
      <w:pPr>
        <w:pStyle w:val="Heading1"/>
        <w:rPr>
          <w:lang w:val="fr-FR"/>
        </w:rPr>
      </w:pPr>
      <w:r w:rsidRPr="00682BC9">
        <w:rPr>
          <w:lang w:val="fr-FR"/>
        </w:rPr>
        <w:lastRenderedPageBreak/>
        <w:t>5. Quand la mobilité se perd : adhérences, ptoses, spasmes</w:t>
      </w:r>
    </w:p>
    <w:p w14:paraId="791F13AC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Les pertes de glissement et de compliance se traduisent classiquement par trois familles de phénomènes (souvent intriqués).</w:t>
      </w:r>
    </w:p>
    <w:p w14:paraId="38429868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5.1 Adhérences et fixations</w:t>
      </w:r>
    </w:p>
    <w:p w14:paraId="6DDDAF6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 xml:space="preserve">Après chirurgie, infection, inflammation, </w:t>
      </w:r>
      <w:proofErr w:type="spellStart"/>
      <w:r w:rsidRPr="00682BC9">
        <w:rPr>
          <w:lang w:val="fr-FR"/>
        </w:rPr>
        <w:t>micro-traumatismes</w:t>
      </w:r>
      <w:proofErr w:type="spellEnd"/>
      <w:r w:rsidRPr="00682BC9">
        <w:rPr>
          <w:lang w:val="fr-FR"/>
        </w:rPr>
        <w:t xml:space="preserve"> répétés, des adhérences peuvent limiter le glissement.</w:t>
      </w:r>
    </w:p>
    <w:p w14:paraId="6C9F42FB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Elles modifient la mécanique locale et peuvent influencer certains paramètres de vascularisation selon les cas.</w:t>
      </w:r>
    </w:p>
    <w:p w14:paraId="34D9907E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Elles peuvent aussi entretenir un cercle douleur-stress-hypertonie.</w:t>
      </w:r>
    </w:p>
    <w:p w14:paraId="19890E9D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5.2 Ptoses et contraintes de la pesanteur</w:t>
      </w:r>
    </w:p>
    <w:p w14:paraId="3A02528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La pesanteur impose des contraintes sur les suspensions viscérales.</w:t>
      </w:r>
    </w:p>
    <w:p w14:paraId="06251FC6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Les cavités et les moyens d’union répartissent normalement ces charges.</w:t>
      </w:r>
    </w:p>
    <w:p w14:paraId="5940A5C7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Lorsque le système de soutien se déconditionne (hypotonie, cicatrices, pertes de tonicité abdominale/périnéale), un abaissement viscéral peut être observé, parfois objectivable selon le contexte clinique.</w:t>
      </w:r>
    </w:p>
    <w:p w14:paraId="3773759C" w14:textId="77777777" w:rsidR="00CC578E" w:rsidRPr="00682BC9" w:rsidRDefault="00000000">
      <w:pPr>
        <w:pStyle w:val="Heading2"/>
        <w:rPr>
          <w:lang w:val="fr-FR"/>
        </w:rPr>
      </w:pPr>
      <w:r w:rsidRPr="00682BC9">
        <w:rPr>
          <w:lang w:val="fr-FR"/>
        </w:rPr>
        <w:t>5.3 Spasmes et hypertonies réflexes</w:t>
      </w:r>
    </w:p>
    <w:p w14:paraId="6373C0C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Une contrainte viscérale peut s’accompagner de réponses réflexes (somatiques et autonomes) : hypertonies, restrictions de mobilité segmentaire, perturbations du retour veineux/lymphatique, variations du schéma respiratoire.</w:t>
      </w:r>
    </w:p>
    <w:p w14:paraId="6AB69935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Cliniquement, l’enjeu est de reconnaître les chaînes de compensation et de retrouver une meilleure adaptabilité tissulaire.</w:t>
      </w:r>
    </w:p>
    <w:p w14:paraId="7A207213" w14:textId="77777777" w:rsidR="00CC578E" w:rsidRPr="00682BC9" w:rsidRDefault="00000000">
      <w:pPr>
        <w:pStyle w:val="Heading1"/>
        <w:rPr>
          <w:lang w:val="fr-FR"/>
        </w:rPr>
      </w:pPr>
      <w:r w:rsidRPr="00682BC9">
        <w:rPr>
          <w:lang w:val="fr-FR"/>
        </w:rPr>
        <w:t>6. Application clinique en ROP (Réflexo-Occipito-Podale)</w:t>
      </w:r>
    </w:p>
    <w:p w14:paraId="49C52B5A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La ROP (Réflexo-Occipito-Podale) utilise, dans son cadre méthodologique, des circuits réflexes à partir de zones occipitales et podales pour guider l’évaluation et le traitement.</w:t>
      </w:r>
    </w:p>
    <w:p w14:paraId="2C1CFDA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 praticien recherche :</w:t>
      </w:r>
    </w:p>
    <w:p w14:paraId="6F3ACC79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une restriction principale (mobilité/motilité) ;</w:t>
      </w:r>
    </w:p>
    <w:p w14:paraId="3DC326A2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les relais segmentaires et neuro-végétatifs associés ;</w:t>
      </w:r>
    </w:p>
    <w:p w14:paraId="02ADE54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les compensations à distance (rachis, membres, diaphragme, bassin).</w:t>
      </w:r>
    </w:p>
    <w:p w14:paraId="64409E44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La démarche thérapeutique vise un “retour à l’équilibre” : induire, écouter, corriger, puis vérifier l’intégration globale.</w:t>
      </w:r>
    </w:p>
    <w:p w14:paraId="5245DC01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Le même principe peut être décliné pour d’autres viscères, selon les tests ROP et le contexte clinique.</w:t>
      </w:r>
    </w:p>
    <w:p w14:paraId="5D15F917" w14:textId="77777777" w:rsidR="00CC578E" w:rsidRPr="00682BC9" w:rsidRDefault="00000000">
      <w:pPr>
        <w:pStyle w:val="Heading1"/>
        <w:rPr>
          <w:lang w:val="fr-FR"/>
        </w:rPr>
      </w:pPr>
      <w:r w:rsidRPr="00682BC9">
        <w:rPr>
          <w:lang w:val="fr-FR"/>
        </w:rPr>
        <w:lastRenderedPageBreak/>
        <w:t>7. Synthèse opérationnelle (pour le praticien)</w:t>
      </w:r>
    </w:p>
    <w:p w14:paraId="2F01C252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Penser “glissement + pressions + innervation” avant de penser “organe isolé”.</w:t>
      </w:r>
    </w:p>
    <w:p w14:paraId="71888AE5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Relier un symptôme ostéo-articulaire à une hypothèse viscérale possible (douleur projetée, chaînes fasciales).</w:t>
      </w:r>
    </w:p>
    <w:p w14:paraId="1E455B7E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Identifier l’événement déclencheur (chirurgie, infection, stress) et la stratégie d’adaptation (Selye), comme grille de lecture.</w:t>
      </w:r>
    </w:p>
    <w:p w14:paraId="65D3C49E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 xml:space="preserve">• Traiter avec une logique de vérification : correction locale → intégration globale → </w:t>
      </w:r>
      <w:proofErr w:type="spellStart"/>
      <w:r w:rsidRPr="00682BC9">
        <w:rPr>
          <w:lang w:val="fr-FR"/>
        </w:rPr>
        <w:t>re-test</w:t>
      </w:r>
      <w:proofErr w:type="spellEnd"/>
      <w:r w:rsidRPr="00682BC9">
        <w:rPr>
          <w:lang w:val="fr-FR"/>
        </w:rPr>
        <w:t>.</w:t>
      </w:r>
    </w:p>
    <w:p w14:paraId="082AC50F" w14:textId="77777777" w:rsidR="00CC578E" w:rsidRPr="00682BC9" w:rsidRDefault="00000000">
      <w:pPr>
        <w:spacing w:after="120"/>
        <w:rPr>
          <w:lang w:val="fr-FR"/>
        </w:rPr>
      </w:pPr>
      <w:r w:rsidRPr="00682BC9">
        <w:rPr>
          <w:lang w:val="fr-FR"/>
        </w:rPr>
        <w:t>• Garder une vigilance clinique : toute suspicion de pathologie organique impose une orientation médicale.</w:t>
      </w:r>
    </w:p>
    <w:sectPr w:rsidR="00CC578E" w:rsidRPr="00682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278334">
    <w:abstractNumId w:val="8"/>
  </w:num>
  <w:num w:numId="2" w16cid:durableId="754126847">
    <w:abstractNumId w:val="6"/>
  </w:num>
  <w:num w:numId="3" w16cid:durableId="1110003817">
    <w:abstractNumId w:val="5"/>
  </w:num>
  <w:num w:numId="4" w16cid:durableId="91509804">
    <w:abstractNumId w:val="4"/>
  </w:num>
  <w:num w:numId="5" w16cid:durableId="370351144">
    <w:abstractNumId w:val="7"/>
  </w:num>
  <w:num w:numId="6" w16cid:durableId="1537497911">
    <w:abstractNumId w:val="3"/>
  </w:num>
  <w:num w:numId="7" w16cid:durableId="188028215">
    <w:abstractNumId w:val="2"/>
  </w:num>
  <w:num w:numId="8" w16cid:durableId="199169872">
    <w:abstractNumId w:val="1"/>
  </w:num>
  <w:num w:numId="9" w16cid:durableId="75847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3D1"/>
    <w:rsid w:val="0029639D"/>
    <w:rsid w:val="00326F90"/>
    <w:rsid w:val="004F2B2A"/>
    <w:rsid w:val="00682BC9"/>
    <w:rsid w:val="00703332"/>
    <w:rsid w:val="00AA1D8D"/>
    <w:rsid w:val="00B47730"/>
    <w:rsid w:val="00CB0664"/>
    <w:rsid w:val="00CC578E"/>
    <w:rsid w:val="00CE6C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AEBD7"/>
  <w14:defaultImageDpi w14:val="300"/>
  <w15:docId w15:val="{0DF216FA-8094-4D61-ABB6-2DD36DB3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6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1 — Généralités</dc:title>
  <dc:subject>Version finale lecteur</dc:subject>
  <dc:creator>python-docx</dc:creator>
  <cp:keywords/>
  <dc:description/>
  <cp:lastModifiedBy>Nicolas Boitout</cp:lastModifiedBy>
  <cp:revision>3</cp:revision>
  <dcterms:created xsi:type="dcterms:W3CDTF">2026-02-16T05:55:00Z</dcterms:created>
  <dcterms:modified xsi:type="dcterms:W3CDTF">2026-06-24T05:17:00Z</dcterms:modified>
  <cp:category/>
  <cp:contentStatus>Final</cp:contentStatus>
  <cp:version/>
</cp:coreProperties>
</file>