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Chapitre 0 — Introduction</w:t>
      </w:r>
    </w:p>
    <w:p>
      <w:r>
        <w:rPr>
          <w:b/>
          <w:color w:val="4D5A60"/>
          <w:sz w:val="25"/>
        </w:rPr>
        <w:t>Le fil conducteur clinique et neuro-anatomique du troisième volume de Réflexothérapie occipito-podale</w:t>
      </w:r>
    </w:p>
    <w:p>
      <w:r>
        <w:t>Ce troisième volume de Réflexothérapie occipito-podale (ROP) prolonge les deux précédents. Après l’étude du système ostéo-musculo-articulaire, puis celle du système neuro-méningé, nous abordons ici le viscéral abdomino-pelvien, le système nerveux autonome et les mécanismes d’adaptation au stress.</w:t>
      </w:r>
    </w:p>
    <w:p>
      <w:r>
        <w:t>L’objectif reste clinique : mieux comprendre ce que l’on palpe, pourquoi on choisit une zone plutôt qu’une autre, comment on hiérarchise un traitement et comment on évalue ce qui change chez le patient. Le livre associe donc anatomie, physiologie, cartes pratiques, repères palpatoires et nombreux cas cliniques.</w:t>
      </w:r>
    </w:p>
    <w:p>
      <w:r>
        <w:t>Il poursuit cependant un objectif supplémentaire, devenu central : poser des fondations scientifiques suffisamment solides pour que la ROP viscérale puisse être discutée, enseignée, comparée et progressivement objectivée. Il ne s’agit pas de transformer une méthode clinique en théorie fermée, mais de formuler des hypothèses anatomiques et neurophysiologiques qui puissent être confrontées à l’expérience, à la littérature et, lorsque cela est possible, à la mesure.</w:t>
      </w:r>
    </w:p>
    <w:p>
      <w:pPr>
        <w:shd w:fill="F3EEE4"/>
        <w:spacing w:before="120" w:after="140"/>
        <w:ind w:left="142" w:right="142"/>
      </w:pPr>
      <w:r>
        <w:t>Le fil conducteur de ce volume est donc double : une séquence clinique en quatre niveaux (régulation centrale, régulation neuro-végétative, régulation viscérale loco-régionale, puis intégration viscéro-somatique et viscéro-émotionnelle) ; et une lecture neuro-anatomique des voies par lesquelles une stimulation podale peut entrer dans le système nerveux, rencontrer des circuits viscéraux et éventuellement modifier une fonction.</w:t>
      </w:r>
    </w:p>
    <w:p>
      <w:pPr>
        <w:pStyle w:val="Heading1"/>
      </w:pPr>
      <w:r>
        <w:t>1. Ce que ce livre cherche à apporter</w:t>
      </w:r>
    </w:p>
    <w:p>
      <w:r>
        <w:t>Ce volume n’est pas conçu comme un simple atlas d’organes. Il propose une méthode de raisonnement applicable au patient réel, avec ses symptômes, son histoire, ses antécédents, ses contraintes mécaniques, son état autonome et son contexte émotionnel.</w:t>
      </w:r>
    </w:p>
    <w:p>
      <w:pPr>
        <w:pStyle w:val="ListBullet"/>
        <w:spacing w:after="50"/>
      </w:pPr>
      <w:r>
        <w:t>Une lecture simple des relations viscéro-somatiques et somato-viscérales, fondée sur les mécanismes de convergence nerveuse plutôt que sur une correspondance automatique entre une vertèbre, un point cutané et un organe.</w:t>
      </w:r>
    </w:p>
    <w:p>
      <w:pPr>
        <w:pStyle w:val="ListBullet"/>
        <w:spacing w:after="50"/>
      </w:pPr>
      <w:r>
        <w:t>Des cartes cliniques podales et occipitales utilisables en pratique, avec des repères anatomiques suffisamment précis pour être retrouvés et comparés.</w:t>
      </w:r>
    </w:p>
    <w:p>
      <w:pPr>
        <w:pStyle w:val="ListBullet"/>
        <w:spacing w:after="50"/>
      </w:pPr>
      <w:r>
        <w:t>Une méthode de palpation et de hiérarchisation : quel territoire examiner, quelle profondeur solliciter, quel niveau de régulation prioriser et comment adapter le traitement à la réponse du patient.</w:t>
      </w:r>
    </w:p>
    <w:p>
      <w:pPr>
        <w:pStyle w:val="ListBullet"/>
        <w:spacing w:after="50"/>
      </w:pPr>
      <w:r>
        <w:t>Une compréhension progressive de la régulation centrale, de la régulation neuro-végétative, de l’environnement viscéral loco-régional et des relations viscéro-somatiques et viscéro-émotionnelles.</w:t>
      </w:r>
    </w:p>
    <w:p>
      <w:pPr>
        <w:pStyle w:val="ListBullet"/>
        <w:spacing w:after="50"/>
      </w:pPr>
      <w:r>
        <w:t>De nombreux cas cliniques destinés à montrer comment cette grille de lecture se traduit au cabinet, avec ses résultats, ses limites et les ajustements nécessaires.</w:t>
      </w:r>
    </w:p>
    <w:p>
      <w:pPr>
        <w:pStyle w:val="ListBullet"/>
        <w:spacing w:after="50"/>
      </w:pPr>
      <w:r>
        <w:t>Des repères pour observer, mesurer et réévaluer les effets d’une séance plutôt que de se fier uniquement à l’impression immédiate.</w:t>
      </w:r>
    </w:p>
    <w:p>
      <w:r>
        <w:t>La finalité reste simple : rendre la méthode plus compréhensible, plus transmissible et plus utile. Si une approche thérapeutique apporte une aide réelle, elle doit pouvoir être décrite clairement, enseignée avec prudence et évaluée de façon honnête.</w:t>
      </w:r>
    </w:p>
    <w:p>
      <w:pPr>
        <w:pStyle w:val="Heading1"/>
      </w:pPr>
      <w:r>
        <w:t>2. La cartographie ROP : un outil clinique, pas une miniature anatomique</w:t>
      </w:r>
    </w:p>
    <w:p>
      <w:r>
        <w:t>La ROP utilise une cartographie tridimensionnelle du corps dans le pied, historiquement pensée sous la forme d’un corps en position fœtale. Cette représentation reste un outil pratique de localisation. Elle ne signifie pas qu’un organe soit matériellement projeté dans un point du pied, ni qu’une pression sur ce point rejoigne directement cet organe.</w:t>
      </w:r>
    </w:p>
    <w:p>
      <w:r>
        <w:t>Cette distinction est essentielle. La cartographie clinique et l’anatomie réelle ne sont pas la même chose. Le rôle de ce livre est précisément de les mettre en regard : conserver une carte suffisamment simple pour guider la pratique, tout en recherchant, lorsqu’ils existent, les nerfs, les racines, les réseaux médullaires et les voies supraspinales qui peuvent rendre certaines hypothèses plus plausibles que d’autres.</w:t>
      </w:r>
    </w:p>
    <w:p>
      <w:pPr>
        <w:shd w:fill="F3EEE4"/>
        <w:spacing w:before="120" w:after="140"/>
        <w:ind w:left="142" w:right="142"/>
      </w:pPr>
      <w:r>
        <w:t>Le pied ne doit donc pas être considéré comme une miniature anatomique du corps. Il peut en revanche être envisagé comme une interface sensorielle riche, capable de fournir plusieurs portes d’entrée vers le système nerveux.</w:t>
      </w:r>
    </w:p>
    <w:p>
      <w:pPr>
        <w:pStyle w:val="Heading1"/>
      </w:pPr>
      <w:r>
        <w:t>3. Le pied comme interface sensorielle</w:t>
      </w:r>
    </w:p>
    <w:p>
      <w:r>
        <w:t>La peau plantaire contient plusieurs classes de mécanorécepteurs à bas seuil. Une pression, un déplacement de la peau ou une déformation plus profonde des tissus génèrent une activité afférente qui remonte par les nerfs périphériques vers la moelle épinière puis vers les centres supérieurs [2,3].</w:t>
      </w:r>
    </w:p>
    <w:p>
      <w:r>
        <w:t>La qualité du geste compte. Direction, vitesse, durée, surface de contact et profondeur ne recrutent pas nécessairement les mêmes populations sensorielles. Deux zones voisines peuvent donc produire des entrées différentes sans qu’il soit nécessaire de leur attribuer d’emblée une correspondance viscérale spécifique.</w:t>
      </w:r>
    </w:p>
    <w:p>
      <w:r>
        <w:t>Pour simplifier, quatre grandes portes somatiques du pied peuvent être distinguées :</w:t>
      </w:r>
    </w:p>
    <w:p>
      <w:pPr>
        <w:pStyle w:val="ListBullet"/>
        <w:spacing w:after="50"/>
      </w:pPr>
      <w:r>
        <w:t>la plante du pied, principalement reliée au système tibial par les nerfs plantaires médial et latéral et les rameaux calcanéens ;</w:t>
      </w:r>
    </w:p>
    <w:p>
      <w:pPr>
        <w:pStyle w:val="ListBullet"/>
        <w:spacing w:after="50"/>
      </w:pPr>
      <w:r>
        <w:t>le bord latéral, largement lié au nerf sural ;</w:t>
      </w:r>
    </w:p>
    <w:p>
      <w:pPr>
        <w:pStyle w:val="ListBullet"/>
        <w:spacing w:after="50"/>
      </w:pPr>
      <w:r>
        <w:t>le dos du pied, principalement lié aux nerfs fibulaires ;</w:t>
      </w:r>
    </w:p>
    <w:p>
      <w:pPr>
        <w:pStyle w:val="ListBullet"/>
        <w:spacing w:after="50"/>
      </w:pPr>
      <w:r>
        <w:t>le versant médial de la cheville et du pied, en continuité avec le territoire saphène.</w:t>
      </w:r>
    </w:p>
    <w:p>
      <w:r>
        <w:t>Ces territoires ne doivent pas être considérés comme quatre « cartes d’organes ». Ils constituent plutôt quatre portes somatiques candidates, utiles pour comparer la façon dont différentes entrées périphériques accèdent aux réseaux spinaux et supraspinaux.</w:t>
      </w:r>
    </w:p>
    <w:p>
      <w:pPr>
        <w:pStyle w:val="Heading1"/>
      </w:pPr>
      <w:r>
        <w:t>4. Des portes périphériques aux réseaux viscéraux : la notion de pont neuro-anatomique</w:t>
      </w:r>
    </w:p>
    <w:p>
      <w:r>
        <w:t>Une stimulation du pied n’a pas besoin d’emprunter un câble direct jusqu’à un viscère pour produire un effet fonctionnel. Le système nerveux fonctionne par réseaux. Une information somatique peut rencontrer des informations viscérales à plusieurs étages.</w:t>
      </w:r>
    </w:p>
    <w:p>
      <w:r>
        <w:t>Dans ce livre, nous appelons « pont neuro-anatomique » chacune de ces possibilités de convergence. Elles peuvent se situer :</w:t>
      </w:r>
    </w:p>
    <w:p>
      <w:pPr>
        <w:pStyle w:val="ListBullet"/>
        <w:spacing w:after="50"/>
      </w:pPr>
      <w:r>
        <w:t>au niveau périphérique, par le choix d’une branche nerveuse et d’une population afférente ;</w:t>
      </w:r>
    </w:p>
    <w:p>
      <w:pPr>
        <w:pStyle w:val="ListBullet"/>
        <w:spacing w:after="50"/>
      </w:pPr>
      <w:r>
        <w:t>au niveau radiculaire et segmentaire, lorsque des afférences somatiques et viscérales rejoignent des niveaux médullaires voisins ou communs ;</w:t>
      </w:r>
    </w:p>
    <w:p>
      <w:pPr>
        <w:pStyle w:val="ListBullet"/>
        <w:spacing w:after="50"/>
      </w:pPr>
      <w:r>
        <w:t>au niveau des interneurones et des circuits propriospinaux, qui relient plusieurs segments de la moelle ;</w:t>
      </w:r>
    </w:p>
    <w:p>
      <w:pPr>
        <w:pStyle w:val="ListBullet"/>
        <w:spacing w:after="50"/>
      </w:pPr>
      <w:r>
        <w:t>au niveau supraspinal, lorsque l’information remonte vers le tronc cérébral et les réseaux corticaux ou cortico-limbiques, puis modifie les commandes descendantes autonomes et somatiques.</w:t>
      </w:r>
    </w:p>
    <w:p>
      <w:r>
        <w:t>Cette architecture permet de sortir d’une opposition trop simple. D’un côté, une correspondance point-organe directe n’est pas compatible avec l’organisation réelle du système nerveux. De l’autre, considérer que toute stimulation du pied aurait exactement le même effet serait tout aussi réducteur. Certaines portes peuvent disposer de davantage d’arguments de proximité avec une région donnée ; d’autres agir surtout par des mécanismes plus généraux.</w:t>
      </w:r>
    </w:p>
    <w:p>
      <w:pPr>
        <w:pStyle w:val="Heading1"/>
      </w:pPr>
      <w:r>
        <w:t>5. Le pelvis : le meilleur modèle actuel de ciblage régional</w:t>
      </w:r>
    </w:p>
    <w:p>
      <w:r>
        <w:t>Le petit bassin constitue aujourd’hui le territoire le plus intéressant pour illustrer cette logique. Le nerf tibial est pluriradiculaire, classiquement L4-S3. Les circuits pelviens parasympathiques et plusieurs fonctions somatiques périnéales sont organisés autour de S2-S4. Il existe donc un recouvrement possible, notamment en S2-S3, entre certaines entrées tibiales et les réseaux sacrés pelviens [1,7-10,16].</w:t>
      </w:r>
    </w:p>
    <w:p>
      <w:r>
        <w:t>Ce recouvrement ne signifie pas qu’une zone plantaire soit un dermatome S2 ou S3, ni qu’elle sélectionne directement la vessie, le rectum ou un organe génital. Il signifie qu’une stimulation somatique peut introduire une activité dans des réseaux lombo-sacrés qui traitent également des informations périnéales et viscérales.</w:t>
      </w:r>
    </w:p>
    <w:p>
      <w:r>
        <w:t>Les données expérimentales sur la neuromodulation tibiale de la vessie montrent que des mécanismes spinaux et supraspinaux peuvent effectivement modifier la fonction vésicale [7-12,16]. Les interactions entre vessie, côlon distal et rectum illustrent par ailleurs combien les réseaux pelviens sont intégrés et distribués [15,19-21].</w:t>
      </w:r>
    </w:p>
    <w:p>
      <w:pPr>
        <w:shd w:fill="F3EEE4"/>
        <w:spacing w:before="120" w:after="140"/>
        <w:ind w:left="142" w:right="142"/>
      </w:pPr>
      <w:r>
        <w:t>Le pelvis est donc un bon candidat pour un ciblage régional. Il n’est pas pour autant la preuve d’une correspondance point-organe exclusive.</w:t>
      </w:r>
    </w:p>
    <w:p>
      <w:pPr>
        <w:pStyle w:val="Heading1"/>
      </w:pPr>
      <w:r>
        <w:t>6. Au-delà du pelvis : modulation à distance et voies supraspinales</w:t>
      </w:r>
    </w:p>
    <w:p>
      <w:r>
        <w:t>L’absence de recouvrement segmentaire direct n’exclut pas qu’une stimulation somatique influence une fonction viscérale. Les informations provenant du pied peuvent remonter vers le tronc cérébral et vers des réseaux corticaux impliqués dans l’intégration sensorielle, viscérale, émotionnelle et autonome. Des commandes descendantes peuvent ensuite modifier l’excitabilité des circuits spinaux et autonomes.</w:t>
      </w:r>
    </w:p>
    <w:p>
      <w:r>
        <w:t>Cette organisation est particulièrement importante pour comprendre pourquoi une entrée somatique éloignée d’un viscère peut néanmoins participer à une modulation générale ou fonctionnelle. Elle est également une limite à la spécificité : plus l’explication repose uniquement sur des relais supraspinaux, moins elle permet d’affirmer qu’une zone précise du pied cible une région viscérale précise.</w:t>
      </w:r>
    </w:p>
    <w:p>
      <w:r>
        <w:t>Les travaux comparant des stimulations tibiales et fibulaires montrent d’ailleurs que plusieurs portes somatiques peuvent recruter des réseaux cérébraux partiellement communs mais non identiques [13]. Par ailleurs, les afférences cutanées du pied peuvent modifier certains paramètres de l’activité sympathique [14]. Ces données soutiennent l’existence de voies somato-autonomes, sans démontrer l’équivalence entre une stimulation électrique expérimentale et la pression manuelle utilisée en ROP.</w:t>
      </w:r>
    </w:p>
    <w:p>
      <w:pPr>
        <w:pStyle w:val="Heading1"/>
      </w:pPr>
      <w:r>
        <w:t>7. Un gradient de ciblage plutôt qu’une correspondance absolue</w:t>
      </w:r>
    </w:p>
    <w:p>
      <w:r>
        <w:t>Ces éléments conduisent à proposer un principe simple : toutes les zones podales ne disposent probablement pas du même degré de proximité avec les réseaux impliqués dans une fonction viscérale.</w:t>
      </w:r>
    </w:p>
    <w:p>
      <w:r>
        <w:t>Une zone peut être anatomiquement mieux étayée lorsqu’elle associe une branche périphérique identifiable, des racines compatibles avec la région étudiée, une convergence spinale connue et une fonction régionale intégrée. À l’inverse, une autre zone peut rester capable de produire une modulation générale par des réseaux intersegmentaires ou supraspinaux, mais avec moins d’arguments en faveur d’un ciblage régional.</w:t>
      </w:r>
    </w:p>
    <w:p>
      <w:pPr>
        <w:shd w:fill="F3EEE4"/>
        <w:spacing w:before="120" w:after="140"/>
        <w:ind w:left="142" w:right="142"/>
      </w:pPr>
      <w:r>
        <w:t>Le gradient de ciblage neuro-anatomique ne mesure ni la puissance d’un traitement ni la certitude d’un résultat. Il mesure la densité des arguments anatomiques et neurophysiologiques disponibles pour proposer qu’une entrée somatique puisse influencer préférentiellement une région.</w:t>
      </w:r>
    </w:p>
    <w:p>
      <w:r>
        <w:t>Cette distinction est fondamentale : l’existence possible d’un effet et la spécificité de cet effet sont deux questions différentes. Une stimulation peut avoir un effet viscéral sans qu’il existe de recouvrement radiculaire direct ; ce recouvrement augmente surtout la plausibilité d’un ciblage régional.</w:t>
      </w:r>
    </w:p>
    <w:p>
      <w:pPr>
        <w:pStyle w:val="Heading1"/>
      </w:pPr>
      <w:r>
        <w:t>8. Deux grilles complémentaires pour lire la ROP viscérale</w:t>
      </w:r>
    </w:p>
    <w:p>
      <w:r>
        <w:t>Le livre utilise donc deux grilles de lecture qui ne doivent pas être confondues.</w:t>
      </w:r>
    </w:p>
    <w:p>
      <w:r>
        <w:t>La première est clinique. Elle reprend la séquence en quatre niveaux utilisée par Guy dans la pratique ROP :</w:t>
      </w:r>
    </w:p>
    <w:p>
      <w:pPr>
        <w:spacing w:after="50"/>
        <w:ind w:left="198" w:hanging="198"/>
      </w:pPr>
      <w:r>
        <w:t>1. Régulation des centres supérieurs du système nerveux central.</w:t>
      </w:r>
      <w:r/>
    </w:p>
    <w:p>
      <w:pPr>
        <w:spacing w:after="50"/>
        <w:ind w:left="198" w:hanging="198"/>
      </w:pPr>
      <w:r>
        <w:t>2. Régulation neuro-végétative et adaptation.</w:t>
      </w:r>
      <w:r/>
    </w:p>
    <w:p>
      <w:pPr>
        <w:spacing w:after="50"/>
        <w:ind w:left="198" w:hanging="198"/>
      </w:pPr>
      <w:r>
        <w:t>3. Régulation viscérale loco-régionale.</w:t>
      </w:r>
      <w:r/>
    </w:p>
    <w:p>
      <w:pPr>
        <w:spacing w:after="50"/>
        <w:ind w:left="198" w:hanging="198"/>
      </w:pPr>
      <w:r>
        <w:t>4. Intégration viscéro-somatique et viscéro-émotionnelle.</w:t>
      </w:r>
      <w:r/>
    </w:p>
    <w:p>
      <w:r>
        <w:t>La seconde est neuro-anatomique. Elle cherche à comprendre par quels ponts une stimulation somatique peut accéder aux réseaux qui participent à une fonction.</w:t>
      </w:r>
    </w:p>
    <w:p>
      <w:r>
        <w:t>La première organise le raisonnement du praticien ; la seconde permet d’interroger les mécanismes. Les quatre niveaux ne constituent pas quatre compartiments anatomiques étanches : certaines structures peuvent intervenir à plusieurs niveaux selon leur rôle clinique. Ensemble, ces deux grilles évitent deux écueils : appliquer une carte de façon automatique, ou réduire toute réponse clinique à une modulation générale indifférenciée.</w:t>
      </w:r>
    </w:p>
    <w:p>
      <w:pPr>
        <w:pStyle w:val="Heading1"/>
      </w:pPr>
      <w:r>
        <w:t>9. La séquence clinique ROP en quatre niveaux</w:t>
      </w:r>
    </w:p>
    <w:p>
      <w:pPr>
        <w:pStyle w:val="Heading2"/>
      </w:pPr>
      <w:r>
        <w:t>9.1. Niveau 1 — Régulation des centres supérieurs du système nerveux central</w:t>
      </w:r>
    </w:p>
    <w:p>
      <w:pPr/>
      <w:r>
        <w:t>Le premier niveau place l’accent sur les grands centres d’intégration et sur l’environnement neuro-méningé. Il correspond, dans la pratique ROP, au travail de régulation centrale qui précède ou accompagne une approche plus régionale.</w:t>
      </w:r>
    </w:p>
    <w:p>
      <w:pPr>
        <w:pStyle w:val="ListBullet"/>
      </w:pPr>
      <w:r>
        <w:t>Zones réflexes occipitales.</w:t>
      </w:r>
    </w:p>
    <w:p>
      <w:pPr>
        <w:pStyle w:val="ListBullet"/>
      </w:pPr>
      <w:r>
        <w:t>Environnement neuro-méningé crânio-spinal et circulation du liquide cérébrospinal (LCR).</w:t>
      </w:r>
    </w:p>
    <w:p>
      <w:pPr>
        <w:pStyle w:val="ListBullet"/>
      </w:pPr>
      <w:r>
        <w:t>Axe crânio-sacré — terme clinique ROP utilisé comme repère de continuité crânio-spinale, et non comme système anatomique autonome.</w:t>
      </w:r>
    </w:p>
    <w:p>
      <w:pPr>
        <w:pStyle w:val="ListBullet"/>
      </w:pPr>
      <w:r>
        <w:t>Tronc cérébral.</w:t>
      </w:r>
    </w:p>
    <w:p>
      <w:pPr>
        <w:pStyle w:val="ListBullet"/>
      </w:pPr>
      <w:r>
        <w:t>Diencéphale, notamment hypothalamus.</w:t>
      </w:r>
    </w:p>
    <w:p>
      <w:pPr>
        <w:pStyle w:val="ListBullet"/>
      </w:pPr>
      <w:r>
        <w:t>Axe hypothalamo-hypophysaire.</w:t>
      </w:r>
    </w:p>
    <w:p>
      <w:pPr/>
      <w:r>
        <w:t>Les informations somatosensorielles provenant du pied peuvent gagner des réseaux supraspinaux par les voies ascendantes. Le tronc cérébral, l’hypothalamus et différents réseaux corticaux participent à l’intégration sensorielle, autonome et adaptative. Les zones réflexes occipitales et podales proposées par la ROP restent toutefois des repères cliniques : elles ne constituent ni une projection anatomique directe de ces structures, ni la preuve d’une action sélective sur une aire cérébrale déterminée.</w:t>
      </w:r>
    </w:p>
    <w:p>
      <w:pPr>
        <w:pStyle w:val="Heading2"/>
      </w:pPr>
      <w:r>
        <w:t>9.2. Niveau 2 — Régulation neuro-végétative et adaptation</w:t>
      </w:r>
    </w:p>
    <w:p>
      <w:pPr/>
      <w:r>
        <w:t>Le deuxième niveau concerne les grandes voies de régulation autonome et les systèmes qui accompagnent l’adaptation de l’organisme. Il relie les centres supérieurs aux territoires viscéraux et aux réponses de mobilisation ou de récupération.</w:t>
      </w:r>
    </w:p>
    <w:p>
      <w:pPr>
        <w:pStyle w:val="ListBullet"/>
      </w:pPr>
      <w:r>
        <w:t>Systèmes sympathique et parasympathique.</w:t>
      </w:r>
    </w:p>
    <w:p>
      <w:pPr>
        <w:pStyle w:val="ListBullet"/>
      </w:pPr>
      <w:r>
        <w:t>Nerf vague et voies parasympathiques sacrées.</w:t>
      </w:r>
    </w:p>
    <w:p>
      <w:pPr>
        <w:pStyle w:val="ListBullet"/>
      </w:pPr>
      <w:r>
        <w:t>Plexus prévertébraux et préviscéraux.</w:t>
      </w:r>
    </w:p>
    <w:p>
      <w:pPr>
        <w:pStyle w:val="ListBullet"/>
      </w:pPr>
      <w:r>
        <w:t>Nerfs splanchniques et chaînes ganglionnaires.</w:t>
      </w:r>
    </w:p>
    <w:p>
      <w:pPr>
        <w:pStyle w:val="ListBullet"/>
      </w:pPr>
      <w:r>
        <w:t>Glandes surrénales, notamment dans la réponse sympatho-surrénalienne.</w:t>
      </w:r>
    </w:p>
    <w:p>
      <w:pPr>
        <w:pStyle w:val="ListBullet"/>
      </w:pPr>
      <w:r>
        <w:t>Diaphragme, considéré ici comme une interface respiratoire et fonctionnelle accompagnant la régulation autonome.</w:t>
      </w:r>
    </w:p>
    <w:p>
      <w:pPr/>
      <w:r>
        <w:t>Le diaphragme n’appartient pas anatomiquement au système nerveux autonome : sa présence à ce niveau répond à la logique clinique de la ROP, où respiration, tonus et état neuro-végétatif sont observés ensemble. De même, il convient de distinguer les commandes autonomes efférentes des afférences viscérales sensitives, qui remontent vers la moelle ou le tronc cérébral, parfois en cheminant avec les mêmes voies périphériques [18].</w:t>
      </w:r>
    </w:p>
    <w:p>
      <w:pPr/>
      <w:r>
        <w:t>L’objectif clinique n’est pas d’opposer un sympathique « mauvais » à un parasympathique « bon », mais de rechercher une meilleure flexibilité autonome : mobiliser une réponse adaptée, puis permettre le retour à la récupération lorsque la contrainte cesse.</w:t>
      </w:r>
    </w:p>
    <w:p>
      <w:pPr>
        <w:pStyle w:val="Heading2"/>
      </w:pPr>
      <w:r>
        <w:t>9.3. Niveau 3 — Régulation viscérale loco-régionale</w:t>
      </w:r>
    </w:p>
    <w:p>
      <w:pPr/>
      <w:r>
        <w:t>Le troisième niveau recentre le traitement sur le viscère ou le territoire viscéral concerné et sur son environnement anatomique immédiat. Il associe la cible fonctionnelle aux structures qui organisent sa mobilité, ses rapports et ses échanges avec la région.</w:t>
      </w:r>
    </w:p>
    <w:p>
      <w:pPr>
        <w:pStyle w:val="ListBullet"/>
      </w:pPr>
      <w:r>
        <w:t>Viscère ou territoire viscéral concerné.</w:t>
      </w:r>
    </w:p>
    <w:p>
      <w:pPr>
        <w:pStyle w:val="ListBullet"/>
      </w:pPr>
      <w:r>
        <w:t>Cavités abdominale et pelvienne.</w:t>
      </w:r>
    </w:p>
    <w:p>
      <w:pPr>
        <w:pStyle w:val="ListBullet"/>
      </w:pPr>
      <w:r>
        <w:t>Péritoine.</w:t>
      </w:r>
    </w:p>
    <w:p>
      <w:pPr>
        <w:pStyle w:val="ListBullet"/>
      </w:pPr>
      <w:r>
        <w:t>Racines des mésos.</w:t>
      </w:r>
    </w:p>
    <w:p>
      <w:pPr>
        <w:pStyle w:val="ListBullet"/>
      </w:pPr>
      <w:r>
        <w:t>Mésos et ligaments viscéraux.</w:t>
      </w:r>
    </w:p>
    <w:p>
      <w:pPr>
        <w:pStyle w:val="ListBullet"/>
      </w:pPr>
      <w:r>
        <w:t>Fascias et principales interfaces loco-régionales.</w:t>
      </w:r>
    </w:p>
    <w:p>
      <w:pPr>
        <w:pStyle w:val="ListBullet"/>
      </w:pPr>
      <w:r>
        <w:t>Rapports neurovasculaires et plexus régionaux.</w:t>
      </w:r>
    </w:p>
    <w:p>
      <w:pPr/>
      <w:r>
        <w:t>Ce niveau ne signifie pas que la ROP traite directement une maladie organique, ni qu’une zone podale sélectionne exclusivement un organe. Il désigne le territoire viscéral ou la fonction autour desquels le traitement est individualisé : transit, miction, confort digestif, mobilité, douleur ou autre plainte fonctionnelle. La ROP viscérale ne se réduit donc pas à un modèle nerveux : les dimensions mécaniques et loco-régionales restent pleinement intégrées au raisonnement.</w:t>
      </w:r>
    </w:p>
    <w:p>
      <w:pPr>
        <w:pStyle w:val="Heading2"/>
      </w:pPr>
      <w:r>
        <w:t>9.4. Niveau 4 — Intégration viscéro-somatique et viscéro-émotionnelle</w:t>
      </w:r>
    </w:p>
    <w:p>
      <w:pPr/>
      <w:r>
        <w:t>Le quatrième niveau élargit la lecture du viscère à ses relations avec le système nerveux somatique et avec les réseaux cérébraux qui participent à la perception de l’état interne, à la salience, à l’émotion et au contexte. Il ne constitue pas un « système » anatomique distinct ; il décrit des interactions fonctionnelles.</w:t>
      </w:r>
    </w:p>
    <w:p>
      <w:pPr>
        <w:pStyle w:val="ListBullet"/>
      </w:pPr>
      <w:r>
        <w:t>Nerfs somatiques issus des plexus lombaires et sacrés et territoires périphériques associés.</w:t>
      </w:r>
    </w:p>
    <w:p>
      <w:pPr>
        <w:pStyle w:val="ListBullet"/>
      </w:pPr>
      <w:r>
        <w:t>Relations segmentaires et convergences somato-viscérales dans la moelle.</w:t>
      </w:r>
    </w:p>
    <w:p>
      <w:pPr>
        <w:pStyle w:val="ListBullet"/>
      </w:pPr>
      <w:r>
        <w:t>Muscles, articulations et territoires douloureux pouvant partager des niveaux neurologiques avec le viscère.</w:t>
      </w:r>
    </w:p>
    <w:p>
      <w:pPr>
        <w:pStyle w:val="ListBullet"/>
      </w:pPr>
      <w:r>
        <w:t>Réseaux limbiques et cortico-limbiques, notamment insula et cortex cingulaire, dans l’intégration de l’état viscéral et émotionnel.</w:t>
      </w:r>
    </w:p>
    <w:p>
      <w:pPr>
        <w:pStyle w:val="ListBullet"/>
      </w:pPr>
      <w:r>
        <w:t>Réponses contextuelles et commandes descendantes susceptibles de modifier les circuits spinaux et autonomes.</w:t>
      </w:r>
    </w:p>
    <w:p>
      <w:pPr/>
      <w:r>
        <w:t>Le terme « système limbique » est utilisé avec prudence dans cet ouvrage. Il est préférable de raisonner en réseaux limbiques et cortico-limbiques distribués plutôt qu’en une structure unique et fermée. Ce niveau permet de replacer les relations viscéro-somatiques et viscéro-émotionnelles dans une logique de convergence et d’intégration, sans postuler de correspondance fixe.</w:t>
      </w:r>
    </w:p>
    <w:p>
      <w:pPr>
        <w:pStyle w:val="Heading1"/>
      </w:pPr>
      <w:r>
        <w:t>10. Une progression clinique, non un protocole rigide</w:t>
      </w:r>
    </w:p>
    <w:p>
      <w:r>
        <w:t>Les quatre niveaux n’ont pas vocation à être appliqués mécaniquement dans le même ordre à tous les patients. Ils organisent le raisonnement : centres supérieurs, régulation neuro-végétative, territoire viscéral loco-régional, puis intégration somatique et émotionnelle. L’ordre réel du traitement dépend de l’histoire du patient, de ses symptômes, de ses antécédents médicaux, traumatiques ou chirurgicaux, des tests, de la tolérance au toucher et de la réponse observée.</w:t>
      </w:r>
    </w:p>
    <w:p>
      <w:r>
        <w:t>Une contrainte loco-régionale clairement identifiée peut être prioritaire. À l’inverse, un tableau diffus, une fatigue importante ou une forte réactivité neuro-végétative peuvent conduire à commencer par les niveaux de régulation centrale ou autonome.</w:t>
      </w:r>
    </w:p>
    <w:p>
      <w:r>
        <w:t>Le mouvement clinique peut d’ailleurs être compris dans plusieurs sens : du central vers le viscéral, du viscéral vers les centres d’intégration, ou encore du somatique vers les réseaux autonomes et viscéraux. Le modèle doit rester une grille de lecture et de hiérarchisation, non une séquence automatique.</w:t>
      </w:r>
    </w:p>
    <w:p>
      <w:pPr>
        <w:pStyle w:val="Heading1"/>
      </w:pPr>
      <w:r>
        <w:t>11. Le rôle transversal du stress et de la régulation</w:t>
      </w:r>
    </w:p>
    <w:p>
      <w:r>
        <w:t>Les chapitres consacrés au stress et à la théorie polyvagale ne constituent pas un cinquième niveau clinique. Ils décrivent la dynamique qui relie les centres supérieurs, la régulation neuro-végétative, les territoires viscéraux et leur expression somatique ou émotionnelle dans le temps.</w:t>
      </w:r>
    </w:p>
    <w:p>
      <w:r>
        <w:t>Le stress est une réponse d’adaptation. Il mobilise le système nerveux central, le système nerveux autonome, les systèmes hormonaux, les muscles, la respiration et les viscères. Cette mobilisation est utile lorsqu’elle est proportionnée, limitée dans le temps et suivie d’une récupération.</w:t>
      </w:r>
    </w:p>
    <w:p>
      <w:r>
        <w:t>Elle devient potentiellement problématique lorsqu’elle :</w:t>
      </w:r>
    </w:p>
    <w:p>
      <w:pPr>
        <w:pStyle w:val="ListBullet"/>
        <w:spacing w:after="50"/>
      </w:pPr>
      <w:r>
        <w:t>persiste ;</w:t>
      </w:r>
    </w:p>
    <w:p>
      <w:pPr>
        <w:pStyle w:val="ListBullet"/>
        <w:spacing w:after="50"/>
      </w:pPr>
      <w:r>
        <w:t>se répète sans récupération suffisante ;</w:t>
      </w:r>
    </w:p>
    <w:p>
      <w:pPr>
        <w:pStyle w:val="ListBullet"/>
        <w:spacing w:after="50"/>
      </w:pPr>
      <w:r>
        <w:t>reste disproportionnée par rapport à la contrainte ;</w:t>
      </w:r>
    </w:p>
    <w:p>
      <w:pPr>
        <w:pStyle w:val="ListBullet"/>
        <w:spacing w:after="50"/>
      </w:pPr>
      <w:r>
        <w:t>ne se clôt pas lorsque la situation a changé ;</w:t>
      </w:r>
    </w:p>
    <w:p>
      <w:pPr>
        <w:pStyle w:val="ListBullet"/>
        <w:spacing w:after="50"/>
      </w:pPr>
      <w:r>
        <w:t>dépasse progressivement les capacités d’adaptation du patient.</w:t>
      </w:r>
    </w:p>
    <w:p>
      <w:r>
        <w:t>Le chapitre consacré au mécanisme du stress fournit ainsi un cadre pour comprendre la mobilisation, la charge allostatique, la récupération et la chronicisation. La théorie polyvagale propose une lecture complémentaire de certains états autonomes et des réponses de mobilisation, de protection ou d’engagement relationnel.</w:t>
      </w:r>
    </w:p>
    <w:p>
      <w:pPr>
        <w:shd w:fill="F3EEE4"/>
        <w:spacing w:before="120" w:after="140"/>
        <w:ind w:left="142" w:right="142"/>
      </w:pPr>
      <w:r>
        <w:t>Dans cette perspective, la ROP ne cherche pas à empêcher l’organisme de réagir. Elle cherche à soutenir sa capacité à retrouver une réponse plus adaptée lorsque la mobilisation est devenue inutile, excessive ou insuffisamment résolue.</w:t>
      </w:r>
    </w:p>
    <w:p>
      <w:pPr>
        <w:pStyle w:val="Heading1"/>
      </w:pPr>
      <w:r>
        <w:t>12. Comment lire l’organisation du livre</w:t>
      </w:r>
    </w:p>
    <w:p>
      <w:r>
        <w:t>Le lecteur peut parcourir ce volume de manière linéaire, mais chaque partie répond aussi à une question clinique précise.</w:t>
      </w:r>
    </w:p>
    <w:p>
      <w:pPr>
        <w:pStyle w:val="ListBullet"/>
        <w:spacing w:after="50"/>
      </w:pPr>
      <w:r>
        <w:t>Partie I — Introduction : genèse de la méthode, principes généraux, mobilité viscérale, anamnèse, tests, hiérarchisation, sécurité et réévaluation.</w:t>
      </w:r>
    </w:p>
    <w:p>
      <w:pPr>
        <w:pStyle w:val="ListBullet"/>
        <w:spacing w:after="50"/>
      </w:pPr>
      <w:r>
        <w:t>Partie II — Systèmes nerveux : système nerveux central, système nerveux autonome et fondements neuro-anatomiques des portes d’entrée somatiques.</w:t>
      </w:r>
    </w:p>
    <w:p>
      <w:pPr>
        <w:pStyle w:val="ListBullet"/>
        <w:spacing w:after="50"/>
      </w:pPr>
      <w:r>
        <w:t>Partie III — Stress et régulation : mécanismes dynamiques qui relient et modulent les quatre niveaux.</w:t>
      </w:r>
    </w:p>
    <w:p>
      <w:pPr>
        <w:pStyle w:val="ListBullet"/>
        <w:spacing w:after="50"/>
      </w:pPr>
      <w:r>
        <w:t>Partie IV — Viscères abdominaux : diaphragme, cavité abdominale, péritoine, mésos et organes digestifs, avec leur régulation loco-régionale.</w:t>
      </w:r>
    </w:p>
    <w:p>
      <w:pPr>
        <w:pStyle w:val="ListBullet"/>
        <w:spacing w:after="50"/>
      </w:pPr>
      <w:r>
        <w:t>Partie V — Uro-génital et pelvien : cavité pelvienne, reins, vessie, organes génitaux et système érectile, avec leurs relations somatiques et émotionnelles.</w:t>
      </w:r>
    </w:p>
    <w:p>
      <w:r>
        <w:t>Les cartes pratiques sont destinées à être utilisées avec les chapitres anatomiques et cliniques, pas isolément. Les cas cliniques montrent comment un même symptôme peut conduire à des choix différents selon l’anamnèse, les tests, les niveaux sollicités et la réponse du patient.</w:t>
      </w:r>
    </w:p>
    <w:p>
      <w:pPr>
        <w:pStyle w:val="Heading1"/>
      </w:pPr>
      <w:r>
        <w:t>13. Pourquoi le viscéral est incontournable</w:t>
      </w:r>
    </w:p>
    <w:p>
      <w:r>
        <w:t>Le système viscéral assure une grande partie de la logistique de l’organisme : nutrition, digestion, absorption, élimination, équilibre hydrominéral, fonctions endocrines, reproduction et maintien de l’équilibre interne.</w:t>
      </w:r>
    </w:p>
    <w:p>
      <w:r>
        <w:t>Certaines douleurs ou limitations ostéo-musculo-articulaires peuvent s’accompagner de manifestations viscérales, et certaines affections viscérales peuvent produire des manifestations somatiques par des mécanismes de convergence [15,18-21]. Inversement, des entrées somatiques peuvent modifier certains circuits autonomes ou viscéraux. Ces relations ne doivent jamais être interprétées comme des causalités automatiques.</w:t>
      </w:r>
    </w:p>
    <w:p>
      <w:r>
        <w:t>Travailler l’un en ignorant systématiquement l’autre peut donc conduire à une lecture incomplète du patient. L’anamnèse, l’examen clinique et, lorsque cela est nécessaire, l’évaluation médicale restent indispensables.</w:t>
      </w:r>
    </w:p>
    <w:p>
      <w:r>
        <w:t>La ROP intervient dans le champ des troubles fonctionnels et de l’accompagnement. Elle ne remplace ni le diagnostic médical ni les traitements nécessaires en présence d’une maladie organique.</w:t>
      </w:r>
    </w:p>
    <w:p>
      <w:pPr>
        <w:pStyle w:val="Heading1"/>
      </w:pPr>
      <w:r>
        <w:t>14. Notre parti pris : rigueur scientifique et pragmatisme clinique</w:t>
      </w:r>
    </w:p>
    <w:p>
      <w:r>
        <w:t>Comme dans toute approche manuelle, certaines observations cliniques précèdent parfois la compréhension complète de leurs mécanismes. Cette situation n’autorise ni à transformer une observation en certitude, ni à écarter ce qui mérite d’être étudié.</w:t>
      </w:r>
    </w:p>
    <w:p>
      <w:r>
        <w:t>Nous distinguons donc quatre niveaux de preuve :</w:t>
      </w:r>
    </w:p>
    <w:p>
      <w:pPr>
        <w:spacing w:after="50"/>
        <w:ind w:left="198" w:hanging="198"/>
      </w:pPr>
      <w:r/>
      <w:r>
        <w:t>1. Anatomie et physiologie établies : nerfs, racines, afférences, plexus, voies autonomes, circuits spinaux et supraspinaux.</w:t>
      </w:r>
    </w:p>
    <w:p>
      <w:pPr>
        <w:spacing w:after="50"/>
        <w:ind w:left="198" w:hanging="198"/>
      </w:pPr>
      <w:r/>
      <w:r>
        <w:t>2. Neurophysiologie expérimentale et clinique : par exemple les données de neuromodulation tibiale, de convergence spinale ou de réponses cérébrales à différentes stimulations somatiques.</w:t>
      </w:r>
    </w:p>
    <w:p>
      <w:pPr>
        <w:spacing w:after="50"/>
        <w:ind w:left="198" w:hanging="198"/>
      </w:pPr>
      <w:r/>
      <w:r>
        <w:t>3. Hypothèse neuro-anatomique ROP : proposition selon laquelle une zone ou une branche pourrait constituer une porte d’entrée plus pertinente qu’une autre pour une fonction donnée.</w:t>
      </w:r>
    </w:p>
    <w:p>
      <w:pPr>
        <w:spacing w:after="50"/>
        <w:ind w:left="198" w:hanging="198"/>
      </w:pPr>
      <w:r/>
      <w:r>
        <w:t>4. Observation clinique ROP : cartographies, réactions palpatoires, réponses immédiates ou différées et cas cliniques documentés.</w:t>
      </w:r>
    </w:p>
    <w:p>
      <w:r>
        <w:t>Le livre s’efforce de ne pas confondre ces niveaux. Une donnée issue de la neuromodulation électrique ne démontre pas automatiquement l’effet d’une pression manuelle. Une réponse clinique ne démontre pas, à elle seule, le mécanisme qui l’a produite. Mais chaque niveau peut aider à formuler une question plus précise pour le suivant.</w:t>
      </w:r>
    </w:p>
    <w:p>
      <w:r>
        <w:t>Cette démarche repose sur quatre exigences :</w:t>
      </w:r>
    </w:p>
    <w:p>
      <w:pPr>
        <w:spacing w:after="50"/>
        <w:ind w:left="198" w:hanging="198"/>
      </w:pPr>
      <w:r/>
      <w:r>
        <w:t>1. cohérence anatomique ;</w:t>
      </w:r>
    </w:p>
    <w:p>
      <w:pPr>
        <w:spacing w:after="50"/>
        <w:ind w:left="198" w:hanging="198"/>
      </w:pPr>
      <w:r/>
      <w:r>
        <w:t>2. reproductibilité des repères ;</w:t>
      </w:r>
    </w:p>
    <w:p>
      <w:pPr>
        <w:spacing w:after="50"/>
        <w:ind w:left="198" w:hanging="198"/>
      </w:pPr>
      <w:r/>
      <w:r>
        <w:t>3. confrontation au réel par l’anamnèse, l’imagerie et les données médicales ou chirurgicales disponibles ;</w:t>
      </w:r>
    </w:p>
    <w:p>
      <w:pPr>
        <w:spacing w:after="50"/>
        <w:ind w:left="198" w:hanging="198"/>
      </w:pPr>
      <w:r/>
      <w:r>
        <w:t>4. documentation structurée de la pratique et de l’évolution du patient.</w:t>
      </w:r>
    </w:p>
    <w:p>
      <w:pPr>
        <w:pStyle w:val="Heading1"/>
      </w:pPr>
      <w:r>
        <w:t>15. De la carte clinique à l’observation structurée</w:t>
      </w:r>
    </w:p>
    <w:p>
      <w:r>
        <w:t>Une cartographie n’a de valeur clinique que si elle peut être confrontée à ce qui se passe réellement chez le patient. C’est pourquoi le livre insiste sur l’observation avant, pendant et après la séance.</w:t>
      </w:r>
    </w:p>
    <w:p>
      <w:r>
        <w:t>L’application SuiviPatient, mise gratuitement à disposition des praticiens certifiés ROP, a été conçue dans cette logique. Elle permet de documenter le motif principal de consultation, l’anamnèse, les zones travaillées, le protocole suivi, les réactions observées et l’évolution des symptômes ou des capacités fonctionnelles.</w:t>
      </w:r>
    </w:p>
    <w:p>
      <w:r>
        <w:t>À mesure que la méthode se précise, cette documentation peut aussi intégrer des informations plus fines : territoire podal, nerf périphérique probable, profondeur de stimulation, durée, fonction suivie et temporalité de la réponse. L’objectif n’est pas de transformer chaque séance en expérience, mais de rendre les observations plus comparables et plus réévaluables.</w:t>
      </w:r>
    </w:p>
    <w:p>
      <w:r>
        <w:t>Une communauté de praticiens qui décrit de façon homogène ce qu’elle fait, ce qu’elle observe et ce qui ne fonctionne pas crée de meilleures conditions pour identifier les protocoles utiles, les limites de la méthode et les questions qui méritent une étude plus formelle.</w:t>
      </w:r>
    </w:p>
    <w:p>
      <w:pPr>
        <w:pStyle w:val="Heading1"/>
      </w:pPr>
      <w:r>
        <w:t>16. Deux repères anatomiques fondamentaux</w:t>
      </w:r>
    </w:p>
    <w:p>
      <w:pPr>
        <w:pStyle w:val="Heading2"/>
      </w:pPr>
      <w:r>
        <w:t>16.1. Le diaphragme</w:t>
      </w:r>
    </w:p>
    <w:p>
      <w:r>
        <w:t>Les deux coupoles diaphragmatiques ne se trouvent pas à la même hauteur. La coupole droite est généralement plus haute que la gauche, notamment en raison de la présence du foie. Cette asymétrie doit être respectée dans la cartographie du diaphragme et des viscères qui entretiennent avec lui des rapports directs ou indirects.</w:t>
      </w:r>
    </w:p>
    <w:p>
      <w:pPr>
        <w:pStyle w:val="Heading2"/>
      </w:pPr>
      <w:r>
        <w:t>16.2. Le péritoine</w:t>
      </w:r>
    </w:p>
    <w:p>
      <w:r>
        <w:t>Le péritoine constitue une interface majeure entre les viscères et les parois. Par ses replis, ses mésos, ses ligaments et ses rapports, il participe à la suspension des organes, à leurs plans de glissement, aux rapports vasculaires et nerveux et à l’organisation des espaces abdominaux et pelviens. Dans le raisonnement clinique proposé, il appartient pleinement au niveau 3 de la régulation viscérale loco-régionale.</w:t>
      </w:r>
    </w:p>
    <w:p>
      <w:pPr>
        <w:pStyle w:val="Heading1"/>
      </w:pPr>
      <w:r>
        <w:t>17. Terminologie</w:t>
      </w:r>
    </w:p>
    <w:p>
      <w:r>
        <w:t>Dans un souci de clarté et de cohérence anatomique, nous adopterons les termes suivants :</w:t>
      </w:r>
    </w:p>
    <w:p>
      <w:pPr>
        <w:pStyle w:val="ListBullet"/>
        <w:spacing w:after="50"/>
      </w:pPr>
      <w:r>
        <w:t>dorsalement, à la place de « postérieurement » lorsque l’orientation corporelle le justifie ;</w:t>
      </w:r>
    </w:p>
    <w:p>
      <w:pPr>
        <w:pStyle w:val="ListBullet"/>
        <w:spacing w:after="50"/>
      </w:pPr>
      <w:r>
        <w:t>ventralement, à la place de « antérieurement » ;</w:t>
      </w:r>
    </w:p>
    <w:p>
      <w:pPr>
        <w:pStyle w:val="ListBullet"/>
        <w:spacing w:after="50"/>
      </w:pPr>
      <w:r>
        <w:t>latéralement, à la place de « extérieurement » ;</w:t>
      </w:r>
    </w:p>
    <w:p>
      <w:pPr>
        <w:pStyle w:val="ListBullet"/>
        <w:spacing w:after="50"/>
      </w:pPr>
      <w:r>
        <w:t>médialement, à la place de « intérieurement » ;</w:t>
      </w:r>
    </w:p>
    <w:p>
      <w:pPr>
        <w:pStyle w:val="ListBullet"/>
        <w:spacing w:after="50"/>
      </w:pPr>
      <w:r>
        <w:t>céphaliquement, à la place de « vers le haut » ;</w:t>
      </w:r>
    </w:p>
    <w:p>
      <w:pPr>
        <w:pStyle w:val="ListBullet"/>
        <w:spacing w:after="50"/>
      </w:pPr>
      <w:r>
        <w:t>caudalement, à la place de « vers le bas » ;</w:t>
      </w:r>
    </w:p>
    <w:p>
      <w:pPr>
        <w:pStyle w:val="ListBullet"/>
        <w:spacing w:after="50"/>
      </w:pPr>
      <w:r>
        <w:t>frontalement, pour décrire une orientation dans le plan frontal ;</w:t>
      </w:r>
    </w:p>
    <w:p>
      <w:pPr>
        <w:pStyle w:val="ListBullet"/>
        <w:spacing w:after="50"/>
      </w:pPr>
      <w:r>
        <w:t>sagittalement, pour décrire une orientation dans le plan sagittal.</w:t>
      </w:r>
    </w:p>
    <w:p>
      <w:pPr>
        <w:pStyle w:val="Heading1"/>
      </w:pPr>
      <w:r>
        <w:t>18. Plan-type des chapitres</w:t>
      </w:r>
    </w:p>
    <w:p>
      <w:pPr>
        <w:pStyle w:val="Heading2"/>
      </w:pPr>
      <w:r>
        <w:t>18.1. Présentation</w:t>
      </w:r>
    </w:p>
    <w:p>
      <w:r>
        <w:t>Situe l’organe dans le raisonnement général du livre et précise son intérêt clinique.</w:t>
      </w:r>
    </w:p>
    <w:p>
      <w:pPr>
        <w:pStyle w:val="Heading2"/>
      </w:pPr>
      <w:r>
        <w:t>18.2. Situation</w:t>
      </w:r>
    </w:p>
    <w:p>
      <w:r>
        <w:t>Localise l’organe dans la cavité concernée et définit ses principaux repères.</w:t>
      </w:r>
    </w:p>
    <w:p>
      <w:pPr>
        <w:pStyle w:val="Heading2"/>
      </w:pPr>
      <w:r>
        <w:t>18.3. Anatomie</w:t>
      </w:r>
    </w:p>
    <w:p>
      <w:r>
        <w:t>Décrit sa forme, ses parties constitutives et ses caractéristiques essentielles.</w:t>
      </w:r>
    </w:p>
    <w:p>
      <w:pPr>
        <w:pStyle w:val="Heading2"/>
      </w:pPr>
      <w:r>
        <w:t>18.4. Rapports</w:t>
      </w:r>
    </w:p>
    <w:p>
      <w:r>
        <w:t>Présente ses relations avec les organes voisins, les parois, les fascias, les muscles, les ligaments et les structures vasculo-nerveuses.</w:t>
      </w:r>
    </w:p>
    <w:p>
      <w:pPr>
        <w:pStyle w:val="Heading2"/>
      </w:pPr>
      <w:r>
        <w:t>18.5. Vascularisation</w:t>
      </w:r>
    </w:p>
    <w:p>
      <w:r>
        <w:t>Décrit les principaux axes artériels, veineux et, lorsque cela est pertinent, lymphatiques.</w:t>
      </w:r>
    </w:p>
    <w:p>
      <w:pPr>
        <w:pStyle w:val="Heading2"/>
      </w:pPr>
      <w:r>
        <w:t>18.6. Innervation</w:t>
      </w:r>
    </w:p>
    <w:p>
      <w:r>
        <w:t>Présente les voies sympathiques et parasympathiques, les plexus, les afférences viscérales et les niveaux médullaires associés.</w:t>
      </w:r>
    </w:p>
    <w:p>
      <w:pPr>
        <w:pStyle w:val="Heading2"/>
      </w:pPr>
      <w:r>
        <w:t>18.7. Physiologie</w:t>
      </w:r>
    </w:p>
    <w:p>
      <w:r>
        <w:t>Rappelle les fonctions principales de l’organe et leur régulation.</w:t>
      </w:r>
    </w:p>
    <w:p>
      <w:pPr>
        <w:pStyle w:val="Heading2"/>
      </w:pPr>
      <w:r>
        <w:t>18.8. Pathologies courantes</w:t>
      </w:r>
    </w:p>
    <w:p>
      <w:r>
        <w:t>Fournit des repères de compréhension, de diagnostic d’exclusion et de prudence. La ROP ne se substitue pas au diagnostic médical.</w:t>
      </w:r>
    </w:p>
    <w:p>
      <w:pPr>
        <w:pStyle w:val="Heading2"/>
      </w:pPr>
      <w:r>
        <w:t>18.9. Zones réflexes podales</w:t>
      </w:r>
    </w:p>
    <w:p>
      <w:r>
        <w:t>Décrit la cartographie clinique ROP et, lorsque cela est possible, la met en regard des nerfs, branches, racines et ponts neuro-anatomiques candidats.</w:t>
      </w:r>
    </w:p>
    <w:p>
      <w:pPr>
        <w:pStyle w:val="Heading2"/>
      </w:pPr>
      <w:r>
        <w:t>18.10. Relations viscéro-somatiques</w:t>
      </w:r>
    </w:p>
    <w:p>
      <w:r>
        <w:t>Décrit les convergences et projections possibles entre l’organe, les niveaux médullaires, les muscles, les articulations et les territoires douloureux associés.</w:t>
      </w:r>
    </w:p>
    <w:p>
      <w:pPr>
        <w:pStyle w:val="Heading2"/>
      </w:pPr>
      <w:r>
        <w:t>18.11. Relations viscéro-émotionnelles</w:t>
      </w:r>
    </w:p>
    <w:p>
      <w:r>
        <w:t>Propose une lecture prudente des relations entre les états émotionnels, la perception corporelle, la régulation autonome et les symptômes.</w:t>
      </w:r>
    </w:p>
    <w:p>
      <w:pPr>
        <w:pStyle w:val="Heading2"/>
      </w:pPr>
      <w:r>
        <w:t>18.12. Cas cliniques</w:t>
      </w:r>
    </w:p>
    <w:p>
      <w:r>
        <w:t>Montre comment les données anatomiques, la cartographie, l’anamnèse, les tests et la réponse au traitement sont intégrés chez des patients réels.</w:t>
      </w:r>
    </w:p>
    <w:p>
      <w:pPr>
        <w:pStyle w:val="Heading2"/>
      </w:pPr>
      <w:r>
        <w:t>18.13. Conseils</w:t>
      </w:r>
    </w:p>
    <w:p>
      <w:r>
        <w:t>Complète la séance par des mesures simples et adaptées : repos relatif, hydratation, activité physique adaptée, alimentation, sommeil, suivi des symptômes et consultation médicale si nécessaire.</w:t>
      </w:r>
    </w:p>
    <w:p>
      <w:pPr>
        <w:pStyle w:val="Heading1"/>
      </w:pPr>
      <w:r>
        <w:t>19. Observer, mesurer et réévaluer</w:t>
      </w:r>
    </w:p>
    <w:p>
      <w:r>
        <w:t>Une méthode clinique cohérente doit pouvoir être réévaluée.</w:t>
      </w:r>
    </w:p>
    <w:p>
      <w:pPr>
        <w:pStyle w:val="Heading2"/>
      </w:pPr>
      <w:r>
        <w:t>19.1. Avant la séance</w:t>
      </w:r>
    </w:p>
    <w:p>
      <w:pPr>
        <w:pStyle w:val="ListBullet"/>
        <w:spacing w:after="50"/>
      </w:pPr>
      <w:r>
        <w:t>symptôme principal ;</w:t>
      </w:r>
    </w:p>
    <w:p>
      <w:pPr>
        <w:pStyle w:val="ListBullet"/>
        <w:spacing w:after="50"/>
      </w:pPr>
      <w:r>
        <w:t>intensité, ancienneté et retentissement fonctionnel ;</w:t>
      </w:r>
    </w:p>
    <w:p>
      <w:pPr>
        <w:pStyle w:val="ListBullet"/>
        <w:spacing w:after="50"/>
      </w:pPr>
      <w:r>
        <w:t>facteurs aggravants ou améliorants ;</w:t>
      </w:r>
    </w:p>
    <w:p>
      <w:pPr>
        <w:pStyle w:val="ListBullet"/>
        <w:spacing w:after="50"/>
      </w:pPr>
      <w:r>
        <w:t>sommeil, transit, fatigue, mobilité, activité ou fonction viscérale ;</w:t>
      </w:r>
    </w:p>
    <w:p>
      <w:pPr>
        <w:pStyle w:val="ListBullet"/>
        <w:spacing w:after="50"/>
      </w:pPr>
      <w:r>
        <w:t>éléments médicaux pertinents et signes nécessitant une orientation.</w:t>
      </w:r>
    </w:p>
    <w:p>
      <w:pPr>
        <w:pStyle w:val="Heading2"/>
      </w:pPr>
      <w:r>
        <w:t>19.2. Pendant la séance</w:t>
      </w:r>
    </w:p>
    <w:p>
      <w:pPr>
        <w:pStyle w:val="ListBullet"/>
        <w:spacing w:after="50"/>
      </w:pPr>
      <w:r>
        <w:t>tolérance au toucher ;</w:t>
      </w:r>
    </w:p>
    <w:p>
      <w:pPr>
        <w:pStyle w:val="ListBullet"/>
        <w:spacing w:after="50"/>
      </w:pPr>
      <w:r>
        <w:t>zones et niveaux réellement travaillés ;</w:t>
      </w:r>
    </w:p>
    <w:p>
      <w:pPr>
        <w:pStyle w:val="ListBullet"/>
        <w:spacing w:after="50"/>
      </w:pPr>
      <w:r>
        <w:t>profondeur et type de stimulation ;</w:t>
      </w:r>
    </w:p>
    <w:p>
      <w:pPr>
        <w:pStyle w:val="ListBullet"/>
        <w:spacing w:after="50"/>
      </w:pPr>
      <w:r>
        <w:t>modifications du tonus et de la respiration ;</w:t>
      </w:r>
    </w:p>
    <w:p>
      <w:pPr>
        <w:pStyle w:val="ListBullet"/>
        <w:spacing w:after="50"/>
      </w:pPr>
      <w:r>
        <w:t>réactions végétatives ;</w:t>
      </w:r>
    </w:p>
    <w:p>
      <w:pPr>
        <w:pStyle w:val="ListBullet"/>
        <w:spacing w:after="50"/>
      </w:pPr>
      <w:r>
        <w:t>évolution des tests ;</w:t>
      </w:r>
    </w:p>
    <w:p>
      <w:pPr>
        <w:pStyle w:val="ListBullet"/>
        <w:spacing w:after="50"/>
      </w:pPr>
      <w:r>
        <w:t>signes inhabituels.</w:t>
      </w:r>
    </w:p>
    <w:p>
      <w:pPr>
        <w:pStyle w:val="Heading2"/>
      </w:pPr>
      <w:r>
        <w:t>19.3. Après la séance et dans les jours suivants</w:t>
      </w:r>
    </w:p>
    <w:p>
      <w:pPr>
        <w:pStyle w:val="ListBullet"/>
        <w:spacing w:after="50"/>
      </w:pPr>
      <w:r>
        <w:t>symptôme principal ;</w:t>
      </w:r>
    </w:p>
    <w:p>
      <w:pPr>
        <w:pStyle w:val="ListBullet"/>
        <w:spacing w:after="50"/>
      </w:pPr>
      <w:r>
        <w:t>douleur ou gêne ;</w:t>
      </w:r>
    </w:p>
    <w:p>
      <w:pPr>
        <w:pStyle w:val="ListBullet"/>
        <w:spacing w:after="50"/>
      </w:pPr>
      <w:r>
        <w:t>mobilité ;</w:t>
      </w:r>
    </w:p>
    <w:p>
      <w:pPr>
        <w:pStyle w:val="ListBullet"/>
        <w:spacing w:after="50"/>
      </w:pPr>
      <w:r>
        <w:t>sommeil ;</w:t>
      </w:r>
    </w:p>
    <w:p>
      <w:pPr>
        <w:pStyle w:val="ListBullet"/>
        <w:spacing w:after="50"/>
      </w:pPr>
      <w:r>
        <w:t>transit et diurèse ;</w:t>
      </w:r>
    </w:p>
    <w:p>
      <w:pPr>
        <w:pStyle w:val="ListBullet"/>
        <w:spacing w:after="50"/>
      </w:pPr>
      <w:r>
        <w:t>fatigue ;</w:t>
      </w:r>
    </w:p>
    <w:p>
      <w:pPr>
        <w:pStyle w:val="ListBullet"/>
        <w:spacing w:after="50"/>
      </w:pPr>
      <w:r>
        <w:t>capacités fonctionnelles ;</w:t>
      </w:r>
    </w:p>
    <w:p>
      <w:pPr>
        <w:pStyle w:val="ListBullet"/>
        <w:spacing w:after="50"/>
      </w:pPr>
      <w:r>
        <w:t>durée et cinétique de la récupération.</w:t>
      </w:r>
    </w:p>
    <w:p>
      <w:r>
        <w:t>Une amélioration immédiate n’est pas toujours durable. À l’inverse, certaines évolutions apparaissent progressivement. Une aggravation intense, prolongée ou accompagnée de signes inhabituels impose une réévaluation et, lorsque le contexte le nécessite, une orientation médicale.</w:t>
      </w:r>
    </w:p>
    <w:p>
      <w:pPr>
        <w:pStyle w:val="Heading1"/>
      </w:pPr>
      <w:r>
        <w:t>20. À retenir</w:t>
      </w:r>
    </w:p>
    <w:p>
      <w:r>
        <w:t>Ce troisième volume ne présente pas seulement une nouvelle série de cartographies viscérales. Il propose une façon de relier la pratique clinique à l’anatomie et à la neurophysiologie.</w:t>
      </w:r>
    </w:p>
    <w:p>
      <w:r>
        <w:t>Deux grilles structurent l’ensemble de l’ouvrage :</w:t>
      </w:r>
    </w:p>
    <w:p>
      <w:pPr>
        <w:pStyle w:val="ListBullet"/>
        <w:spacing w:after="50"/>
      </w:pPr>
      <w:r>
        <w:t>une séquence clinique en quatre niveaux : régulation des centres supérieurs, régulation neuro-végétative et adaptation, régulation viscérale loco-régionale, puis intégration viscéro-somatique et viscéro-émotionnelle ;</w:t>
      </w:r>
    </w:p>
    <w:p>
      <w:pPr>
        <w:pStyle w:val="ListBullet"/>
        <w:spacing w:after="50"/>
      </w:pPr>
      <w:r>
        <w:t>une lecture neuro-anatomique des portes somatiques et des ponts périphériques, spinaux, intersegmentaires et supraspinaux susceptibles de participer à une modulation viscérale.</w:t>
      </w:r>
    </w:p>
    <w:p>
      <w:r>
        <w:t>La première organise le raisonnement clinique de Guy ; la seconde permet d’interroger les mécanismes et de hiérarchiser les hypothèses. Ces deux lectures ne se superposent pas terme à terme : une même structure peut participer à plusieurs niveaux fonctionnels. Ensemble, elles conduisent à considérer la cartographie ROP non comme une série de connexions fixes entre points et organes, mais comme un ensemble de repères cliniques et d’hypothèses neuro-anatomiques susceptibles d’être comparés, mesurés et progressivement affinés.</w:t>
      </w:r>
    </w:p>
    <w:p>
      <w:pPr>
        <w:shd w:fill="F3EEE4"/>
        <w:spacing w:before="120" w:after="140"/>
        <w:ind w:left="142" w:right="142"/>
      </w:pPr>
      <w:r>
        <w:t>Le but ultime reste le patient : comprendre davantage pour choisir plus justement, traiter avec prudence, observer ce qui change et rendre la méthode accessible à ceux qui peuvent en bénéficier.</w:t>
      </w:r>
    </w:p>
    <w:p>
      <w:pPr>
        <w:pStyle w:val="Heading1"/>
      </w:pPr>
      <w:r>
        <w:t>Bibliographie sélective du chapitre 0</w:t>
      </w:r>
    </w:p>
    <w:p>
      <w:pPr>
        <w:spacing w:after="10" w:line="228" w:lineRule="auto"/>
        <w:ind w:left="181" w:hanging="181"/>
      </w:pPr>
      <w:r>
        <w:rPr>
          <w:sz w:val="17"/>
        </w:rPr>
        <w:t>1. Standring S, ed. Gray’s Anatomy: The Anatomical Basis of Clinical Practice. 42nd ed. Elsevier; 2020.</w:t>
      </w:r>
    </w:p>
    <w:p>
      <w:pPr>
        <w:spacing w:after="10" w:line="228" w:lineRule="auto"/>
        <w:ind w:left="181" w:hanging="181"/>
      </w:pPr>
      <w:r>
        <w:rPr>
          <w:sz w:val="17"/>
        </w:rPr>
        <w:t>2. Kennedy PM, Inglis JT. Distribution and behaviour of glabrous cutaneous receptors in the human foot sole. J Physiol. 2002;538(Pt 3):995–1002. doi:10.1113/jphysiol.2001.013087.</w:t>
      </w:r>
    </w:p>
    <w:p>
      <w:pPr>
        <w:spacing w:after="10" w:line="228" w:lineRule="auto"/>
        <w:ind w:left="181" w:hanging="181"/>
      </w:pPr>
      <w:r>
        <w:rPr>
          <w:sz w:val="17"/>
        </w:rPr>
        <w:t>3. Strzalkowski NDJ, Peters RM, Inglis JT, Bent LR. Cutaneous afferent innervation of the human foot sole: what can we learn from single-unit recordings? J Neurophysiol. 2018;120(3):1233–1246. doi:10.1152/jn.00848.2017.</w:t>
      </w:r>
    </w:p>
    <w:p>
      <w:pPr>
        <w:spacing w:after="10" w:line="228" w:lineRule="auto"/>
        <w:ind w:left="181" w:hanging="181"/>
      </w:pPr>
      <w:r>
        <w:rPr>
          <w:sz w:val="17"/>
        </w:rPr>
        <w:t>4. de Souza Faleiros AT, de Lima Resende LA, Zanini MA, de Lima Castro HA, Colichio Gabarra R. L4-L5-S1 human dermatomes: a clinical, electromyographical, imaging and surgical findings. Arq Neuropsiquiatr. 2009;67(2A):265–267. doi:10.1590/S0004-282X2009000200017.</w:t>
      </w:r>
    </w:p>
    <w:p>
      <w:pPr>
        <w:spacing w:after="10" w:line="228" w:lineRule="auto"/>
        <w:ind w:left="181" w:hanging="181"/>
      </w:pPr>
      <w:r>
        <w:rPr>
          <w:sz w:val="17"/>
        </w:rPr>
        <w:t>5. Deniel C, Guenoun D, Guillin R, Moraux A, Champsaur P, Le Corroller T. Anatomical study of the medial calcaneal nerve using high-resolution ultrasound. Eur Radiol. 2023;33(10):7330–7337. doi:10.1007/s00330-023-09699-6.</w:t>
      </w:r>
    </w:p>
    <w:p>
      <w:pPr>
        <w:spacing w:after="10" w:line="228" w:lineRule="auto"/>
        <w:ind w:left="181" w:hanging="181"/>
      </w:pPr>
      <w:r>
        <w:rPr>
          <w:sz w:val="17"/>
        </w:rPr>
        <w:t>6. Andreasen Struijk LNS, Birn H, Teglbjærg PS, Haase J, Struijk JJ. Size and separability of the calcaneal and the medial and lateral plantar nerves in the distal tibial nerve. Anat Sci Int. 2010;85(1):13–22. doi:10.1007/s12565-009-0045-y.</w:t>
      </w:r>
    </w:p>
    <w:p>
      <w:pPr>
        <w:spacing w:after="10" w:line="228" w:lineRule="auto"/>
        <w:ind w:left="181" w:hanging="181"/>
      </w:pPr>
      <w:r>
        <w:rPr>
          <w:sz w:val="17"/>
        </w:rPr>
        <w:t>7. Fowler CJ, Griffiths D, de Groat WC. The neural control of micturition. Nat Rev Neurosci. 2008;9(6):453–466. doi:10.1038/nrn2401.</w:t>
      </w:r>
    </w:p>
    <w:p>
      <w:pPr>
        <w:spacing w:after="10" w:line="228" w:lineRule="auto"/>
        <w:ind w:left="181" w:hanging="181"/>
      </w:pPr>
      <w:r>
        <w:rPr>
          <w:sz w:val="17"/>
        </w:rPr>
        <w:t>8. Shefchyk SJ. Spinal cord neural organization controlling the urinary bladder and striated sphincter. Prog Brain Res. 2002;137:71–82. doi:10.1016/S0079-6123(02)37008-0.</w:t>
      </w:r>
    </w:p>
    <w:p>
      <w:pPr>
        <w:spacing w:after="10" w:line="228" w:lineRule="auto"/>
        <w:ind w:left="181" w:hanging="181"/>
      </w:pPr>
      <w:r>
        <w:rPr>
          <w:sz w:val="17"/>
        </w:rPr>
        <w:t>9. de Groat WC, Vizzard MA, Araki I, Roppolo J. Spinal interneurons and preganglionic neurons in sacral autonomic reflex pathways. Prog Brain Res. 1996;107:97–111. doi:10.1016/S0079-6123(08)61860-9.</w:t>
      </w:r>
    </w:p>
    <w:p>
      <w:pPr>
        <w:spacing w:after="10" w:line="228" w:lineRule="auto"/>
        <w:ind w:left="181" w:hanging="181"/>
      </w:pPr>
      <w:r>
        <w:rPr>
          <w:sz w:val="17"/>
        </w:rPr>
        <w:t>10. Yecies T, Li S, Zhang Y, Cai H, Shen B, Wang J, et al. Spinal interneuronal mechanisms underlying pudendal and tibial neuromodulation of bladder function in cats. Exp Neurol. 2018;308:100–110. doi:10.1016/j.expneurol.2018.06.015.</w:t>
      </w:r>
    </w:p>
    <w:p>
      <w:pPr>
        <w:spacing w:after="10" w:line="228" w:lineRule="auto"/>
        <w:ind w:left="181" w:hanging="181"/>
      </w:pPr>
      <w:r>
        <w:rPr>
          <w:sz w:val="17"/>
        </w:rPr>
        <w:t>11. Griffiths D. Neural control of micturition in humans: a working model. Nat Rev Urol. 2015;12(12):695–705. doi:10.1038/nrurol.2015.266.</w:t>
      </w:r>
    </w:p>
    <w:p>
      <w:pPr>
        <w:spacing w:after="10" w:line="228" w:lineRule="auto"/>
        <w:ind w:left="181" w:hanging="181"/>
      </w:pPr>
      <w:r>
        <w:rPr>
          <w:sz w:val="17"/>
        </w:rPr>
        <w:t>12. de Rijk MM, Fernández Chadily S, Knops A, Schoutens Y, Verstegen AMJ. The periaqueductal gray and its role in the neural control of lower urinary tract function. Auton Neurosci. 2026;265:103413. doi:10.1016/j.autneu.2026.103413.</w:t>
      </w:r>
    </w:p>
    <w:p>
      <w:pPr>
        <w:spacing w:after="10" w:line="228" w:lineRule="auto"/>
        <w:ind w:left="181" w:hanging="181"/>
      </w:pPr>
      <w:r>
        <w:rPr>
          <w:sz w:val="17"/>
        </w:rPr>
        <w:t>13. Krhut J, Tintěra J, Rejchrt M, Skugarevská B, Zachoval R, Zvara P, et al. Differences between brain responses to peroneal electrical transcutaneous neuromodulation and transcutaneous tibial nerve stimulation, two treatments for overactive bladder. Neurourol Urodyn. 2023;42(6):1352–1361. doi:10.1002/nau.25197.</w:t>
      </w:r>
    </w:p>
    <w:p>
      <w:pPr>
        <w:spacing w:after="10" w:line="228" w:lineRule="auto"/>
        <w:ind w:left="181" w:hanging="181"/>
      </w:pPr>
      <w:r>
        <w:rPr>
          <w:sz w:val="17"/>
        </w:rPr>
        <w:t>14. Strzalkowski NDJ, Incognito AV, Bent LR, Millar PJ. Cutaneous mechanoreceptor feedback from the hand and foot can modulate muscle sympathetic nerve activity. Front Neurosci. 2016;10:568. doi:10.3389/fnins.2016.00568.</w:t>
      </w:r>
    </w:p>
    <w:p>
      <w:pPr>
        <w:spacing w:after="10" w:line="228" w:lineRule="auto"/>
        <w:ind w:left="181" w:hanging="181"/>
      </w:pPr>
      <w:r>
        <w:rPr>
          <w:sz w:val="17"/>
        </w:rPr>
        <w:t>15. Brierley SM, Hibberd TJ, Spencer NJ. Spinal afferent innervation of the colon and rectum. Front Cell Neurosci. 2018;12:467. doi:10.3389/fncel.2018.00467.</w:t>
      </w:r>
    </w:p>
    <w:p>
      <w:pPr>
        <w:spacing w:after="10" w:line="228" w:lineRule="auto"/>
        <w:ind w:left="181" w:hanging="181"/>
      </w:pPr>
      <w:r>
        <w:rPr>
          <w:sz w:val="17"/>
        </w:rPr>
        <w:t>16. Li X, Li X, Liao L. Mechanism of action of tibial nerve stimulation in the treatment of lower urinary tract dysfunction. Neuromodulation. 2024;27(2):256–266. doi:10.1016/j.neurom.2023.03.017.</w:t>
      </w:r>
    </w:p>
    <w:p>
      <w:pPr>
        <w:spacing w:after="10" w:line="228" w:lineRule="auto"/>
        <w:ind w:left="181" w:hanging="181"/>
      </w:pPr>
      <w:r>
        <w:rPr>
          <w:sz w:val="17"/>
        </w:rPr>
        <w:t>17. Sato A, Sato Y, Schmidt RF. The impact of somatosensory input on autonomic functions. Rev Physiol Biochem Pharmacol. 1997;130:1–328. doi:10.1007/BFb0046598.</w:t>
      </w:r>
    </w:p>
    <w:p>
      <w:pPr>
        <w:spacing w:after="10" w:line="228" w:lineRule="auto"/>
        <w:ind w:left="181" w:hanging="181"/>
      </w:pPr>
      <w:r>
        <w:rPr>
          <w:sz w:val="17"/>
        </w:rPr>
        <w:t>18. Jänig W. Neurobiology of visceral afferent neurons: neuroanatomy, functions, organ regulations and sensations. Biol Psychol. 1996;42(1–2):29–51. doi:10.1016/0301-0511(95)05145-7.</w:t>
      </w:r>
    </w:p>
    <w:p>
      <w:pPr>
        <w:spacing w:after="10" w:line="228" w:lineRule="auto"/>
        <w:ind w:left="181" w:hanging="181"/>
      </w:pPr>
      <w:r>
        <w:rPr>
          <w:sz w:val="17"/>
        </w:rPr>
        <w:t>19. Panicker JN, Marcelissen T, von Gontard A, Vrijens D, Abrams P, Wyndaele M. Bladder-bowel interactions: do we understand pelvic organ cross-sensitization? International Consultation on Incontinence Research Society (ICI-RS) 2018. Neurourol Urodyn. 2019;38(Suppl 5):S25–S34. doi:10.1002/nau.24111.</w:t>
      </w:r>
    </w:p>
    <w:p>
      <w:pPr>
        <w:spacing w:after="10" w:line="228" w:lineRule="auto"/>
        <w:ind w:left="181" w:hanging="181"/>
      </w:pPr>
      <w:r>
        <w:rPr>
          <w:sz w:val="17"/>
        </w:rPr>
        <w:t>20. Malykhina AP. Neural mechanisms of pelvic organ cross-sensitization. Neuroscience. 2007;149(3):660–672. doi:10.1016/j.neuroscience.2007.07.053.</w:t>
      </w:r>
    </w:p>
    <w:p>
      <w:pPr>
        <w:spacing w:after="10" w:line="228" w:lineRule="auto"/>
        <w:ind w:left="181" w:hanging="181"/>
      </w:pPr>
      <w:r>
        <w:rPr>
          <w:sz w:val="17"/>
        </w:rPr>
        <w:t>21. Christianson JA, Liang R, Ustinova EE, Davis BM, Fraser MO, Pezzone MA. Convergence of bladder and colon sensory innervation occurs at the primary afferent level. Pain. 2007;128(3):235–243. doi:10.1016/j.pain.2006.09.023.</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A8F8C"/>
        <w:sz w:val="17"/>
      </w:rPr>
      <w:t>Chapitre 0 — Introduction | Réflexothérapie occipito-podale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B1842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B1842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D5A6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23313A"/>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ncadre">
    <w:name w:val="Encadre"/>
    <w:pPr>
      <w:spacing w:before="100" w:after="140"/>
      <w:ind w:left="283" w:right="283"/>
    </w:pPr>
    <w:rPr>
      <w:rFonts w:ascii="Aptos" w:hAnsi="Aptos"/>
      <w:i/>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