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8D5AC" w14:textId="77777777" w:rsidR="0078516B" w:rsidRPr="00A52725" w:rsidRDefault="00000000">
      <w:pPr>
        <w:pStyle w:val="Title"/>
        <w:keepNext/>
        <w:spacing w:after="260"/>
        <w:rPr>
          <w:lang w:val="fr-FR"/>
        </w:rPr>
      </w:pPr>
      <w:r w:rsidRPr="00A52725">
        <w:rPr>
          <w:b/>
          <w:bCs/>
          <w:color w:val="1B5E3F"/>
          <w:sz w:val="44"/>
          <w:szCs w:val="44"/>
          <w:lang w:val="fr-FR"/>
        </w:rPr>
        <w:t>Chapitre 0 — Introduction</w:t>
      </w:r>
    </w:p>
    <w:p w14:paraId="350A037F" w14:textId="77B615DD" w:rsidR="0078516B" w:rsidRPr="00A52725" w:rsidRDefault="00000000">
      <w:pPr>
        <w:spacing w:after="140" w:line="276" w:lineRule="auto"/>
        <w:jc w:val="both"/>
        <w:rPr>
          <w:lang w:val="fr-FR"/>
        </w:rPr>
      </w:pPr>
      <w:r w:rsidRPr="00A52725">
        <w:rPr>
          <w:b/>
          <w:bCs/>
          <w:color w:val="1A1A1A"/>
          <w:lang w:val="fr-FR"/>
        </w:rPr>
        <w:t xml:space="preserve">Le fil conducteur </w:t>
      </w:r>
      <w:r w:rsidR="00A52725">
        <w:rPr>
          <w:b/>
          <w:bCs/>
          <w:color w:val="1A1A1A"/>
          <w:lang w:val="fr-FR"/>
        </w:rPr>
        <w:t xml:space="preserve">de ce </w:t>
      </w:r>
      <w:r w:rsidRPr="00A52725">
        <w:rPr>
          <w:b/>
          <w:bCs/>
          <w:color w:val="1A1A1A"/>
          <w:lang w:val="fr-FR"/>
        </w:rPr>
        <w:t>volume</w:t>
      </w:r>
    </w:p>
    <w:p w14:paraId="5C34FB13" w14:textId="77777777" w:rsidR="0078516B" w:rsidRPr="00A52725" w:rsidRDefault="00000000">
      <w:pPr>
        <w:spacing w:after="140" w:line="276" w:lineRule="auto"/>
        <w:jc w:val="both"/>
        <w:rPr>
          <w:lang w:val="fr-FR"/>
        </w:rPr>
      </w:pPr>
      <w:r w:rsidRPr="00A52725">
        <w:rPr>
          <w:color w:val="1A1A1A"/>
          <w:lang w:val="fr-FR"/>
        </w:rPr>
        <w:t>Ce troisième volume de Réflexothérapie occipito-podale (ROP) prolonge les deux précédents. Après l'étude du système ostéo-musculo-articulaire, puis celle du système neuro-méningé, nous abordons ici le viscéral abdomino-pelvien, le système nerveux autonome et les mécanismes d'adaptation au stress.</w:t>
      </w:r>
    </w:p>
    <w:p w14:paraId="7790DCDE" w14:textId="77777777" w:rsidR="0078516B" w:rsidRPr="00A52725" w:rsidRDefault="00000000">
      <w:pPr>
        <w:spacing w:after="140" w:line="276" w:lineRule="auto"/>
        <w:jc w:val="both"/>
        <w:rPr>
          <w:lang w:val="fr-FR"/>
        </w:rPr>
      </w:pPr>
      <w:r w:rsidRPr="00A52725">
        <w:rPr>
          <w:color w:val="1A1A1A"/>
          <w:lang w:val="fr-FR"/>
        </w:rPr>
        <w:t>L'objectif est d'abord clinique : comprendre ce que l'on palpe, pourquoi une zone est choisie, comment hiérarchiser une séance et comment vérifier ce qui change chez le patient. Le livre associe donc anatomie et physiologie à des cartes pratiques, des repères de palpation et de nombreux cas cliniques.</w:t>
      </w:r>
    </w:p>
    <w:p w14:paraId="0B76301B" w14:textId="77777777" w:rsidR="0078516B" w:rsidRPr="00A52725" w:rsidRDefault="00000000">
      <w:pPr>
        <w:spacing w:after="140" w:line="276" w:lineRule="auto"/>
        <w:jc w:val="both"/>
        <w:rPr>
          <w:lang w:val="fr-FR"/>
        </w:rPr>
      </w:pPr>
      <w:r w:rsidRPr="00A52725">
        <w:rPr>
          <w:color w:val="1A1A1A"/>
          <w:lang w:val="fr-FR"/>
        </w:rPr>
        <w:t>Nous souhaitons également donner à la ROP viscérale des fondations scientifiques plus explicites. Le but n'est pas de présenter comme démontrés tous les mécanismes proposés par la méthode, mais de distinguer ce qui relève de l'anatomie établie, de la neurophysiologie expérimentale, de l'hypothèse clinique et de l'observation.</w:t>
      </w:r>
    </w:p>
    <w:p w14:paraId="50202E3C" w14:textId="77777777" w:rsidR="0078516B" w:rsidRPr="00A52725" w:rsidRDefault="00000000">
      <w:pPr>
        <w:spacing w:after="140" w:line="276" w:lineRule="auto"/>
        <w:jc w:val="both"/>
        <w:rPr>
          <w:lang w:val="fr-FR"/>
        </w:rPr>
      </w:pPr>
      <w:r w:rsidRPr="00A52725">
        <w:rPr>
          <w:color w:val="1A1A1A"/>
          <w:lang w:val="fr-FR"/>
        </w:rPr>
        <w:t>Cette introduction pose les repères. Chacun des thèmes abordés ici est développé dans les chapitres correspondants : la séquence clinique au chapitre 2, les fondements neuro-anatomiques dans la partie II, le stress et la régulation dans la partie III.</w:t>
      </w:r>
    </w:p>
    <w:p w14:paraId="7D9A9700"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1. Ce que ce livre cherche à apporter</w:t>
      </w:r>
    </w:p>
    <w:p w14:paraId="2E9FC7B9" w14:textId="77777777" w:rsidR="0078516B" w:rsidRPr="00A52725" w:rsidRDefault="00000000">
      <w:pPr>
        <w:spacing w:after="140" w:line="276" w:lineRule="auto"/>
        <w:jc w:val="both"/>
        <w:rPr>
          <w:lang w:val="fr-FR"/>
        </w:rPr>
      </w:pPr>
      <w:r w:rsidRPr="00A52725">
        <w:rPr>
          <w:color w:val="1A1A1A"/>
          <w:lang w:val="fr-FR"/>
        </w:rPr>
        <w:t>Ce volume n'est pas conçu comme un simple atlas d'organes. Il propose une méthode de raisonnement applicable au patient réel, avec ses symptômes, son histoire, ses antécédents, ses contraintes loco-régionales, son état autonome et son contexte émotionnel.</w:t>
      </w:r>
    </w:p>
    <w:p w14:paraId="42BDCD43" w14:textId="77777777" w:rsidR="0078516B" w:rsidRPr="00A52725" w:rsidRDefault="00000000">
      <w:pPr>
        <w:pStyle w:val="ListParagraph"/>
        <w:numPr>
          <w:ilvl w:val="0"/>
          <w:numId w:val="2"/>
        </w:numPr>
        <w:spacing w:after="80" w:line="276" w:lineRule="auto"/>
        <w:jc w:val="both"/>
        <w:rPr>
          <w:lang w:val="fr-FR"/>
        </w:rPr>
      </w:pPr>
      <w:r w:rsidRPr="00A52725">
        <w:rPr>
          <w:color w:val="1A1A1A"/>
          <w:lang w:val="fr-FR"/>
        </w:rPr>
        <w:t>Une séquence clinique simple en quatre niveaux pour organiser et hiérarchiser la séance.</w:t>
      </w:r>
    </w:p>
    <w:p w14:paraId="06786101" w14:textId="77777777" w:rsidR="0078516B" w:rsidRPr="00A52725" w:rsidRDefault="00000000">
      <w:pPr>
        <w:pStyle w:val="ListParagraph"/>
        <w:numPr>
          <w:ilvl w:val="0"/>
          <w:numId w:val="2"/>
        </w:numPr>
        <w:spacing w:after="80" w:line="276" w:lineRule="auto"/>
        <w:jc w:val="both"/>
        <w:rPr>
          <w:lang w:val="fr-FR"/>
        </w:rPr>
      </w:pPr>
      <w:r w:rsidRPr="00A52725">
        <w:rPr>
          <w:color w:val="1A1A1A"/>
          <w:lang w:val="fr-FR"/>
        </w:rPr>
        <w:t>Des cartes cliniques podales et occipitales utilisables en pratique, avec des repères anatomiques reproductibles.</w:t>
      </w:r>
    </w:p>
    <w:p w14:paraId="532E18C9" w14:textId="77777777" w:rsidR="0078516B" w:rsidRPr="00A52725" w:rsidRDefault="00000000">
      <w:pPr>
        <w:pStyle w:val="ListParagraph"/>
        <w:numPr>
          <w:ilvl w:val="0"/>
          <w:numId w:val="2"/>
        </w:numPr>
        <w:spacing w:after="80" w:line="276" w:lineRule="auto"/>
        <w:jc w:val="both"/>
        <w:rPr>
          <w:lang w:val="fr-FR"/>
        </w:rPr>
      </w:pPr>
      <w:r w:rsidRPr="00A52725">
        <w:rPr>
          <w:color w:val="1A1A1A"/>
          <w:lang w:val="fr-FR"/>
        </w:rPr>
        <w:t xml:space="preserve">Une lecture accessible des relations viscéro-somatiques, </w:t>
      </w:r>
      <w:proofErr w:type="spellStart"/>
      <w:r w:rsidRPr="00A52725">
        <w:rPr>
          <w:color w:val="1A1A1A"/>
          <w:lang w:val="fr-FR"/>
        </w:rPr>
        <w:t>somato</w:t>
      </w:r>
      <w:proofErr w:type="spellEnd"/>
      <w:r w:rsidRPr="00A52725">
        <w:rPr>
          <w:color w:val="1A1A1A"/>
          <w:lang w:val="fr-FR"/>
        </w:rPr>
        <w:t>-viscérales et viscéro-émotionnelles.</w:t>
      </w:r>
    </w:p>
    <w:p w14:paraId="2A79C46B" w14:textId="77777777" w:rsidR="0078516B" w:rsidRPr="00A52725" w:rsidRDefault="00000000">
      <w:pPr>
        <w:pStyle w:val="ListParagraph"/>
        <w:numPr>
          <w:ilvl w:val="0"/>
          <w:numId w:val="2"/>
        </w:numPr>
        <w:spacing w:after="80" w:line="276" w:lineRule="auto"/>
        <w:jc w:val="both"/>
        <w:rPr>
          <w:lang w:val="fr-FR"/>
        </w:rPr>
      </w:pPr>
      <w:r w:rsidRPr="00A52725">
        <w:rPr>
          <w:color w:val="1A1A1A"/>
          <w:lang w:val="fr-FR"/>
        </w:rPr>
        <w:t>Une méthode de palpation et de réévaluation : quoi examiner, quelle zone solliciter, comment adapter le geste et quand arrêter.</w:t>
      </w:r>
    </w:p>
    <w:p w14:paraId="1C70F7D8" w14:textId="77777777" w:rsidR="0078516B" w:rsidRPr="00A52725" w:rsidRDefault="00000000">
      <w:pPr>
        <w:pStyle w:val="ListParagraph"/>
        <w:numPr>
          <w:ilvl w:val="0"/>
          <w:numId w:val="2"/>
        </w:numPr>
        <w:spacing w:after="80" w:line="276" w:lineRule="auto"/>
        <w:jc w:val="both"/>
        <w:rPr>
          <w:lang w:val="fr-FR"/>
        </w:rPr>
      </w:pPr>
      <w:r w:rsidRPr="00A52725">
        <w:rPr>
          <w:color w:val="1A1A1A"/>
          <w:lang w:val="fr-FR"/>
        </w:rPr>
        <w:t>De nombreux cas cliniques pour montrer comment cette grille de lecture se traduit concrètement au cabinet.</w:t>
      </w:r>
    </w:p>
    <w:p w14:paraId="34E0CB13" w14:textId="77777777" w:rsidR="0078516B" w:rsidRPr="00A52725" w:rsidRDefault="00000000">
      <w:pPr>
        <w:pStyle w:val="ListParagraph"/>
        <w:numPr>
          <w:ilvl w:val="0"/>
          <w:numId w:val="2"/>
        </w:numPr>
        <w:spacing w:after="80" w:line="276" w:lineRule="auto"/>
        <w:jc w:val="both"/>
        <w:rPr>
          <w:lang w:val="fr-FR"/>
        </w:rPr>
      </w:pPr>
      <w:r w:rsidRPr="00A52725">
        <w:rPr>
          <w:color w:val="1A1A1A"/>
          <w:lang w:val="fr-FR"/>
        </w:rPr>
        <w:t>Un cadre scientifique permettant de distinguer ce qui est établi, plausible, hypothétique ou simplement observé en pratique.</w:t>
      </w:r>
    </w:p>
    <w:p w14:paraId="2EDB54D2" w14:textId="77777777" w:rsidR="0078516B" w:rsidRPr="00A52725" w:rsidRDefault="0078516B">
      <w:pPr>
        <w:spacing w:after="80"/>
        <w:rPr>
          <w:lang w:val="fr-FR"/>
        </w:rPr>
      </w:pPr>
    </w:p>
    <w:p w14:paraId="2F51C99E" w14:textId="77777777" w:rsidR="0078516B" w:rsidRPr="00A52725" w:rsidRDefault="00000000">
      <w:pPr>
        <w:spacing w:after="140" w:line="276" w:lineRule="auto"/>
        <w:jc w:val="both"/>
        <w:rPr>
          <w:lang w:val="fr-FR"/>
        </w:rPr>
      </w:pPr>
      <w:r w:rsidRPr="00A52725">
        <w:rPr>
          <w:color w:val="1A1A1A"/>
          <w:lang w:val="fr-FR"/>
        </w:rPr>
        <w:t>La finalité reste simple : rendre la méthode plus compréhensible, plus transmissible et plus utile au plus grand nombre, tout en conservant une exigence de prudence et de réévaluation.</w:t>
      </w:r>
    </w:p>
    <w:p w14:paraId="6FB07741"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2. La séquence clinique ROP : quatre niveaux complémentaires</w:t>
      </w:r>
    </w:p>
    <w:p w14:paraId="5FDBF60B" w14:textId="77777777" w:rsidR="0078516B" w:rsidRPr="00A52725" w:rsidRDefault="00000000">
      <w:pPr>
        <w:spacing w:after="140" w:line="276" w:lineRule="auto"/>
        <w:jc w:val="both"/>
        <w:rPr>
          <w:lang w:val="fr-FR"/>
        </w:rPr>
      </w:pPr>
      <w:r w:rsidRPr="00A52725">
        <w:rPr>
          <w:color w:val="1A1A1A"/>
          <w:lang w:val="fr-FR"/>
        </w:rPr>
        <w:t>La ROP organise le raisonnement clinique en quatre niveaux. Ils ne représentent pas quatre compartiments anatomiques étanches et ne constituent pas quatre étapes obligatoires. Ils servent à savoir où porter l'attention et à choisir les priorités.</w:t>
      </w:r>
    </w:p>
    <w:tbl>
      <w:tblPr>
        <w:tblW w:w="9638" w:type="dxa"/>
        <w:tblBorders>
          <w:top w:val="single" w:sz="4" w:space="0" w:color="C9C2B4"/>
          <w:left w:val="single" w:sz="4" w:space="0" w:color="C9C2B4"/>
          <w:bottom w:val="single" w:sz="4" w:space="0" w:color="C9C2B4"/>
          <w:right w:val="single" w:sz="4" w:space="0" w:color="C9C2B4"/>
          <w:insideH w:val="single" w:sz="2" w:space="0" w:color="C9C2B4"/>
          <w:insideV w:val="single" w:sz="2" w:space="0" w:color="C9C2B4"/>
        </w:tblBorders>
        <w:tblCellMar>
          <w:left w:w="10" w:type="dxa"/>
          <w:right w:w="10" w:type="dxa"/>
        </w:tblCellMar>
        <w:tblLook w:val="0000" w:firstRow="0" w:lastRow="0" w:firstColumn="0" w:lastColumn="0" w:noHBand="0" w:noVBand="0"/>
      </w:tblPr>
      <w:tblGrid>
        <w:gridCol w:w="3196"/>
        <w:gridCol w:w="2573"/>
        <w:gridCol w:w="3869"/>
      </w:tblGrid>
      <w:tr w:rsidR="0078516B" w14:paraId="10000815" w14:textId="77777777">
        <w:tblPrEx>
          <w:tblCellMar>
            <w:top w:w="0" w:type="dxa"/>
            <w:bottom w:w="0" w:type="dxa"/>
          </w:tblCellMar>
        </w:tblPrEx>
        <w:trPr>
          <w:cantSplit/>
          <w:tblHeader/>
        </w:trPr>
        <w:tc>
          <w:tcPr>
            <w:tcW w:w="3196" w:type="dxa"/>
            <w:shd w:val="clear" w:color="auto" w:fill="1B5E3F"/>
            <w:tcMar>
              <w:top w:w="90" w:type="dxa"/>
              <w:left w:w="110" w:type="dxa"/>
              <w:bottom w:w="90" w:type="dxa"/>
              <w:right w:w="110" w:type="dxa"/>
            </w:tcMar>
          </w:tcPr>
          <w:p w14:paraId="147AE089" w14:textId="77777777" w:rsidR="0078516B" w:rsidRDefault="00000000">
            <w:pPr>
              <w:spacing w:line="250" w:lineRule="auto"/>
            </w:pPr>
            <w:proofErr w:type="spellStart"/>
            <w:r>
              <w:rPr>
                <w:b/>
                <w:bCs/>
                <w:color w:val="FFFFFF"/>
                <w:sz w:val="18"/>
                <w:szCs w:val="18"/>
              </w:rPr>
              <w:lastRenderedPageBreak/>
              <w:t>Niveau</w:t>
            </w:r>
            <w:proofErr w:type="spellEnd"/>
          </w:p>
        </w:tc>
        <w:tc>
          <w:tcPr>
            <w:tcW w:w="2573" w:type="dxa"/>
            <w:shd w:val="clear" w:color="auto" w:fill="1B5E3F"/>
            <w:tcMar>
              <w:top w:w="90" w:type="dxa"/>
              <w:left w:w="110" w:type="dxa"/>
              <w:bottom w:w="90" w:type="dxa"/>
              <w:right w:w="110" w:type="dxa"/>
            </w:tcMar>
          </w:tcPr>
          <w:p w14:paraId="4904A7C2" w14:textId="77777777" w:rsidR="0078516B" w:rsidRDefault="00000000">
            <w:pPr>
              <w:spacing w:line="250" w:lineRule="auto"/>
            </w:pPr>
            <w:r>
              <w:rPr>
                <w:b/>
                <w:bCs/>
                <w:color w:val="FFFFFF"/>
                <w:sz w:val="18"/>
                <w:szCs w:val="18"/>
              </w:rPr>
              <w:t xml:space="preserve">Ce qu'il </w:t>
            </w:r>
            <w:proofErr w:type="spellStart"/>
            <w:r>
              <w:rPr>
                <w:b/>
                <w:bCs/>
                <w:color w:val="FFFFFF"/>
                <w:sz w:val="18"/>
                <w:szCs w:val="18"/>
              </w:rPr>
              <w:t>concerne</w:t>
            </w:r>
            <w:proofErr w:type="spellEnd"/>
          </w:p>
        </w:tc>
        <w:tc>
          <w:tcPr>
            <w:tcW w:w="3869" w:type="dxa"/>
            <w:shd w:val="clear" w:color="auto" w:fill="1B5E3F"/>
            <w:tcMar>
              <w:top w:w="90" w:type="dxa"/>
              <w:left w:w="110" w:type="dxa"/>
              <w:bottom w:w="90" w:type="dxa"/>
              <w:right w:w="110" w:type="dxa"/>
            </w:tcMar>
          </w:tcPr>
          <w:p w14:paraId="52A49BF6" w14:textId="77777777" w:rsidR="0078516B" w:rsidRDefault="00000000">
            <w:pPr>
              <w:spacing w:line="250" w:lineRule="auto"/>
            </w:pPr>
            <w:proofErr w:type="spellStart"/>
            <w:r>
              <w:rPr>
                <w:b/>
                <w:bCs/>
                <w:color w:val="FFFFFF"/>
                <w:sz w:val="18"/>
                <w:szCs w:val="18"/>
              </w:rPr>
              <w:t>Principaux</w:t>
            </w:r>
            <w:proofErr w:type="spellEnd"/>
            <w:r>
              <w:rPr>
                <w:b/>
                <w:bCs/>
                <w:color w:val="FFFFFF"/>
                <w:sz w:val="18"/>
                <w:szCs w:val="18"/>
              </w:rPr>
              <w:t xml:space="preserve"> </w:t>
            </w:r>
            <w:proofErr w:type="spellStart"/>
            <w:r>
              <w:rPr>
                <w:b/>
                <w:bCs/>
                <w:color w:val="FFFFFF"/>
                <w:sz w:val="18"/>
                <w:szCs w:val="18"/>
              </w:rPr>
              <w:t>repères</w:t>
            </w:r>
            <w:proofErr w:type="spellEnd"/>
          </w:p>
        </w:tc>
      </w:tr>
      <w:tr w:rsidR="0078516B" w:rsidRPr="00A52725" w14:paraId="31B37AEF" w14:textId="77777777">
        <w:tblPrEx>
          <w:tblCellMar>
            <w:top w:w="0" w:type="dxa"/>
            <w:bottom w:w="0" w:type="dxa"/>
          </w:tblCellMar>
        </w:tblPrEx>
        <w:trPr>
          <w:cantSplit/>
        </w:trPr>
        <w:tc>
          <w:tcPr>
            <w:tcW w:w="3196" w:type="dxa"/>
            <w:shd w:val="clear" w:color="auto" w:fill="E8F0EA"/>
            <w:tcMar>
              <w:top w:w="90" w:type="dxa"/>
              <w:left w:w="110" w:type="dxa"/>
              <w:bottom w:w="90" w:type="dxa"/>
              <w:right w:w="110" w:type="dxa"/>
            </w:tcMar>
          </w:tcPr>
          <w:p w14:paraId="6C42CDB1" w14:textId="77777777" w:rsidR="0078516B" w:rsidRDefault="00000000">
            <w:pPr>
              <w:spacing w:line="250" w:lineRule="auto"/>
            </w:pPr>
            <w:r>
              <w:rPr>
                <w:b/>
                <w:bCs/>
                <w:color w:val="444444"/>
                <w:sz w:val="18"/>
                <w:szCs w:val="18"/>
              </w:rPr>
              <w:t xml:space="preserve">1 — </w:t>
            </w:r>
            <w:proofErr w:type="spellStart"/>
            <w:r>
              <w:rPr>
                <w:b/>
                <w:bCs/>
                <w:color w:val="444444"/>
                <w:sz w:val="18"/>
                <w:szCs w:val="18"/>
              </w:rPr>
              <w:t>Régulation</w:t>
            </w:r>
            <w:proofErr w:type="spellEnd"/>
            <w:r>
              <w:rPr>
                <w:b/>
                <w:bCs/>
                <w:color w:val="444444"/>
                <w:sz w:val="18"/>
                <w:szCs w:val="18"/>
              </w:rPr>
              <w:t xml:space="preserve"> des </w:t>
            </w:r>
            <w:proofErr w:type="spellStart"/>
            <w:r>
              <w:rPr>
                <w:b/>
                <w:bCs/>
                <w:color w:val="444444"/>
                <w:sz w:val="18"/>
                <w:szCs w:val="18"/>
              </w:rPr>
              <w:t>centres</w:t>
            </w:r>
            <w:proofErr w:type="spellEnd"/>
            <w:r>
              <w:rPr>
                <w:b/>
                <w:bCs/>
                <w:color w:val="444444"/>
                <w:sz w:val="18"/>
                <w:szCs w:val="18"/>
              </w:rPr>
              <w:t xml:space="preserve"> </w:t>
            </w:r>
            <w:proofErr w:type="spellStart"/>
            <w:r>
              <w:rPr>
                <w:b/>
                <w:bCs/>
                <w:color w:val="444444"/>
                <w:sz w:val="18"/>
                <w:szCs w:val="18"/>
              </w:rPr>
              <w:t>supérieurs</w:t>
            </w:r>
            <w:proofErr w:type="spellEnd"/>
          </w:p>
        </w:tc>
        <w:tc>
          <w:tcPr>
            <w:tcW w:w="2573" w:type="dxa"/>
            <w:shd w:val="clear" w:color="auto" w:fill="E8F0EA"/>
            <w:tcMar>
              <w:top w:w="90" w:type="dxa"/>
              <w:left w:w="110" w:type="dxa"/>
              <w:bottom w:w="90" w:type="dxa"/>
              <w:right w:w="110" w:type="dxa"/>
            </w:tcMar>
          </w:tcPr>
          <w:p w14:paraId="59D9E4C1" w14:textId="77777777" w:rsidR="0078516B" w:rsidRPr="00A52725" w:rsidRDefault="00000000">
            <w:pPr>
              <w:spacing w:line="250" w:lineRule="auto"/>
              <w:rPr>
                <w:lang w:val="fr-FR"/>
              </w:rPr>
            </w:pPr>
            <w:r w:rsidRPr="00A52725">
              <w:rPr>
                <w:color w:val="444444"/>
                <w:sz w:val="18"/>
                <w:szCs w:val="18"/>
                <w:lang w:val="fr-FR"/>
              </w:rPr>
              <w:t>Grands centres d'intégration et environnement neuro-méningé. Porte d'entrée fréquente lorsque le tableau est diffus ou le patient très réactif</w:t>
            </w:r>
          </w:p>
        </w:tc>
        <w:tc>
          <w:tcPr>
            <w:tcW w:w="3869" w:type="dxa"/>
            <w:shd w:val="clear" w:color="auto" w:fill="E8F0EA"/>
            <w:tcMar>
              <w:top w:w="90" w:type="dxa"/>
              <w:left w:w="110" w:type="dxa"/>
              <w:bottom w:w="90" w:type="dxa"/>
              <w:right w:w="110" w:type="dxa"/>
            </w:tcMar>
          </w:tcPr>
          <w:p w14:paraId="172997DB" w14:textId="77777777" w:rsidR="0078516B" w:rsidRPr="00A52725" w:rsidRDefault="00000000">
            <w:pPr>
              <w:spacing w:line="250" w:lineRule="auto"/>
              <w:rPr>
                <w:lang w:val="fr-FR"/>
              </w:rPr>
            </w:pPr>
            <w:r w:rsidRPr="00A52725">
              <w:rPr>
                <w:color w:val="444444"/>
                <w:sz w:val="18"/>
                <w:szCs w:val="18"/>
                <w:lang w:val="fr-FR"/>
              </w:rPr>
              <w:t xml:space="preserve">Zones réflexes occipitales ; environnement neuro-méningé crânio-spinal et circulation du LCR ; axe </w:t>
            </w:r>
            <w:proofErr w:type="spellStart"/>
            <w:r w:rsidRPr="00A52725">
              <w:rPr>
                <w:color w:val="444444"/>
                <w:sz w:val="18"/>
                <w:szCs w:val="18"/>
                <w:lang w:val="fr-FR"/>
              </w:rPr>
              <w:t>crânio-sacré</w:t>
            </w:r>
            <w:proofErr w:type="spellEnd"/>
            <w:r w:rsidRPr="00A52725">
              <w:rPr>
                <w:color w:val="444444"/>
                <w:sz w:val="18"/>
                <w:szCs w:val="18"/>
                <w:lang w:val="fr-FR"/>
              </w:rPr>
              <w:t xml:space="preserve"> ; tronc cérébral ; diencéphale et hypothalamus ; axe hypothalamo-hypophysaire</w:t>
            </w:r>
          </w:p>
        </w:tc>
      </w:tr>
      <w:tr w:rsidR="0078516B" w:rsidRPr="00A52725" w14:paraId="08975A85" w14:textId="77777777">
        <w:tblPrEx>
          <w:tblCellMar>
            <w:top w:w="0" w:type="dxa"/>
            <w:bottom w:w="0" w:type="dxa"/>
          </w:tblCellMar>
        </w:tblPrEx>
        <w:trPr>
          <w:cantSplit/>
        </w:trPr>
        <w:tc>
          <w:tcPr>
            <w:tcW w:w="3196" w:type="dxa"/>
            <w:shd w:val="clear" w:color="auto" w:fill="FFFFFF"/>
            <w:tcMar>
              <w:top w:w="90" w:type="dxa"/>
              <w:left w:w="110" w:type="dxa"/>
              <w:bottom w:w="90" w:type="dxa"/>
              <w:right w:w="110" w:type="dxa"/>
            </w:tcMar>
          </w:tcPr>
          <w:p w14:paraId="4D7FFC83" w14:textId="77777777" w:rsidR="0078516B" w:rsidRPr="00A52725" w:rsidRDefault="00000000">
            <w:pPr>
              <w:spacing w:line="250" w:lineRule="auto"/>
              <w:rPr>
                <w:lang w:val="fr-FR"/>
              </w:rPr>
            </w:pPr>
            <w:r w:rsidRPr="00A52725">
              <w:rPr>
                <w:b/>
                <w:bCs/>
                <w:color w:val="444444"/>
                <w:sz w:val="18"/>
                <w:szCs w:val="18"/>
                <w:lang w:val="fr-FR"/>
              </w:rPr>
              <w:t>2 — Régulation neuro-végétative et adaptation</w:t>
            </w:r>
          </w:p>
        </w:tc>
        <w:tc>
          <w:tcPr>
            <w:tcW w:w="2573" w:type="dxa"/>
            <w:shd w:val="clear" w:color="auto" w:fill="FFFFFF"/>
            <w:tcMar>
              <w:top w:w="90" w:type="dxa"/>
              <w:left w:w="110" w:type="dxa"/>
              <w:bottom w:w="90" w:type="dxa"/>
              <w:right w:w="110" w:type="dxa"/>
            </w:tcMar>
          </w:tcPr>
          <w:p w14:paraId="420717B0" w14:textId="77777777" w:rsidR="0078516B" w:rsidRPr="00A52725" w:rsidRDefault="00000000">
            <w:pPr>
              <w:spacing w:line="250" w:lineRule="auto"/>
              <w:rPr>
                <w:lang w:val="fr-FR"/>
              </w:rPr>
            </w:pPr>
            <w:r w:rsidRPr="00A52725">
              <w:rPr>
                <w:color w:val="444444"/>
                <w:sz w:val="18"/>
                <w:szCs w:val="18"/>
                <w:lang w:val="fr-FR"/>
              </w:rPr>
              <w:t>Voies autonomes et systèmes accompagnant l'adaptation. L'objectif est la flexibilité autonome, non un état sympathique ou parasympathique idéal</w:t>
            </w:r>
          </w:p>
        </w:tc>
        <w:tc>
          <w:tcPr>
            <w:tcW w:w="3869" w:type="dxa"/>
            <w:shd w:val="clear" w:color="auto" w:fill="FFFFFF"/>
            <w:tcMar>
              <w:top w:w="90" w:type="dxa"/>
              <w:left w:w="110" w:type="dxa"/>
              <w:bottom w:w="90" w:type="dxa"/>
              <w:right w:w="110" w:type="dxa"/>
            </w:tcMar>
          </w:tcPr>
          <w:p w14:paraId="25249C92" w14:textId="77777777" w:rsidR="0078516B" w:rsidRPr="00A52725" w:rsidRDefault="00000000">
            <w:pPr>
              <w:spacing w:line="250" w:lineRule="auto"/>
              <w:rPr>
                <w:lang w:val="fr-FR"/>
              </w:rPr>
            </w:pPr>
            <w:r w:rsidRPr="00A52725">
              <w:rPr>
                <w:color w:val="444444"/>
                <w:sz w:val="18"/>
                <w:szCs w:val="18"/>
                <w:lang w:val="fr-FR"/>
              </w:rPr>
              <w:t>Nerf vague et voies parasympathiques ; parasympathique sacré ; chaînes sympathiques et nerfs splanchniques ; plexus prévertébraux et préviscéraux ; glandes surrénales ; diaphragme</w:t>
            </w:r>
          </w:p>
        </w:tc>
      </w:tr>
      <w:tr w:rsidR="0078516B" w:rsidRPr="00A52725" w14:paraId="2D490395" w14:textId="77777777">
        <w:tblPrEx>
          <w:tblCellMar>
            <w:top w:w="0" w:type="dxa"/>
            <w:bottom w:w="0" w:type="dxa"/>
          </w:tblCellMar>
        </w:tblPrEx>
        <w:trPr>
          <w:cantSplit/>
        </w:trPr>
        <w:tc>
          <w:tcPr>
            <w:tcW w:w="3196" w:type="dxa"/>
            <w:shd w:val="clear" w:color="auto" w:fill="E8F0EA"/>
            <w:tcMar>
              <w:top w:w="90" w:type="dxa"/>
              <w:left w:w="110" w:type="dxa"/>
              <w:bottom w:w="90" w:type="dxa"/>
              <w:right w:w="110" w:type="dxa"/>
            </w:tcMar>
          </w:tcPr>
          <w:p w14:paraId="31784CC0" w14:textId="77777777" w:rsidR="0078516B" w:rsidRPr="00A52725" w:rsidRDefault="00000000">
            <w:pPr>
              <w:spacing w:line="250" w:lineRule="auto"/>
              <w:rPr>
                <w:lang w:val="fr-FR"/>
              </w:rPr>
            </w:pPr>
            <w:r w:rsidRPr="00A52725">
              <w:rPr>
                <w:b/>
                <w:bCs/>
                <w:color w:val="444444"/>
                <w:sz w:val="18"/>
                <w:szCs w:val="18"/>
                <w:lang w:val="fr-FR"/>
              </w:rPr>
              <w:t>3 — Régulation loco-régionale et cible viscérale</w:t>
            </w:r>
          </w:p>
        </w:tc>
        <w:tc>
          <w:tcPr>
            <w:tcW w:w="2573" w:type="dxa"/>
            <w:shd w:val="clear" w:color="auto" w:fill="E8F0EA"/>
            <w:tcMar>
              <w:top w:w="90" w:type="dxa"/>
              <w:left w:w="110" w:type="dxa"/>
              <w:bottom w:w="90" w:type="dxa"/>
              <w:right w:w="110" w:type="dxa"/>
            </w:tcMar>
          </w:tcPr>
          <w:p w14:paraId="6F253092" w14:textId="77777777" w:rsidR="0078516B" w:rsidRPr="00A52725" w:rsidRDefault="00000000">
            <w:pPr>
              <w:spacing w:line="250" w:lineRule="auto"/>
              <w:rPr>
                <w:lang w:val="fr-FR"/>
              </w:rPr>
            </w:pPr>
            <w:r w:rsidRPr="00A52725">
              <w:rPr>
                <w:color w:val="444444"/>
                <w:sz w:val="18"/>
                <w:szCs w:val="18"/>
                <w:lang w:val="fr-FR"/>
              </w:rPr>
              <w:t>Environnement anatomique et fonctionnel de la cible, puis la cible viscérale ou fonctionnelle elle-même</w:t>
            </w:r>
          </w:p>
        </w:tc>
        <w:tc>
          <w:tcPr>
            <w:tcW w:w="3869" w:type="dxa"/>
            <w:shd w:val="clear" w:color="auto" w:fill="E8F0EA"/>
            <w:tcMar>
              <w:top w:w="90" w:type="dxa"/>
              <w:left w:w="110" w:type="dxa"/>
              <w:bottom w:w="90" w:type="dxa"/>
              <w:right w:w="110" w:type="dxa"/>
            </w:tcMar>
          </w:tcPr>
          <w:p w14:paraId="00C5548B" w14:textId="77777777" w:rsidR="0078516B" w:rsidRPr="00A52725" w:rsidRDefault="00000000">
            <w:pPr>
              <w:spacing w:line="250" w:lineRule="auto"/>
              <w:rPr>
                <w:lang w:val="fr-FR"/>
              </w:rPr>
            </w:pPr>
            <w:r w:rsidRPr="00A52725">
              <w:rPr>
                <w:color w:val="444444"/>
                <w:sz w:val="18"/>
                <w:szCs w:val="18"/>
                <w:lang w:val="fr-FR"/>
              </w:rPr>
              <w:t xml:space="preserve">Cavité abdominale ou pelvienne ; péritoine et interfaces séreuses ; mésos et leurs racines ; fascias et ligaments viscéraux ; rapports </w:t>
            </w:r>
            <w:proofErr w:type="spellStart"/>
            <w:r w:rsidRPr="00A52725">
              <w:rPr>
                <w:color w:val="444444"/>
                <w:sz w:val="18"/>
                <w:szCs w:val="18"/>
                <w:lang w:val="fr-FR"/>
              </w:rPr>
              <w:t>interviscéraux</w:t>
            </w:r>
            <w:proofErr w:type="spellEnd"/>
            <w:r w:rsidRPr="00A52725">
              <w:rPr>
                <w:color w:val="444444"/>
                <w:sz w:val="18"/>
                <w:szCs w:val="18"/>
                <w:lang w:val="fr-FR"/>
              </w:rPr>
              <w:t xml:space="preserve"> ; hiatus et passages régionaux ; zone réflexe propre de l'organe et ses sous-territoires</w:t>
            </w:r>
          </w:p>
        </w:tc>
      </w:tr>
      <w:tr w:rsidR="0078516B" w:rsidRPr="00A52725" w14:paraId="0943F8D0" w14:textId="77777777">
        <w:tblPrEx>
          <w:tblCellMar>
            <w:top w:w="0" w:type="dxa"/>
            <w:bottom w:w="0" w:type="dxa"/>
          </w:tblCellMar>
        </w:tblPrEx>
        <w:trPr>
          <w:cantSplit/>
        </w:trPr>
        <w:tc>
          <w:tcPr>
            <w:tcW w:w="3196" w:type="dxa"/>
            <w:shd w:val="clear" w:color="auto" w:fill="FFFFFF"/>
            <w:tcMar>
              <w:top w:w="90" w:type="dxa"/>
              <w:left w:w="110" w:type="dxa"/>
              <w:bottom w:w="90" w:type="dxa"/>
              <w:right w:w="110" w:type="dxa"/>
            </w:tcMar>
          </w:tcPr>
          <w:p w14:paraId="651B2F9D" w14:textId="77777777" w:rsidR="0078516B" w:rsidRPr="00A52725" w:rsidRDefault="00000000">
            <w:pPr>
              <w:spacing w:line="250" w:lineRule="auto"/>
              <w:rPr>
                <w:lang w:val="fr-FR"/>
              </w:rPr>
            </w:pPr>
            <w:r w:rsidRPr="00A52725">
              <w:rPr>
                <w:b/>
                <w:bCs/>
                <w:color w:val="444444"/>
                <w:sz w:val="18"/>
                <w:szCs w:val="18"/>
                <w:lang w:val="fr-FR"/>
              </w:rPr>
              <w:t>4 — Intégration viscéro-somatique et viscéro-émotionnelle</w:t>
            </w:r>
          </w:p>
        </w:tc>
        <w:tc>
          <w:tcPr>
            <w:tcW w:w="2573" w:type="dxa"/>
            <w:shd w:val="clear" w:color="auto" w:fill="FFFFFF"/>
            <w:tcMar>
              <w:top w:w="90" w:type="dxa"/>
              <w:left w:w="110" w:type="dxa"/>
              <w:bottom w:w="90" w:type="dxa"/>
              <w:right w:w="110" w:type="dxa"/>
            </w:tcMar>
          </w:tcPr>
          <w:p w14:paraId="5EFE8020" w14:textId="77777777" w:rsidR="0078516B" w:rsidRPr="00A52725" w:rsidRDefault="00000000">
            <w:pPr>
              <w:spacing w:line="250" w:lineRule="auto"/>
              <w:rPr>
                <w:lang w:val="fr-FR"/>
              </w:rPr>
            </w:pPr>
            <w:r w:rsidRPr="00A52725">
              <w:rPr>
                <w:color w:val="444444"/>
                <w:sz w:val="18"/>
                <w:szCs w:val="18"/>
                <w:lang w:val="fr-FR"/>
              </w:rPr>
              <w:t>Mise en relation de la cible avec ses expressions somatiques et son contexte émotionnel</w:t>
            </w:r>
          </w:p>
        </w:tc>
        <w:tc>
          <w:tcPr>
            <w:tcW w:w="3869" w:type="dxa"/>
            <w:shd w:val="clear" w:color="auto" w:fill="FFFFFF"/>
            <w:tcMar>
              <w:top w:w="90" w:type="dxa"/>
              <w:left w:w="110" w:type="dxa"/>
              <w:bottom w:w="90" w:type="dxa"/>
              <w:right w:w="110" w:type="dxa"/>
            </w:tcMar>
          </w:tcPr>
          <w:p w14:paraId="648624F0" w14:textId="77777777" w:rsidR="0078516B" w:rsidRPr="00A52725" w:rsidRDefault="00000000">
            <w:pPr>
              <w:spacing w:line="250" w:lineRule="auto"/>
              <w:rPr>
                <w:lang w:val="fr-FR"/>
              </w:rPr>
            </w:pPr>
            <w:r w:rsidRPr="00A52725">
              <w:rPr>
                <w:color w:val="444444"/>
                <w:sz w:val="18"/>
                <w:szCs w:val="18"/>
                <w:lang w:val="fr-FR"/>
              </w:rPr>
              <w:t xml:space="preserve">Relations viscéro-somatiques : niveaux segmentaires, nerfs somatiques et convergences ; muscles, articulations et territoires douloureux associés ; </w:t>
            </w:r>
            <w:proofErr w:type="spellStart"/>
            <w:r w:rsidRPr="00A52725">
              <w:rPr>
                <w:color w:val="444444"/>
                <w:sz w:val="18"/>
                <w:szCs w:val="18"/>
                <w:lang w:val="fr-FR"/>
              </w:rPr>
              <w:t>interoception</w:t>
            </w:r>
            <w:proofErr w:type="spellEnd"/>
            <w:r w:rsidRPr="00A52725">
              <w:rPr>
                <w:color w:val="444444"/>
                <w:sz w:val="18"/>
                <w:szCs w:val="18"/>
                <w:lang w:val="fr-FR"/>
              </w:rPr>
              <w:t xml:space="preserve"> et contexte émotionnel ; réseaux limbiques et cortico-limbiques</w:t>
            </w:r>
          </w:p>
        </w:tc>
      </w:tr>
    </w:tbl>
    <w:p w14:paraId="0FACED13" w14:textId="77777777" w:rsidR="0078516B" w:rsidRPr="00A52725" w:rsidRDefault="0078516B">
      <w:pPr>
        <w:spacing w:after="200"/>
        <w:rPr>
          <w:lang w:val="fr-FR"/>
        </w:rPr>
      </w:pPr>
    </w:p>
    <w:p w14:paraId="780FBD80" w14:textId="77777777" w:rsidR="0078516B" w:rsidRPr="00A52725" w:rsidRDefault="00000000">
      <w:pPr>
        <w:spacing w:after="140" w:line="276" w:lineRule="auto"/>
        <w:jc w:val="both"/>
        <w:rPr>
          <w:lang w:val="fr-FR"/>
        </w:rPr>
      </w:pPr>
      <w:r w:rsidRPr="00A52725">
        <w:rPr>
          <w:color w:val="1A1A1A"/>
          <w:lang w:val="fr-FR"/>
        </w:rPr>
        <w:t>Quatre précisions accompagnent ce tableau et valent pour tout l'ouvrage.</w:t>
      </w:r>
    </w:p>
    <w:p w14:paraId="0EE5E245" w14:textId="77777777" w:rsidR="0078516B" w:rsidRPr="00A52725" w:rsidRDefault="00000000">
      <w:pPr>
        <w:spacing w:after="140" w:line="276" w:lineRule="auto"/>
        <w:jc w:val="both"/>
        <w:rPr>
          <w:lang w:val="fr-FR"/>
        </w:rPr>
      </w:pPr>
      <w:r w:rsidRPr="00A52725">
        <w:rPr>
          <w:color w:val="1A1A1A"/>
          <w:lang w:val="fr-FR"/>
        </w:rPr>
        <w:t xml:space="preserve">Les zones proposées au Niveau 1 sont des </w:t>
      </w:r>
      <w:r w:rsidRPr="00A52725">
        <w:rPr>
          <w:b/>
          <w:bCs/>
          <w:color w:val="1A1A1A"/>
          <w:lang w:val="fr-FR"/>
        </w:rPr>
        <w:t>repères cliniques</w:t>
      </w:r>
      <w:r w:rsidRPr="00A52725">
        <w:rPr>
          <w:color w:val="1A1A1A"/>
          <w:lang w:val="fr-FR"/>
        </w:rPr>
        <w:t>. Elles ne doivent pas être comprises comme une projection anatomique directe d'une structure cérébrale sur le pied ou l'occiput.</w:t>
      </w:r>
    </w:p>
    <w:p w14:paraId="242633D4" w14:textId="77777777" w:rsidR="0078516B" w:rsidRPr="00A52725" w:rsidRDefault="00000000">
      <w:pPr>
        <w:spacing w:after="140" w:line="276" w:lineRule="auto"/>
        <w:jc w:val="both"/>
        <w:rPr>
          <w:lang w:val="fr-FR"/>
        </w:rPr>
      </w:pPr>
      <w:r w:rsidRPr="00A52725">
        <w:rPr>
          <w:color w:val="1A1A1A"/>
          <w:lang w:val="fr-FR"/>
        </w:rPr>
        <w:t xml:space="preserve">Le </w:t>
      </w:r>
      <w:r w:rsidRPr="00A52725">
        <w:rPr>
          <w:b/>
          <w:bCs/>
          <w:color w:val="1A1A1A"/>
          <w:lang w:val="fr-FR"/>
        </w:rPr>
        <w:t>diaphragme</w:t>
      </w:r>
      <w:r w:rsidRPr="00A52725">
        <w:rPr>
          <w:color w:val="1A1A1A"/>
          <w:lang w:val="fr-FR"/>
        </w:rPr>
        <w:t xml:space="preserve"> n'appartient pas anatomiquement au système nerveux autonome. Il figure au Niveau 2 pour sa valeur fonctionnelle dans la respiration, le tonus et l'observation de l'état général du patient.</w:t>
      </w:r>
    </w:p>
    <w:p w14:paraId="689F1FC9" w14:textId="77777777" w:rsidR="0078516B" w:rsidRPr="00A52725" w:rsidRDefault="00000000">
      <w:pPr>
        <w:spacing w:after="140" w:line="276" w:lineRule="auto"/>
        <w:jc w:val="both"/>
        <w:rPr>
          <w:lang w:val="fr-FR"/>
        </w:rPr>
      </w:pPr>
      <w:r w:rsidRPr="00A52725">
        <w:rPr>
          <w:color w:val="1A1A1A"/>
          <w:lang w:val="fr-FR"/>
        </w:rPr>
        <w:t xml:space="preserve">La </w:t>
      </w:r>
      <w:r w:rsidRPr="00A52725">
        <w:rPr>
          <w:b/>
          <w:bCs/>
          <w:color w:val="1A1A1A"/>
          <w:lang w:val="fr-FR"/>
        </w:rPr>
        <w:t>cible viscérale ou fonctionnelle appartient au Niveau 3</w:t>
      </w:r>
      <w:r w:rsidRPr="00A52725">
        <w:rPr>
          <w:color w:val="1A1A1A"/>
          <w:lang w:val="fr-FR"/>
        </w:rPr>
        <w:t>, avec l'environnement régional qui la conditionne. Le Niveau 4 ne recommence pas le travail de l'organe : il met la cible en relation avec ses expressions somatiques et son contexte émotionnel. Cette répartition est celle retenue dans l'ensemble des chapitres viscéraux du volume.</w:t>
      </w:r>
    </w:p>
    <w:p w14:paraId="3B933EB5" w14:textId="77777777" w:rsidR="0078516B" w:rsidRPr="00A52725" w:rsidRDefault="00000000">
      <w:pPr>
        <w:spacing w:after="140" w:line="276" w:lineRule="auto"/>
        <w:jc w:val="both"/>
        <w:rPr>
          <w:lang w:val="fr-FR"/>
        </w:rPr>
      </w:pPr>
      <w:r w:rsidRPr="00A52725">
        <w:rPr>
          <w:color w:val="1A1A1A"/>
          <w:lang w:val="fr-FR"/>
        </w:rPr>
        <w:t xml:space="preserve">Au Niveau 4, il est préférable de parler de </w:t>
      </w:r>
      <w:r w:rsidRPr="00A52725">
        <w:rPr>
          <w:b/>
          <w:bCs/>
          <w:color w:val="1A1A1A"/>
          <w:lang w:val="fr-FR"/>
        </w:rPr>
        <w:t>réseaux limbiques et cortico-limbiques</w:t>
      </w:r>
      <w:r w:rsidRPr="00A52725">
        <w:rPr>
          <w:color w:val="1A1A1A"/>
          <w:lang w:val="fr-FR"/>
        </w:rPr>
        <w:t xml:space="preserve"> plutôt que d'un « système limbique » unique et fermé. La Balance cerveau limbique-organe appartient au vocabulaire clinique de la ROP lorsqu'elle est utilisée ; elle ne décrit pas une connexion anatomique directe et ne suppose ni correspondance fixe entre une émotion et un organe, ni causalité psychologique du symptôme.</w:t>
      </w:r>
    </w:p>
    <w:p w14:paraId="1AD973AF" w14:textId="77777777" w:rsidR="0078516B" w:rsidRPr="00A52725" w:rsidRDefault="00000000">
      <w:pPr>
        <w:spacing w:after="140" w:line="276" w:lineRule="auto"/>
        <w:jc w:val="both"/>
        <w:rPr>
          <w:lang w:val="fr-FR"/>
        </w:rPr>
      </w:pPr>
      <w:r w:rsidRPr="00A52725">
        <w:rPr>
          <w:color w:val="1A1A1A"/>
          <w:lang w:val="fr-FR"/>
        </w:rPr>
        <w:t>Le chapitre 2 développe cette séquence, son application pratique et ses variantes selon les situations cliniques.</w:t>
      </w:r>
    </w:p>
    <w:p w14:paraId="2337B075"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3. Une progression clinique, non un protocole rigide</w:t>
      </w:r>
    </w:p>
    <w:p w14:paraId="2A792E9B" w14:textId="77777777" w:rsidR="0078516B" w:rsidRPr="00A52725" w:rsidRDefault="00000000">
      <w:pPr>
        <w:spacing w:after="140" w:line="276" w:lineRule="auto"/>
        <w:jc w:val="both"/>
        <w:rPr>
          <w:lang w:val="fr-FR"/>
        </w:rPr>
      </w:pPr>
      <w:r w:rsidRPr="00A52725">
        <w:rPr>
          <w:color w:val="1A1A1A"/>
          <w:lang w:val="fr-FR"/>
        </w:rPr>
        <w:t>La séquence en quatre niveaux est une grille de hiérarchisation. Elle aide le praticien à ne pas réduire la séance à la recherche d'un organe ou d'un point réflexe.</w:t>
      </w:r>
    </w:p>
    <w:p w14:paraId="05FDA955" w14:textId="77777777" w:rsidR="0078516B" w:rsidRPr="00A52725" w:rsidRDefault="00000000">
      <w:pPr>
        <w:spacing w:after="140" w:line="276" w:lineRule="auto"/>
        <w:jc w:val="both"/>
        <w:rPr>
          <w:lang w:val="fr-FR"/>
        </w:rPr>
      </w:pPr>
      <w:r w:rsidRPr="00A52725">
        <w:rPr>
          <w:color w:val="1A1A1A"/>
          <w:lang w:val="fr-FR"/>
        </w:rPr>
        <w:t xml:space="preserve">Devant un trouble fonctionnel viscéral, la recherche porte généralement d'abord sur les facteurs susceptibles de relever des Niveaux 1 et/ou 2. Le praticien aborde ensuite, au Niveau 3, l'environnement loco-régional puis la cible viscérale ou fonctionnelle elle-même, avant d'intégrer au Niveau 4 ses expressions somatiques </w:t>
      </w:r>
      <w:r w:rsidRPr="00A52725">
        <w:rPr>
          <w:color w:val="1A1A1A"/>
          <w:lang w:val="fr-FR"/>
        </w:rPr>
        <w:lastRenderedPageBreak/>
        <w:t>et son contexte émotionnel. L'ordre réel reste toutefois adapté à l'anamnèse, au symptôme principal, aux antécédents médicaux, traumatiques ou chirurgicaux, aux tests, à la tolérance au toucher et à la réponse observée. Lorsque la cible viscérale est clairement identifiée, le Niveau 3 peut être abordé directement ou précocement, l'environnement régional n'étant traité que s'il paraît contribuer au tableau. Le Niveau 4 peut à l'inverse prendre une place centrale lorsque les expressions somatiques ou le contexte émotionnel dominent la présentation.</w:t>
      </w:r>
    </w:p>
    <w:p w14:paraId="6F55DE1E" w14:textId="77777777" w:rsidR="0078516B" w:rsidRPr="00A52725" w:rsidRDefault="00000000">
      <w:pPr>
        <w:spacing w:after="140" w:line="276" w:lineRule="auto"/>
        <w:jc w:val="both"/>
        <w:rPr>
          <w:lang w:val="fr-FR"/>
        </w:rPr>
      </w:pPr>
      <w:r w:rsidRPr="00A52725">
        <w:rPr>
          <w:color w:val="1A1A1A"/>
          <w:lang w:val="fr-FR"/>
        </w:rPr>
        <w:t>Cette hiérarchisation est une grille clinique et non une causalité imposée. Elle ne se substitue pas au diagnostic médical et ne permet pas d'exclure une pathologie organique.</w:t>
      </w:r>
    </w:p>
    <w:p w14:paraId="4C372699" w14:textId="77777777" w:rsidR="0078516B" w:rsidRPr="00A52725" w:rsidRDefault="00000000">
      <w:pPr>
        <w:spacing w:after="140" w:line="276" w:lineRule="auto"/>
        <w:jc w:val="both"/>
        <w:rPr>
          <w:lang w:val="fr-FR"/>
        </w:rPr>
      </w:pPr>
      <w:r w:rsidRPr="00A52725">
        <w:rPr>
          <w:color w:val="1A1A1A"/>
          <w:lang w:val="fr-FR"/>
        </w:rPr>
        <w:t>Principe pratique : évaluer, prioriser, adapter, traiter, puis réévaluer. Les niveaux servent à organiser le raisonnement ; ils ne doivent jamais devenir une séquence automatique.</w:t>
      </w:r>
    </w:p>
    <w:p w14:paraId="7AD0A59A"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4. Stress et adaptation : une dynamique transversale</w:t>
      </w:r>
    </w:p>
    <w:p w14:paraId="316E05F9" w14:textId="77777777" w:rsidR="0078516B" w:rsidRPr="00A52725" w:rsidRDefault="00000000">
      <w:pPr>
        <w:spacing w:after="140" w:line="276" w:lineRule="auto"/>
        <w:jc w:val="both"/>
        <w:rPr>
          <w:lang w:val="fr-FR"/>
        </w:rPr>
      </w:pPr>
      <w:r w:rsidRPr="00A52725">
        <w:rPr>
          <w:color w:val="1A1A1A"/>
          <w:lang w:val="fr-FR"/>
        </w:rPr>
        <w:t xml:space="preserve">Le stress et la théorie </w:t>
      </w:r>
      <w:proofErr w:type="spellStart"/>
      <w:r w:rsidRPr="00A52725">
        <w:rPr>
          <w:color w:val="1A1A1A"/>
          <w:lang w:val="fr-FR"/>
        </w:rPr>
        <w:t>polyvagale</w:t>
      </w:r>
      <w:proofErr w:type="spellEnd"/>
      <w:r w:rsidRPr="00A52725">
        <w:rPr>
          <w:color w:val="1A1A1A"/>
          <w:lang w:val="fr-FR"/>
        </w:rPr>
        <w:t xml:space="preserve"> ne constituent pas un cinquième niveau. Ils décrivent la dynamique qui relie les quatre niveaux dans le temps.</w:t>
      </w:r>
    </w:p>
    <w:p w14:paraId="64E7F334" w14:textId="77777777" w:rsidR="0078516B" w:rsidRPr="00A52725" w:rsidRDefault="00000000">
      <w:pPr>
        <w:spacing w:after="140" w:line="276" w:lineRule="auto"/>
        <w:jc w:val="both"/>
        <w:rPr>
          <w:lang w:val="fr-FR"/>
        </w:rPr>
      </w:pPr>
      <w:r w:rsidRPr="00A52725">
        <w:rPr>
          <w:color w:val="1A1A1A"/>
          <w:lang w:val="fr-FR"/>
        </w:rPr>
        <w:t>Le stress mobilise le système nerveux central, le système nerveux autonome, les systèmes hormonaux, les muscles, la respiration et les viscères. Cette mobilisation est utile lorsqu'elle est proportionnée, limitée et suivie d'une récupération.</w:t>
      </w:r>
    </w:p>
    <w:p w14:paraId="3169F240" w14:textId="77777777" w:rsidR="0078516B" w:rsidRPr="00A52725" w:rsidRDefault="00000000">
      <w:pPr>
        <w:spacing w:after="140" w:line="276" w:lineRule="auto"/>
        <w:jc w:val="both"/>
        <w:rPr>
          <w:lang w:val="fr-FR"/>
        </w:rPr>
      </w:pPr>
      <w:r w:rsidRPr="00A52725">
        <w:rPr>
          <w:color w:val="1A1A1A"/>
          <w:lang w:val="fr-FR"/>
        </w:rPr>
        <w:t>Elle devient potentiellement problématique lorsqu'elle :</w:t>
      </w:r>
    </w:p>
    <w:p w14:paraId="487F4B5B" w14:textId="77777777" w:rsidR="0078516B" w:rsidRPr="00A52725" w:rsidRDefault="00000000">
      <w:pPr>
        <w:pStyle w:val="ListParagraph"/>
        <w:numPr>
          <w:ilvl w:val="0"/>
          <w:numId w:val="2"/>
        </w:numPr>
        <w:spacing w:after="80" w:line="276" w:lineRule="auto"/>
        <w:jc w:val="both"/>
        <w:rPr>
          <w:lang w:val="fr-FR"/>
        </w:rPr>
      </w:pPr>
      <w:proofErr w:type="gramStart"/>
      <w:r w:rsidRPr="00A52725">
        <w:rPr>
          <w:color w:val="1A1A1A"/>
          <w:lang w:val="fr-FR"/>
        </w:rPr>
        <w:t>persiste</w:t>
      </w:r>
      <w:proofErr w:type="gramEnd"/>
      <w:r w:rsidRPr="00A52725">
        <w:rPr>
          <w:color w:val="1A1A1A"/>
          <w:lang w:val="fr-FR"/>
        </w:rPr>
        <w:t xml:space="preserve"> ou se répète sans récupération suffisante ;</w:t>
      </w:r>
    </w:p>
    <w:p w14:paraId="567AAE2F" w14:textId="77777777" w:rsidR="0078516B" w:rsidRPr="00A52725" w:rsidRDefault="00000000">
      <w:pPr>
        <w:pStyle w:val="ListParagraph"/>
        <w:numPr>
          <w:ilvl w:val="0"/>
          <w:numId w:val="2"/>
        </w:numPr>
        <w:spacing w:after="80" w:line="276" w:lineRule="auto"/>
        <w:jc w:val="both"/>
        <w:rPr>
          <w:lang w:val="fr-FR"/>
        </w:rPr>
      </w:pPr>
      <w:proofErr w:type="gramStart"/>
      <w:r w:rsidRPr="00A52725">
        <w:rPr>
          <w:color w:val="1A1A1A"/>
          <w:lang w:val="fr-FR"/>
        </w:rPr>
        <w:t>reste</w:t>
      </w:r>
      <w:proofErr w:type="gramEnd"/>
      <w:r w:rsidRPr="00A52725">
        <w:rPr>
          <w:color w:val="1A1A1A"/>
          <w:lang w:val="fr-FR"/>
        </w:rPr>
        <w:t xml:space="preserve"> disproportionnée par rapport à la contrainte ;</w:t>
      </w:r>
    </w:p>
    <w:p w14:paraId="3B792FE5" w14:textId="77777777" w:rsidR="0078516B" w:rsidRPr="00A52725" w:rsidRDefault="00000000">
      <w:pPr>
        <w:pStyle w:val="ListParagraph"/>
        <w:numPr>
          <w:ilvl w:val="0"/>
          <w:numId w:val="2"/>
        </w:numPr>
        <w:spacing w:after="80" w:line="276" w:lineRule="auto"/>
        <w:jc w:val="both"/>
        <w:rPr>
          <w:lang w:val="fr-FR"/>
        </w:rPr>
      </w:pPr>
      <w:proofErr w:type="gramStart"/>
      <w:r w:rsidRPr="00A52725">
        <w:rPr>
          <w:color w:val="1A1A1A"/>
          <w:lang w:val="fr-FR"/>
        </w:rPr>
        <w:t>ne</w:t>
      </w:r>
      <w:proofErr w:type="gramEnd"/>
      <w:r w:rsidRPr="00A52725">
        <w:rPr>
          <w:color w:val="1A1A1A"/>
          <w:lang w:val="fr-FR"/>
        </w:rPr>
        <w:t xml:space="preserve"> se clôt pas lorsque la situation a changé ;</w:t>
      </w:r>
    </w:p>
    <w:p w14:paraId="332F3078" w14:textId="77777777" w:rsidR="0078516B" w:rsidRPr="00A52725" w:rsidRDefault="00000000">
      <w:pPr>
        <w:pStyle w:val="ListParagraph"/>
        <w:numPr>
          <w:ilvl w:val="0"/>
          <w:numId w:val="2"/>
        </w:numPr>
        <w:spacing w:after="80" w:line="276" w:lineRule="auto"/>
        <w:jc w:val="both"/>
        <w:rPr>
          <w:lang w:val="fr-FR"/>
        </w:rPr>
      </w:pPr>
      <w:proofErr w:type="gramStart"/>
      <w:r w:rsidRPr="00A52725">
        <w:rPr>
          <w:color w:val="1A1A1A"/>
          <w:lang w:val="fr-FR"/>
        </w:rPr>
        <w:t>réduit</w:t>
      </w:r>
      <w:proofErr w:type="gramEnd"/>
      <w:r w:rsidRPr="00A52725">
        <w:rPr>
          <w:color w:val="1A1A1A"/>
          <w:lang w:val="fr-FR"/>
        </w:rPr>
        <w:t xml:space="preserve"> progressivement les capacités d'adaptation du patient.</w:t>
      </w:r>
    </w:p>
    <w:p w14:paraId="346341FD" w14:textId="77777777" w:rsidR="0078516B" w:rsidRPr="00A52725" w:rsidRDefault="0078516B">
      <w:pPr>
        <w:spacing w:after="80"/>
        <w:rPr>
          <w:lang w:val="fr-FR"/>
        </w:rPr>
      </w:pPr>
    </w:p>
    <w:p w14:paraId="5EE74AF2" w14:textId="77777777" w:rsidR="0078516B" w:rsidRPr="00A52725" w:rsidRDefault="00000000">
      <w:pPr>
        <w:spacing w:after="140" w:line="276" w:lineRule="auto"/>
        <w:jc w:val="both"/>
        <w:rPr>
          <w:lang w:val="fr-FR"/>
        </w:rPr>
      </w:pPr>
      <w:r w:rsidRPr="00A52725">
        <w:rPr>
          <w:color w:val="1A1A1A"/>
          <w:lang w:val="fr-FR"/>
        </w:rPr>
        <w:t xml:space="preserve">Les chapitres consacrés au stress et à la théorie </w:t>
      </w:r>
      <w:proofErr w:type="spellStart"/>
      <w:r w:rsidRPr="00A52725">
        <w:rPr>
          <w:color w:val="1A1A1A"/>
          <w:lang w:val="fr-FR"/>
        </w:rPr>
        <w:t>polyvagale</w:t>
      </w:r>
      <w:proofErr w:type="spellEnd"/>
      <w:r w:rsidRPr="00A52725">
        <w:rPr>
          <w:color w:val="1A1A1A"/>
          <w:lang w:val="fr-FR"/>
        </w:rPr>
        <w:t xml:space="preserve"> proposent donc une lecture transversale des phénomènes de mobilisation, de protection, d'adaptation et de récupération.</w:t>
      </w:r>
    </w:p>
    <w:p w14:paraId="6A32FD0E" w14:textId="77777777" w:rsidR="0078516B" w:rsidRPr="00A52725" w:rsidRDefault="00000000">
      <w:pPr>
        <w:spacing w:after="140" w:line="276" w:lineRule="auto"/>
        <w:jc w:val="both"/>
        <w:rPr>
          <w:lang w:val="fr-FR"/>
        </w:rPr>
      </w:pPr>
      <w:r w:rsidRPr="00A52725">
        <w:rPr>
          <w:color w:val="1A1A1A"/>
          <w:lang w:val="fr-FR"/>
        </w:rPr>
        <w:t xml:space="preserve">Par cohérence avec l'exigence énoncée plus bas, précisons le statut de ce cadre. La théorie </w:t>
      </w:r>
      <w:proofErr w:type="spellStart"/>
      <w:r w:rsidRPr="00A52725">
        <w:rPr>
          <w:color w:val="1A1A1A"/>
          <w:lang w:val="fr-FR"/>
        </w:rPr>
        <w:t>polyvagale</w:t>
      </w:r>
      <w:proofErr w:type="spellEnd"/>
      <w:r w:rsidRPr="00A52725">
        <w:rPr>
          <w:color w:val="1A1A1A"/>
          <w:lang w:val="fr-FR"/>
        </w:rPr>
        <w:t xml:space="preserve"> offre un vocabulaire clinique utile pour décrire des états de mobilisation et de récupération, et elle a l'intérêt de replacer la régulation autonome au centre de l'accompagnement. Plusieurs de ses hypothèses anatomiques et phylogénétiques ont toutefois fait l'objet de critiques substantielles dans la littérature neurophysiologique. Nous l'utilisons donc comme une grille descriptive, non comme un mécanisme démontré, et nous distinguons ce qui relève de l'organisation vagale établie de ce qui relève de l'interprétation.</w:t>
      </w:r>
    </w:p>
    <w:p w14:paraId="4122E571"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5. La cartographie ROP : un outil clinique, pas une miniature anatomique</w:t>
      </w:r>
    </w:p>
    <w:p w14:paraId="72C8F458" w14:textId="77777777" w:rsidR="0078516B" w:rsidRPr="00A52725" w:rsidRDefault="00000000">
      <w:pPr>
        <w:spacing w:after="140" w:line="276" w:lineRule="auto"/>
        <w:jc w:val="both"/>
        <w:rPr>
          <w:lang w:val="fr-FR"/>
        </w:rPr>
      </w:pPr>
      <w:r w:rsidRPr="00A52725">
        <w:rPr>
          <w:color w:val="1A1A1A"/>
          <w:lang w:val="fr-FR"/>
        </w:rPr>
        <w:t>La ROP utilise une cartographie tridimensionnelle du corps dans le pied, historiquement pensée sous la forme d'un corps en position fœtale. Cette représentation est un outil de localisation propre à la méthode. Elle ne signifie pas qu'un organe soit matériellement projeté dans un point du pied.</w:t>
      </w:r>
    </w:p>
    <w:p w14:paraId="2252BB12" w14:textId="77777777" w:rsidR="0078516B" w:rsidRPr="00A52725" w:rsidRDefault="00000000">
      <w:pPr>
        <w:spacing w:after="140" w:line="276" w:lineRule="auto"/>
        <w:jc w:val="both"/>
        <w:rPr>
          <w:lang w:val="fr-FR"/>
        </w:rPr>
      </w:pPr>
      <w:r w:rsidRPr="00A52725">
        <w:rPr>
          <w:color w:val="1A1A1A"/>
          <w:lang w:val="fr-FR"/>
        </w:rPr>
        <w:t>Cette distinction est essentielle pour lire le reste du livre. Les cartes cliniques sont conservées parce qu'elles structurent la pratique. Mais lorsque cela est possible, elles sont mises en regard de l'innervation réelle, des niveaux médullaires et des réseaux connus.</w:t>
      </w:r>
    </w:p>
    <w:p w14:paraId="5ADF78FB" w14:textId="77777777" w:rsidR="0078516B" w:rsidRPr="00A52725" w:rsidRDefault="00000000">
      <w:pPr>
        <w:spacing w:after="140" w:line="276" w:lineRule="auto"/>
        <w:jc w:val="both"/>
        <w:rPr>
          <w:lang w:val="fr-FR"/>
        </w:rPr>
      </w:pPr>
      <w:r w:rsidRPr="00A52725">
        <w:rPr>
          <w:color w:val="1A1A1A"/>
          <w:lang w:val="fr-FR"/>
        </w:rPr>
        <w:t>Le pied n'est pas une miniature anatomique du corps. Il peut en revanche être considéré comme une interface sensorielle riche.</w:t>
      </w:r>
    </w:p>
    <w:p w14:paraId="4A310E0C"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lastRenderedPageBreak/>
        <w:t>6. Les fondements neuro-anatomiques, en quelques lignes</w:t>
      </w:r>
    </w:p>
    <w:p w14:paraId="56F4CC88" w14:textId="77777777" w:rsidR="0078516B" w:rsidRPr="00A52725" w:rsidRDefault="00000000">
      <w:pPr>
        <w:spacing w:after="140" w:line="276" w:lineRule="auto"/>
        <w:jc w:val="both"/>
        <w:rPr>
          <w:lang w:val="fr-FR"/>
        </w:rPr>
      </w:pPr>
      <w:r w:rsidRPr="00A52725">
        <w:rPr>
          <w:color w:val="1A1A1A"/>
          <w:lang w:val="fr-FR"/>
        </w:rPr>
        <w:t>Une pression manuelle déforme la peau et les tissus sous-jacents, active des mécanorécepteurs et génère une activité afférente qui rejoint les nerfs périphériques, la moelle épinière puis les centres supérieurs [2,3]. La direction, la durée, la surface de contact et la profondeur du geste peuvent modifier les populations sensorielles recrutées.</w:t>
      </w:r>
    </w:p>
    <w:p w14:paraId="08576603" w14:textId="77777777" w:rsidR="0078516B" w:rsidRPr="00A52725" w:rsidRDefault="00000000">
      <w:pPr>
        <w:spacing w:after="140" w:line="276" w:lineRule="auto"/>
        <w:jc w:val="both"/>
        <w:rPr>
          <w:lang w:val="fr-FR"/>
        </w:rPr>
      </w:pPr>
      <w:r w:rsidRPr="00A52725">
        <w:rPr>
          <w:color w:val="1A1A1A"/>
          <w:lang w:val="fr-FR"/>
        </w:rPr>
        <w:t xml:space="preserve">Quatre grandes portes somatiques peuvent être distinguées au niveau du pied : la porte </w:t>
      </w:r>
      <w:r w:rsidRPr="00A52725">
        <w:rPr>
          <w:b/>
          <w:bCs/>
          <w:color w:val="1A1A1A"/>
          <w:lang w:val="fr-FR"/>
        </w:rPr>
        <w:t>plantaire</w:t>
      </w:r>
      <w:r w:rsidRPr="00A52725">
        <w:rPr>
          <w:color w:val="1A1A1A"/>
          <w:lang w:val="fr-FR"/>
        </w:rPr>
        <w:t xml:space="preserve">, dont les branches rejoignent principalement le nerf tibial ; la porte </w:t>
      </w:r>
      <w:r w:rsidRPr="00A52725">
        <w:rPr>
          <w:b/>
          <w:bCs/>
          <w:color w:val="1A1A1A"/>
          <w:lang w:val="fr-FR"/>
        </w:rPr>
        <w:t>latérale</w:t>
      </w:r>
      <w:r w:rsidRPr="00A52725">
        <w:rPr>
          <w:color w:val="1A1A1A"/>
          <w:lang w:val="fr-FR"/>
        </w:rPr>
        <w:t xml:space="preserve">, surale ; la porte </w:t>
      </w:r>
      <w:r w:rsidRPr="00A52725">
        <w:rPr>
          <w:b/>
          <w:bCs/>
          <w:color w:val="1A1A1A"/>
          <w:lang w:val="fr-FR"/>
        </w:rPr>
        <w:t>dorsale</w:t>
      </w:r>
      <w:r w:rsidRPr="00A52725">
        <w:rPr>
          <w:color w:val="1A1A1A"/>
          <w:lang w:val="fr-FR"/>
        </w:rPr>
        <w:t xml:space="preserve">, fibulaire ; et la porte </w:t>
      </w:r>
      <w:r w:rsidRPr="00A52725">
        <w:rPr>
          <w:b/>
          <w:bCs/>
          <w:color w:val="1A1A1A"/>
          <w:lang w:val="fr-FR"/>
        </w:rPr>
        <w:t>médiale</w:t>
      </w:r>
      <w:r w:rsidRPr="00A52725">
        <w:rPr>
          <w:color w:val="1A1A1A"/>
          <w:lang w:val="fr-FR"/>
        </w:rPr>
        <w:t>, saphène [1]. Elles ne sont équivalentes ni par leur innervation périphérique, ni par leurs racines. À l'intérieur même du territoire tibial, les branches plantaires et calcanéennes ne sont pas interchangeables.</w:t>
      </w:r>
    </w:p>
    <w:p w14:paraId="1BF12415" w14:textId="77777777" w:rsidR="0078516B" w:rsidRPr="00A52725" w:rsidRDefault="00000000">
      <w:pPr>
        <w:spacing w:after="140" w:line="276" w:lineRule="auto"/>
        <w:jc w:val="both"/>
        <w:rPr>
          <w:lang w:val="fr-FR"/>
        </w:rPr>
      </w:pPr>
      <w:r w:rsidRPr="00A52725">
        <w:rPr>
          <w:color w:val="1A1A1A"/>
          <w:lang w:val="fr-FR"/>
        </w:rPr>
        <w:t>Une confusion fréquente doit être écartée d'emblée : les cartes dermatomériques situent le pied principalement en L4, L5 et S1 [4]. Un dermatome décrit l'origine radiculaire dominante d'un territoire cutané, tandis qu'un nerf périphérique mixte contient des axones issus de plusieurs racines. Une zone plantaire n'est donc jamais « un dermatome S2 ».</w:t>
      </w:r>
    </w:p>
    <w:p w14:paraId="0D020CCE" w14:textId="77777777" w:rsidR="0078516B" w:rsidRPr="00A52725" w:rsidRDefault="00000000">
      <w:pPr>
        <w:spacing w:after="140" w:line="276" w:lineRule="auto"/>
        <w:jc w:val="both"/>
        <w:rPr>
          <w:lang w:val="fr-FR"/>
        </w:rPr>
      </w:pPr>
      <w:r w:rsidRPr="00A52725">
        <w:rPr>
          <w:color w:val="1A1A1A"/>
          <w:lang w:val="fr-FR"/>
        </w:rPr>
        <w:t xml:space="preserve">Une fois entrée dans le système nerveux, l'information somatique peut rencontrer des circuits viscéraux à plusieurs niveaux : recouvrement segmentaire, convergence entre interneurones spinaux, connexions intersegmentaires et intégration </w:t>
      </w:r>
      <w:proofErr w:type="spellStart"/>
      <w:r w:rsidRPr="00A52725">
        <w:rPr>
          <w:color w:val="1A1A1A"/>
          <w:lang w:val="fr-FR"/>
        </w:rPr>
        <w:t>supraspinale</w:t>
      </w:r>
      <w:proofErr w:type="spellEnd"/>
      <w:r w:rsidRPr="00A52725">
        <w:rPr>
          <w:color w:val="1A1A1A"/>
          <w:lang w:val="fr-FR"/>
        </w:rPr>
        <w:t xml:space="preserve">. Nous employons dans cet ouvrage le terme de </w:t>
      </w:r>
      <w:r w:rsidRPr="00A52725">
        <w:rPr>
          <w:b/>
          <w:bCs/>
          <w:color w:val="1A1A1A"/>
          <w:lang w:val="fr-FR"/>
        </w:rPr>
        <w:t>pont neuro-anatomique</w:t>
      </w:r>
      <w:r w:rsidRPr="00A52725">
        <w:rPr>
          <w:color w:val="1A1A1A"/>
          <w:lang w:val="fr-FR"/>
        </w:rPr>
        <w:t xml:space="preserve"> pour désigner ces possibilités de convergence. Il ne s'agit pas d'un câble direct point-organe, mais d'un accès possible à un réseau.</w:t>
      </w:r>
    </w:p>
    <w:p w14:paraId="22B1DFC7" w14:textId="77777777" w:rsidR="0078516B" w:rsidRPr="00A52725" w:rsidRDefault="00000000">
      <w:pPr>
        <w:spacing w:after="140" w:line="276" w:lineRule="auto"/>
        <w:jc w:val="both"/>
        <w:rPr>
          <w:lang w:val="fr-FR"/>
        </w:rPr>
      </w:pPr>
      <w:r w:rsidRPr="00A52725">
        <w:rPr>
          <w:color w:val="1A1A1A"/>
          <w:lang w:val="fr-FR"/>
        </w:rPr>
        <w:t>Plusieurs portes peuvent donc produire un effet sans être équivalentes. Le recouvrement anatomique renforce surtout la plausibilité d'un ciblage régional ; son absence n'exclut pas une modulation plus générale.</w:t>
      </w:r>
    </w:p>
    <w:p w14:paraId="1CE29DD3" w14:textId="77777777" w:rsidR="0078516B" w:rsidRPr="00A52725" w:rsidRDefault="00000000">
      <w:pPr>
        <w:spacing w:after="140" w:line="276" w:lineRule="auto"/>
        <w:jc w:val="both"/>
        <w:rPr>
          <w:lang w:val="fr-FR"/>
        </w:rPr>
      </w:pPr>
      <w:r w:rsidRPr="00A52725">
        <w:rPr>
          <w:color w:val="1A1A1A"/>
          <w:lang w:val="fr-FR"/>
        </w:rPr>
        <w:t>La méthode étant occipito-podale, signalons enfin que son versant céphalique dispose lui aussi d'un point d'ancrage expérimental : chez l'animal, une stimulation du membre postérieur peut modifier une sortie parasympathique crânienne, sans le moindre partage segmentaire et sans qu'aucune correspondance topographique précise soit pour autant démontrée [18].</w:t>
      </w:r>
    </w:p>
    <w:p w14:paraId="3CCD7AE6"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7. Le pelvis : un territoire particulièrement intéressant</w:t>
      </w:r>
    </w:p>
    <w:p w14:paraId="31F09BD4" w14:textId="77777777" w:rsidR="0078516B" w:rsidRPr="00A52725" w:rsidRDefault="00000000">
      <w:pPr>
        <w:spacing w:after="140" w:line="276" w:lineRule="auto"/>
        <w:jc w:val="both"/>
        <w:rPr>
          <w:lang w:val="fr-FR"/>
        </w:rPr>
      </w:pPr>
      <w:r w:rsidRPr="00A52725">
        <w:rPr>
          <w:color w:val="1A1A1A"/>
          <w:lang w:val="fr-FR"/>
        </w:rPr>
        <w:t>Le petit bassin constitue le meilleur exemple pour comprendre cette logique. La plausibilité pelvienne de la ROP y repose sur trois arguments indépendants plutôt que sur un seul.</w:t>
      </w:r>
    </w:p>
    <w:p w14:paraId="7696D86C" w14:textId="77777777" w:rsidR="0078516B" w:rsidRPr="00A52725" w:rsidRDefault="00000000">
      <w:pPr>
        <w:spacing w:after="140" w:line="276" w:lineRule="auto"/>
        <w:jc w:val="both"/>
        <w:rPr>
          <w:lang w:val="fr-FR"/>
        </w:rPr>
      </w:pPr>
      <w:r w:rsidRPr="00A52725">
        <w:rPr>
          <w:b/>
          <w:bCs/>
          <w:color w:val="1A1A1A"/>
          <w:lang w:val="fr-FR"/>
        </w:rPr>
        <w:t>La proximité segmentaire.</w:t>
      </w:r>
      <w:r w:rsidRPr="00A52725">
        <w:rPr>
          <w:color w:val="1A1A1A"/>
          <w:lang w:val="fr-FR"/>
        </w:rPr>
        <w:t xml:space="preserve"> Le nerf tibial est </w:t>
      </w:r>
      <w:proofErr w:type="spellStart"/>
      <w:r w:rsidRPr="00A52725">
        <w:rPr>
          <w:color w:val="1A1A1A"/>
          <w:lang w:val="fr-FR"/>
        </w:rPr>
        <w:t>pluriradiculaire</w:t>
      </w:r>
      <w:proofErr w:type="spellEnd"/>
      <w:r w:rsidRPr="00A52725">
        <w:rPr>
          <w:color w:val="1A1A1A"/>
          <w:lang w:val="fr-FR"/>
        </w:rPr>
        <w:t>, classiquement L4–S3, la constance de la contribution de S3 variant selon les sources anatomiques [1]. De nombreux circuits pelviens sont organisés autour de S2–S4 [13] : le recouvrement possible concerne donc surtout S2 et S3. Cela ne signifie pas qu'une entrée plantaire sélectionne un organe, mais qu'elle peut rejoindre des réseaux lombo-sacrés traitant également des informations périnéales et viscérales.</w:t>
      </w:r>
    </w:p>
    <w:p w14:paraId="13F9A138" w14:textId="77777777" w:rsidR="0078516B" w:rsidRPr="00A52725" w:rsidRDefault="00000000">
      <w:pPr>
        <w:spacing w:after="140" w:line="276" w:lineRule="auto"/>
        <w:jc w:val="both"/>
        <w:rPr>
          <w:lang w:val="fr-FR"/>
        </w:rPr>
      </w:pPr>
      <w:r w:rsidRPr="00A52725">
        <w:rPr>
          <w:b/>
          <w:bCs/>
          <w:color w:val="1A1A1A"/>
          <w:lang w:val="fr-FR"/>
        </w:rPr>
        <w:t>La densité documentaire.</w:t>
      </w:r>
      <w:r w:rsidRPr="00A52725">
        <w:rPr>
          <w:color w:val="1A1A1A"/>
          <w:lang w:val="fr-FR"/>
        </w:rPr>
        <w:t xml:space="preserve"> La vessie est aujourd'hui le modèle le mieux documenté : des essais randomisés contrôlés contre procédure simulée soutiennent l'efficacité de la stimulation tibiale percutanée dans l'hyperactivité vésicale [5], et les travaux mécanistiques montrent l'implication de circuits interneuronaux sacrés et de relais </w:t>
      </w:r>
      <w:proofErr w:type="spellStart"/>
      <w:r w:rsidRPr="00A52725">
        <w:rPr>
          <w:color w:val="1A1A1A"/>
          <w:lang w:val="fr-FR"/>
        </w:rPr>
        <w:t>supraspinaux</w:t>
      </w:r>
      <w:proofErr w:type="spellEnd"/>
      <w:r w:rsidRPr="00A52725">
        <w:rPr>
          <w:color w:val="1A1A1A"/>
          <w:lang w:val="fr-FR"/>
        </w:rPr>
        <w:t xml:space="preserve"> [6,7]. Le côlon distal et le rectum en constituent l'extension logique, les réseaux pelviens fonctionnant de façon intégrée plutôt que comme une juxtaposition d'organes [14,15].</w:t>
      </w:r>
    </w:p>
    <w:p w14:paraId="6AAAB017" w14:textId="77777777" w:rsidR="0078516B" w:rsidRPr="00A52725" w:rsidRDefault="00000000">
      <w:pPr>
        <w:spacing w:after="140" w:line="276" w:lineRule="auto"/>
        <w:jc w:val="both"/>
        <w:rPr>
          <w:lang w:val="fr-FR"/>
        </w:rPr>
      </w:pPr>
      <w:r w:rsidRPr="00A52725">
        <w:rPr>
          <w:b/>
          <w:bCs/>
          <w:color w:val="1A1A1A"/>
          <w:lang w:val="fr-FR"/>
        </w:rPr>
        <w:t>L'indépendance à l'égard d'une coïncidence anatomique.</w:t>
      </w:r>
      <w:r w:rsidRPr="00A52725">
        <w:rPr>
          <w:color w:val="1A1A1A"/>
          <w:lang w:val="fr-FR"/>
        </w:rPr>
        <w:t xml:space="preserve"> C'est l'argument le plus solide. Le nerf saphène, de territoire essentiellement lombaire, ne possède pas le chevauchement S2–S4 ; selon un raisonnement segmentaire strict, il aurait dû constituer le contrôle négatif idéal. Or sa stimulation inhibe la fonction vésicale chez l'animal [8], par une voie qui semble </w:t>
      </w:r>
      <w:proofErr w:type="spellStart"/>
      <w:r w:rsidRPr="00A52725">
        <w:rPr>
          <w:color w:val="1A1A1A"/>
          <w:lang w:val="fr-FR"/>
        </w:rPr>
        <w:t>supraspinale</w:t>
      </w:r>
      <w:proofErr w:type="spellEnd"/>
      <w:r w:rsidRPr="00A52725">
        <w:rPr>
          <w:color w:val="1A1A1A"/>
          <w:lang w:val="fr-FR"/>
        </w:rPr>
        <w:t xml:space="preserve"> [9], et une première étude clinique de faisabilité rapporte une proportion élevée de répondeurs [10]. La conclusion est nette : </w:t>
      </w:r>
      <w:r w:rsidRPr="00A52725">
        <w:rPr>
          <w:b/>
          <w:bCs/>
          <w:color w:val="1A1A1A"/>
          <w:lang w:val="fr-FR"/>
        </w:rPr>
        <w:t xml:space="preserve">la proximité segmentaire </w:t>
      </w:r>
      <w:r w:rsidRPr="00A52725">
        <w:rPr>
          <w:b/>
          <w:bCs/>
          <w:color w:val="1A1A1A"/>
          <w:lang w:val="fr-FR"/>
        </w:rPr>
        <w:lastRenderedPageBreak/>
        <w:t>n'est pas une condition nécessaire.</w:t>
      </w:r>
      <w:r w:rsidRPr="00A52725">
        <w:rPr>
          <w:color w:val="1A1A1A"/>
          <w:lang w:val="fr-FR"/>
        </w:rPr>
        <w:t xml:space="preserve"> Elle renforce la plausibilité d'un ciblage régional, mais l'accès aux réseaux pelviens depuis le membre inférieur ne dépend pas de la constance d'une racine.</w:t>
      </w:r>
    </w:p>
    <w:p w14:paraId="31325EE3" w14:textId="77777777" w:rsidR="0078516B" w:rsidRPr="00A52725" w:rsidRDefault="00000000">
      <w:pPr>
        <w:spacing w:after="140" w:line="276" w:lineRule="auto"/>
        <w:jc w:val="both"/>
        <w:rPr>
          <w:lang w:val="fr-FR"/>
        </w:rPr>
      </w:pPr>
      <w:r w:rsidRPr="00A52725">
        <w:rPr>
          <w:color w:val="1A1A1A"/>
          <w:lang w:val="fr-FR"/>
        </w:rPr>
        <w:t>Un modèle qui conserve sa plausibilité lorsqu'on lui retire son argument le plus cité est un modèle plus robuste, non plus fragile. Dans l'expérience clinique ROP, la région pelvienne fait d'ailleurs partie des territoires où les réponses observées sont les plus intéressantes. Cette observation n'est pas une preuve d'efficacité spécifique ; elle fournit un terrain privilégié pour confronter la cartographie de la méthode aux mécanismes connus.</w:t>
      </w:r>
    </w:p>
    <w:p w14:paraId="746EFFF5"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8. Au-delà du pelvis : modulation à distance et geste manuel</w:t>
      </w:r>
    </w:p>
    <w:p w14:paraId="615E3D82" w14:textId="77777777" w:rsidR="0078516B" w:rsidRPr="00A52725" w:rsidRDefault="00000000">
      <w:pPr>
        <w:spacing w:after="140" w:line="276" w:lineRule="auto"/>
        <w:jc w:val="both"/>
        <w:rPr>
          <w:lang w:val="fr-FR"/>
        </w:rPr>
      </w:pPr>
      <w:r w:rsidRPr="00A52725">
        <w:rPr>
          <w:color w:val="1A1A1A"/>
          <w:lang w:val="fr-FR"/>
        </w:rPr>
        <w:t xml:space="preserve">L'absence de proximité segmentaire n'interdit pas toute modulation. Une entrée somatique peut gagner le tronc cérébral et des réseaux corticaux, puis modifier par des commandes descendantes l'excitabilité de circuits spinaux et autonomes. La littérature consacrée aux réflexes </w:t>
      </w:r>
      <w:proofErr w:type="spellStart"/>
      <w:r w:rsidRPr="00A52725">
        <w:rPr>
          <w:color w:val="1A1A1A"/>
          <w:lang w:val="fr-FR"/>
        </w:rPr>
        <w:t>somato</w:t>
      </w:r>
      <w:proofErr w:type="spellEnd"/>
      <w:r w:rsidRPr="00A52725">
        <w:rPr>
          <w:color w:val="1A1A1A"/>
          <w:lang w:val="fr-FR"/>
        </w:rPr>
        <w:t xml:space="preserve">-autonomes documente largement ce principe [16]. Deux limites l'accompagnent : plus une hypothèse dépend de relais </w:t>
      </w:r>
      <w:proofErr w:type="spellStart"/>
      <w:r w:rsidRPr="00A52725">
        <w:rPr>
          <w:color w:val="1A1A1A"/>
          <w:lang w:val="fr-FR"/>
        </w:rPr>
        <w:t>supraspinaux</w:t>
      </w:r>
      <w:proofErr w:type="spellEnd"/>
      <w:r w:rsidRPr="00A52725">
        <w:rPr>
          <w:color w:val="1A1A1A"/>
          <w:lang w:val="fr-FR"/>
        </w:rPr>
        <w:t xml:space="preserve"> généraux, moins elle permet d'affirmer une spécificité régionale ; et l'effet reste, dans ce cas, à documenter organe par organe.</w:t>
      </w:r>
    </w:p>
    <w:p w14:paraId="776A8674" w14:textId="77777777" w:rsidR="0078516B" w:rsidRPr="00A52725" w:rsidRDefault="00000000">
      <w:pPr>
        <w:spacing w:after="140" w:line="276" w:lineRule="auto"/>
        <w:jc w:val="both"/>
        <w:rPr>
          <w:lang w:val="fr-FR"/>
        </w:rPr>
      </w:pPr>
      <w:r w:rsidRPr="00A52725">
        <w:rPr>
          <w:color w:val="1A1A1A"/>
          <w:lang w:val="fr-FR"/>
        </w:rPr>
        <w:t>Reste une objection propre à la ROP, que nous prenons au sérieux : une donnée issue de la neuromodulation électrique ne démontre pas l'effet d'une pression manuelle. Cette distinction sera rappelée tout au long du livre.</w:t>
      </w:r>
    </w:p>
    <w:p w14:paraId="4CB5155D" w14:textId="77777777" w:rsidR="0078516B" w:rsidRPr="00A52725" w:rsidRDefault="00000000">
      <w:pPr>
        <w:spacing w:after="140" w:line="276" w:lineRule="auto"/>
        <w:jc w:val="both"/>
        <w:rPr>
          <w:lang w:val="fr-FR"/>
        </w:rPr>
      </w:pPr>
      <w:r w:rsidRPr="00A52725">
        <w:rPr>
          <w:color w:val="1A1A1A"/>
          <w:lang w:val="fr-FR"/>
        </w:rPr>
        <w:t>Elle ne signifie pas pour autant que le geste manuel soit dépourvu de socle expérimental. Une stimulation cutanée mécanique douce, appliquée notamment au membre postérieur, modifie une fonction vésicale par un mécanisme identifié [12]. Et un essai contrôlé randomisé conduit en milieu hospitalier a évalué une intervention de réflexologie plantaire manuelle après chirurgie rectale oncologique : sur 108 patients analysés, l'incidence de l'iléus post-opératoire est réduite, de même que les délais de reprise de l'alimentation et du transit [11]. Cette étude est monocentrique, sans séance simulée dans le groupe témoin, et son protocole relève de la réflexologie plantaire classique et non de la ROP.</w:t>
      </w:r>
    </w:p>
    <w:p w14:paraId="5A016920" w14:textId="77777777" w:rsidR="0078516B" w:rsidRPr="00A52725" w:rsidRDefault="00000000">
      <w:pPr>
        <w:spacing w:after="140" w:line="276" w:lineRule="auto"/>
        <w:jc w:val="both"/>
        <w:rPr>
          <w:lang w:val="fr-FR"/>
        </w:rPr>
      </w:pPr>
      <w:r w:rsidRPr="00A52725">
        <w:rPr>
          <w:color w:val="1A1A1A"/>
          <w:lang w:val="fr-FR"/>
        </w:rPr>
        <w:t>Aucun de ces travaux n'est la ROP. Tous relèvent du bon type d'expérience, et c'est ce qui rend le programme de recherche exécutable.</w:t>
      </w:r>
    </w:p>
    <w:p w14:paraId="1F4676BE" w14:textId="77777777" w:rsidR="00CD001F" w:rsidRDefault="00000000">
      <w:pPr>
        <w:pBdr>
          <w:left w:val="single" w:sz="12" w:space="8" w:color="1B5E3F"/>
        </w:pBdr>
        <w:shd w:val="clear" w:color="auto" w:fill="FBF8F1"/>
        <w:spacing w:after="140" w:line="276" w:lineRule="auto"/>
        <w:ind w:left="340" w:right="170"/>
        <w:jc w:val="both"/>
        <w:rPr>
          <w:color w:val="1A1A1A"/>
          <w:lang w:val="fr-FR"/>
        </w:rPr>
      </w:pPr>
      <w:r w:rsidRPr="00A52725">
        <w:rPr>
          <w:b/>
          <w:bCs/>
          <w:color w:val="1A1A1A"/>
          <w:lang w:val="fr-FR"/>
        </w:rPr>
        <w:t>Pour aller plus loin</w:t>
      </w:r>
      <w:r w:rsidR="00CD001F">
        <w:rPr>
          <w:b/>
          <w:bCs/>
          <w:color w:val="1A1A1A"/>
          <w:lang w:val="fr-FR"/>
        </w:rPr>
        <w:t xml:space="preserve"> sur </w:t>
      </w:r>
      <w:r w:rsidR="00CD001F" w:rsidRPr="00CD001F">
        <w:rPr>
          <w:b/>
          <w:bCs/>
          <w:color w:val="1A1A1A"/>
          <w:lang w:val="fr-FR"/>
        </w:rPr>
        <w:t>l</w:t>
      </w:r>
      <w:r w:rsidRPr="00CD001F">
        <w:rPr>
          <w:b/>
          <w:bCs/>
          <w:color w:val="1A1A1A"/>
          <w:lang w:val="fr-FR"/>
        </w:rPr>
        <w:t>es mécanismes évoqués aux paragraphes 6 à 8</w:t>
      </w:r>
      <w:r w:rsidRPr="00A52725">
        <w:rPr>
          <w:color w:val="1A1A1A"/>
          <w:lang w:val="fr-FR"/>
        </w:rPr>
        <w:t xml:space="preserve"> </w:t>
      </w:r>
    </w:p>
    <w:p w14:paraId="032AD063" w14:textId="024EACC3" w:rsidR="0078516B" w:rsidRPr="00A52725" w:rsidRDefault="00000000">
      <w:pPr>
        <w:pBdr>
          <w:left w:val="single" w:sz="12" w:space="8" w:color="1B5E3F"/>
        </w:pBdr>
        <w:shd w:val="clear" w:color="auto" w:fill="FBF8F1"/>
        <w:spacing w:after="140" w:line="276" w:lineRule="auto"/>
        <w:ind w:left="340" w:right="170"/>
        <w:jc w:val="both"/>
        <w:rPr>
          <w:lang w:val="fr-FR"/>
        </w:rPr>
      </w:pPr>
      <w:r w:rsidRPr="00A52725">
        <w:rPr>
          <w:color w:val="1A1A1A"/>
          <w:lang w:val="fr-FR"/>
        </w:rPr>
        <w:t>Le lecteur qui souhaite le détail des sources, la comparaison des quatre portes somatiques, le dossier saphène complet et la bibliographie exhaustive les trouvera sur la page dédiée du site de la méthode :</w:t>
      </w:r>
    </w:p>
    <w:p w14:paraId="1C891EB0" w14:textId="77777777" w:rsidR="0078516B" w:rsidRPr="00A52725" w:rsidRDefault="00000000">
      <w:pPr>
        <w:pBdr>
          <w:left w:val="single" w:sz="12" w:space="8" w:color="1B5E3F"/>
        </w:pBdr>
        <w:shd w:val="clear" w:color="auto" w:fill="FBF8F1"/>
        <w:spacing w:after="140" w:line="276" w:lineRule="auto"/>
        <w:ind w:left="340" w:right="170"/>
        <w:jc w:val="both"/>
        <w:rPr>
          <w:lang w:val="fr-FR"/>
        </w:rPr>
      </w:pPr>
      <w:r w:rsidRPr="00A52725">
        <w:rPr>
          <w:b/>
          <w:bCs/>
          <w:color w:val="1A1A1A"/>
          <w:lang w:val="fr-FR"/>
        </w:rPr>
        <w:t>www.guy-boitout.com/fondements-neuro-anatomiques</w:t>
      </w:r>
    </w:p>
    <w:p w14:paraId="536B0CAC" w14:textId="77777777" w:rsidR="0078516B" w:rsidRPr="00A52725" w:rsidRDefault="00000000">
      <w:pPr>
        <w:pBdr>
          <w:left w:val="single" w:sz="12" w:space="8" w:color="1B5E3F"/>
        </w:pBdr>
        <w:shd w:val="clear" w:color="auto" w:fill="FBF8F1"/>
        <w:spacing w:after="140" w:line="276" w:lineRule="auto"/>
        <w:ind w:left="340" w:right="170"/>
        <w:jc w:val="both"/>
        <w:rPr>
          <w:lang w:val="fr-FR"/>
        </w:rPr>
      </w:pPr>
      <w:r w:rsidRPr="00A52725">
        <w:rPr>
          <w:color w:val="1A1A1A"/>
          <w:lang w:val="fr-FR"/>
        </w:rPr>
        <w:t>Cette page est mise à jour au fil des publications ; elle constitue le complément vivant de ce chapitre.</w:t>
      </w:r>
    </w:p>
    <w:p w14:paraId="4CD1FEF2" w14:textId="77777777" w:rsidR="0078516B" w:rsidRPr="00A52725" w:rsidRDefault="0078516B">
      <w:pPr>
        <w:spacing w:after="160"/>
        <w:rPr>
          <w:lang w:val="fr-FR"/>
        </w:rPr>
      </w:pPr>
    </w:p>
    <w:p w14:paraId="2F2E694D"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9. Comment lire ce livre</w:t>
      </w:r>
    </w:p>
    <w:p w14:paraId="228A6B38" w14:textId="77777777" w:rsidR="0078516B" w:rsidRPr="00A52725" w:rsidRDefault="00000000">
      <w:pPr>
        <w:spacing w:after="140" w:line="276" w:lineRule="auto"/>
        <w:jc w:val="both"/>
        <w:rPr>
          <w:lang w:val="fr-FR"/>
        </w:rPr>
      </w:pPr>
      <w:r w:rsidRPr="00A52725">
        <w:rPr>
          <w:color w:val="1A1A1A"/>
          <w:lang w:val="fr-FR"/>
        </w:rPr>
        <w:t>Chaque partie du livre correspond à une question clinique. Les cartes et les cas cliniques sont destinés à être lus avec les chapitres anatomiques, et non isolément.</w:t>
      </w:r>
    </w:p>
    <w:p w14:paraId="333FF852" w14:textId="77777777" w:rsidR="0078516B" w:rsidRPr="00A52725" w:rsidRDefault="00000000">
      <w:pPr>
        <w:pStyle w:val="ListParagraph"/>
        <w:numPr>
          <w:ilvl w:val="0"/>
          <w:numId w:val="2"/>
        </w:numPr>
        <w:spacing w:after="80" w:line="276" w:lineRule="auto"/>
        <w:jc w:val="both"/>
        <w:rPr>
          <w:lang w:val="fr-FR"/>
        </w:rPr>
      </w:pPr>
      <w:r w:rsidRPr="00A52725">
        <w:rPr>
          <w:b/>
          <w:bCs/>
          <w:color w:val="1A1A1A"/>
          <w:lang w:val="fr-FR"/>
        </w:rPr>
        <w:t>Partie I — Introduction</w:t>
      </w:r>
      <w:r w:rsidRPr="00A52725">
        <w:rPr>
          <w:color w:val="1A1A1A"/>
          <w:lang w:val="fr-FR"/>
        </w:rPr>
        <w:t xml:space="preserve"> : principes généraux, traitement, anamnèse, tests, hiérarchisation, sécurité et réévaluation.</w:t>
      </w:r>
    </w:p>
    <w:p w14:paraId="38262560" w14:textId="77777777" w:rsidR="0078516B" w:rsidRPr="00A52725" w:rsidRDefault="00000000">
      <w:pPr>
        <w:pStyle w:val="ListParagraph"/>
        <w:numPr>
          <w:ilvl w:val="0"/>
          <w:numId w:val="2"/>
        </w:numPr>
        <w:spacing w:after="80" w:line="276" w:lineRule="auto"/>
        <w:jc w:val="both"/>
        <w:rPr>
          <w:lang w:val="fr-FR"/>
        </w:rPr>
      </w:pPr>
      <w:r w:rsidRPr="00A52725">
        <w:rPr>
          <w:b/>
          <w:bCs/>
          <w:color w:val="1A1A1A"/>
          <w:lang w:val="fr-FR"/>
        </w:rPr>
        <w:t>Partie II — Systèmes nerveux</w:t>
      </w:r>
      <w:r w:rsidRPr="00A52725">
        <w:rPr>
          <w:color w:val="1A1A1A"/>
          <w:lang w:val="fr-FR"/>
        </w:rPr>
        <w:t xml:space="preserve"> : système nerveux central, système nerveux autonome et fondements neuro-anatomiques des portes somatiques.</w:t>
      </w:r>
    </w:p>
    <w:p w14:paraId="2A74A792" w14:textId="77777777" w:rsidR="0078516B" w:rsidRPr="00A52725" w:rsidRDefault="00000000">
      <w:pPr>
        <w:pStyle w:val="ListParagraph"/>
        <w:numPr>
          <w:ilvl w:val="0"/>
          <w:numId w:val="2"/>
        </w:numPr>
        <w:spacing w:after="80" w:line="276" w:lineRule="auto"/>
        <w:jc w:val="both"/>
        <w:rPr>
          <w:lang w:val="fr-FR"/>
        </w:rPr>
      </w:pPr>
      <w:r w:rsidRPr="00A52725">
        <w:rPr>
          <w:b/>
          <w:bCs/>
          <w:color w:val="1A1A1A"/>
          <w:lang w:val="fr-FR"/>
        </w:rPr>
        <w:lastRenderedPageBreak/>
        <w:t>Partie III — Stress et régulation</w:t>
      </w:r>
      <w:r w:rsidRPr="00A52725">
        <w:rPr>
          <w:color w:val="1A1A1A"/>
          <w:lang w:val="fr-FR"/>
        </w:rPr>
        <w:t xml:space="preserve"> : mécanismes transversaux de mobilisation, adaptation et récupération.</w:t>
      </w:r>
    </w:p>
    <w:p w14:paraId="584D61C2" w14:textId="77777777" w:rsidR="0078516B" w:rsidRPr="00A52725" w:rsidRDefault="00000000">
      <w:pPr>
        <w:pStyle w:val="ListParagraph"/>
        <w:numPr>
          <w:ilvl w:val="0"/>
          <w:numId w:val="2"/>
        </w:numPr>
        <w:spacing w:after="80" w:line="276" w:lineRule="auto"/>
        <w:jc w:val="both"/>
        <w:rPr>
          <w:lang w:val="fr-FR"/>
        </w:rPr>
      </w:pPr>
      <w:r w:rsidRPr="00A52725">
        <w:rPr>
          <w:b/>
          <w:bCs/>
          <w:color w:val="1A1A1A"/>
          <w:lang w:val="fr-FR"/>
        </w:rPr>
        <w:t>Partie IV — Viscères abdominaux</w:t>
      </w:r>
      <w:r w:rsidRPr="00A52725">
        <w:rPr>
          <w:color w:val="1A1A1A"/>
          <w:lang w:val="fr-FR"/>
        </w:rPr>
        <w:t xml:space="preserve"> : cavité abdominale, diaphragme, péritoine, mésos et organes digestifs.</w:t>
      </w:r>
    </w:p>
    <w:p w14:paraId="2BAC2186" w14:textId="77777777" w:rsidR="0078516B" w:rsidRPr="00A52725" w:rsidRDefault="00000000">
      <w:pPr>
        <w:pStyle w:val="ListParagraph"/>
        <w:numPr>
          <w:ilvl w:val="0"/>
          <w:numId w:val="2"/>
        </w:numPr>
        <w:spacing w:after="80" w:line="276" w:lineRule="auto"/>
        <w:jc w:val="both"/>
        <w:rPr>
          <w:lang w:val="fr-FR"/>
        </w:rPr>
      </w:pPr>
      <w:r w:rsidRPr="00A52725">
        <w:rPr>
          <w:b/>
          <w:bCs/>
          <w:color w:val="1A1A1A"/>
          <w:lang w:val="fr-FR"/>
        </w:rPr>
        <w:t>Partie V — Uro-génital et pelvien</w:t>
      </w:r>
      <w:r w:rsidRPr="00A52725">
        <w:rPr>
          <w:color w:val="1A1A1A"/>
          <w:lang w:val="fr-FR"/>
        </w:rPr>
        <w:t xml:space="preserve"> : cavité pelvienne, reins, vessie, organes génitaux et système érectile.</w:t>
      </w:r>
    </w:p>
    <w:p w14:paraId="058EE78D" w14:textId="77777777" w:rsidR="0078516B" w:rsidRPr="00A52725" w:rsidRDefault="0078516B">
      <w:pPr>
        <w:spacing w:after="80"/>
        <w:rPr>
          <w:lang w:val="fr-FR"/>
        </w:rPr>
      </w:pPr>
    </w:p>
    <w:p w14:paraId="5655C5D7" w14:textId="77777777" w:rsidR="0078516B" w:rsidRPr="00A52725" w:rsidRDefault="00000000">
      <w:pPr>
        <w:spacing w:after="140" w:line="276" w:lineRule="auto"/>
        <w:jc w:val="both"/>
        <w:rPr>
          <w:lang w:val="fr-FR"/>
        </w:rPr>
      </w:pPr>
      <w:r w:rsidRPr="00A52725">
        <w:rPr>
          <w:color w:val="1A1A1A"/>
          <w:lang w:val="fr-FR"/>
        </w:rPr>
        <w:t>Les cas cliniques montrent comment un même symptôme peut conduire à des choix différents selon l'histoire du patient, les tests, les niveaux priorisés et la réponse à la séance. Ils constituent un lien essentiel entre les cartes du livre et la réalité de la pratique.</w:t>
      </w:r>
    </w:p>
    <w:p w14:paraId="3393BD18"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10. Pourquoi le viscéral est incontournable</w:t>
      </w:r>
    </w:p>
    <w:p w14:paraId="45CA2273" w14:textId="77777777" w:rsidR="0078516B" w:rsidRPr="00A52725" w:rsidRDefault="00000000">
      <w:pPr>
        <w:spacing w:after="140" w:line="276" w:lineRule="auto"/>
        <w:jc w:val="both"/>
        <w:rPr>
          <w:lang w:val="fr-FR"/>
        </w:rPr>
      </w:pPr>
      <w:r w:rsidRPr="00A52725">
        <w:rPr>
          <w:color w:val="1A1A1A"/>
          <w:lang w:val="fr-FR"/>
        </w:rPr>
        <w:t>Le système viscéral assure une grande partie de la logistique de l'organisme : nutrition, digestion, absorption, élimination, équilibre hydrominéral, fonctions endocrines, reproduction et maintien de l'équilibre interne.</w:t>
      </w:r>
    </w:p>
    <w:p w14:paraId="769882B8" w14:textId="77777777" w:rsidR="0078516B" w:rsidRPr="00A52725" w:rsidRDefault="00000000">
      <w:pPr>
        <w:spacing w:after="140" w:line="276" w:lineRule="auto"/>
        <w:jc w:val="both"/>
        <w:rPr>
          <w:lang w:val="fr-FR"/>
        </w:rPr>
      </w:pPr>
      <w:r w:rsidRPr="00A52725">
        <w:rPr>
          <w:color w:val="1A1A1A"/>
          <w:lang w:val="fr-FR"/>
        </w:rPr>
        <w:t>Les informations viscérales et somatiques peuvent converger dans des réseaux communs. Cette organisation contribue à certaines douleurs projetées, à des modifications du tonus musculaire et à des interactions entre fonctions viscérales et somatiques [14,15,17].</w:t>
      </w:r>
    </w:p>
    <w:p w14:paraId="53DBD117" w14:textId="77777777" w:rsidR="0078516B" w:rsidRPr="00A52725" w:rsidRDefault="00000000">
      <w:pPr>
        <w:spacing w:after="140" w:line="276" w:lineRule="auto"/>
        <w:jc w:val="both"/>
        <w:rPr>
          <w:lang w:val="fr-FR"/>
        </w:rPr>
      </w:pPr>
      <w:r w:rsidRPr="00A52725">
        <w:rPr>
          <w:color w:val="1A1A1A"/>
          <w:lang w:val="fr-FR"/>
        </w:rPr>
        <w:t>L'inverse est également possible : certaines entrées somatiques peuvent modifier des circuits autonomes ou viscéraux. Ces relations ne doivent jamais être transformées en causalités automatiques.</w:t>
      </w:r>
    </w:p>
    <w:p w14:paraId="32F15020" w14:textId="77777777" w:rsidR="0078516B" w:rsidRPr="00A52725" w:rsidRDefault="00000000">
      <w:pPr>
        <w:spacing w:after="140" w:line="276" w:lineRule="auto"/>
        <w:jc w:val="both"/>
        <w:rPr>
          <w:lang w:val="fr-FR"/>
        </w:rPr>
      </w:pPr>
      <w:r w:rsidRPr="00A52725">
        <w:rPr>
          <w:color w:val="1A1A1A"/>
          <w:lang w:val="fr-FR"/>
        </w:rPr>
        <w:t>La ROP intervient dans le champ des troubles fonctionnels et de l'accompagnement. Elle ne remplace ni le diagnostic médical ni les traitements nécessaires en présence d'une maladie organique.</w:t>
      </w:r>
    </w:p>
    <w:p w14:paraId="6E9B9D42"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11. Notre parti pris : rigueur scientifique et pragmatisme clinique</w:t>
      </w:r>
    </w:p>
    <w:p w14:paraId="62ECF1AC" w14:textId="77777777" w:rsidR="0078516B" w:rsidRPr="00A52725" w:rsidRDefault="00000000">
      <w:pPr>
        <w:spacing w:after="140" w:line="276" w:lineRule="auto"/>
        <w:jc w:val="both"/>
        <w:rPr>
          <w:lang w:val="fr-FR"/>
        </w:rPr>
      </w:pPr>
      <w:r w:rsidRPr="00A52725">
        <w:rPr>
          <w:color w:val="1A1A1A"/>
          <w:lang w:val="fr-FR"/>
        </w:rPr>
        <w:t>Comme dans toute approche manuelle, certaines observations cliniques précèdent parfois la compréhension complète de leurs mécanismes. Cette situation impose deux exigences : ne pas transformer une observation en certitude et ne pas écarter ce qui mérite d'être étudié.</w:t>
      </w:r>
    </w:p>
    <w:p w14:paraId="370047B3" w14:textId="77777777" w:rsidR="0078516B" w:rsidRPr="00A52725" w:rsidRDefault="00000000">
      <w:pPr>
        <w:spacing w:after="140" w:line="276" w:lineRule="auto"/>
        <w:jc w:val="both"/>
        <w:rPr>
          <w:lang w:val="fr-FR"/>
        </w:rPr>
      </w:pPr>
      <w:r w:rsidRPr="00A52725">
        <w:rPr>
          <w:color w:val="1A1A1A"/>
          <w:lang w:val="fr-FR"/>
        </w:rPr>
        <w:t>Nous distinguons quatre niveaux de preuve :</w:t>
      </w:r>
    </w:p>
    <w:p w14:paraId="20CB6D4E" w14:textId="77777777" w:rsidR="0078516B" w:rsidRPr="00A52725" w:rsidRDefault="00000000">
      <w:pPr>
        <w:pStyle w:val="ListParagraph"/>
        <w:numPr>
          <w:ilvl w:val="0"/>
          <w:numId w:val="3"/>
        </w:numPr>
        <w:spacing w:after="80" w:line="276" w:lineRule="auto"/>
        <w:jc w:val="both"/>
        <w:rPr>
          <w:lang w:val="fr-FR"/>
        </w:rPr>
      </w:pPr>
      <w:r w:rsidRPr="00A52725">
        <w:rPr>
          <w:b/>
          <w:bCs/>
          <w:color w:val="1A1A1A"/>
          <w:lang w:val="fr-FR"/>
        </w:rPr>
        <w:t>Anatomie et physiologie établies</w:t>
      </w:r>
      <w:r w:rsidRPr="00A52725">
        <w:rPr>
          <w:color w:val="1A1A1A"/>
          <w:lang w:val="fr-FR"/>
        </w:rPr>
        <w:t xml:space="preserve"> : nerfs, racines, afférences, plexus, voies autonomes, circuits spinaux et </w:t>
      </w:r>
      <w:proofErr w:type="spellStart"/>
      <w:r w:rsidRPr="00A52725">
        <w:rPr>
          <w:color w:val="1A1A1A"/>
          <w:lang w:val="fr-FR"/>
        </w:rPr>
        <w:t>supraspinaux</w:t>
      </w:r>
      <w:proofErr w:type="spellEnd"/>
      <w:r w:rsidRPr="00A52725">
        <w:rPr>
          <w:color w:val="1A1A1A"/>
          <w:lang w:val="fr-FR"/>
        </w:rPr>
        <w:t>.</w:t>
      </w:r>
    </w:p>
    <w:p w14:paraId="372D038E" w14:textId="77777777" w:rsidR="0078516B" w:rsidRPr="00A52725" w:rsidRDefault="00000000">
      <w:pPr>
        <w:pStyle w:val="ListParagraph"/>
        <w:numPr>
          <w:ilvl w:val="0"/>
          <w:numId w:val="3"/>
        </w:numPr>
        <w:spacing w:after="80" w:line="276" w:lineRule="auto"/>
        <w:jc w:val="both"/>
        <w:rPr>
          <w:lang w:val="fr-FR"/>
        </w:rPr>
      </w:pPr>
      <w:r w:rsidRPr="00A52725">
        <w:rPr>
          <w:b/>
          <w:bCs/>
          <w:color w:val="1A1A1A"/>
          <w:lang w:val="fr-FR"/>
        </w:rPr>
        <w:t>Neurophysiologie expérimentale et clinique</w:t>
      </w:r>
      <w:r w:rsidRPr="00A52725">
        <w:rPr>
          <w:color w:val="1A1A1A"/>
          <w:lang w:val="fr-FR"/>
        </w:rPr>
        <w:t xml:space="preserve"> : données de neuromodulation tibiale et saphène, de convergence spinale, de stimulation cutanée mécanique ou de réponses cérébrales à différentes stimulations somatiques.</w:t>
      </w:r>
    </w:p>
    <w:p w14:paraId="54EE3D98" w14:textId="77777777" w:rsidR="0078516B" w:rsidRPr="00A52725" w:rsidRDefault="00000000">
      <w:pPr>
        <w:pStyle w:val="ListParagraph"/>
        <w:numPr>
          <w:ilvl w:val="0"/>
          <w:numId w:val="3"/>
        </w:numPr>
        <w:spacing w:after="80" w:line="276" w:lineRule="auto"/>
        <w:jc w:val="both"/>
        <w:rPr>
          <w:lang w:val="fr-FR"/>
        </w:rPr>
      </w:pPr>
      <w:r w:rsidRPr="00A52725">
        <w:rPr>
          <w:b/>
          <w:bCs/>
          <w:color w:val="1A1A1A"/>
          <w:lang w:val="fr-FR"/>
        </w:rPr>
        <w:t>Hypothèse neuro-anatomique ROP</w:t>
      </w:r>
      <w:r w:rsidRPr="00A52725">
        <w:rPr>
          <w:color w:val="1A1A1A"/>
          <w:lang w:val="fr-FR"/>
        </w:rPr>
        <w:t xml:space="preserve"> : proposition selon laquelle une zone ou une branche pourrait constituer une porte d'entrée plus pertinente qu'une autre pour une fonction donnée.</w:t>
      </w:r>
    </w:p>
    <w:p w14:paraId="52BDD658" w14:textId="77777777" w:rsidR="0078516B" w:rsidRPr="00A52725" w:rsidRDefault="00000000">
      <w:pPr>
        <w:pStyle w:val="ListParagraph"/>
        <w:numPr>
          <w:ilvl w:val="0"/>
          <w:numId w:val="3"/>
        </w:numPr>
        <w:spacing w:after="80" w:line="276" w:lineRule="auto"/>
        <w:jc w:val="both"/>
        <w:rPr>
          <w:lang w:val="fr-FR"/>
        </w:rPr>
      </w:pPr>
      <w:r w:rsidRPr="00A52725">
        <w:rPr>
          <w:b/>
          <w:bCs/>
          <w:color w:val="1A1A1A"/>
          <w:lang w:val="fr-FR"/>
        </w:rPr>
        <w:t>Observation clinique ROP</w:t>
      </w:r>
      <w:r w:rsidRPr="00A52725">
        <w:rPr>
          <w:color w:val="1A1A1A"/>
          <w:lang w:val="fr-FR"/>
        </w:rPr>
        <w:t xml:space="preserve"> : cartographies, réactions palpatoires, réponses immédiates ou différées et cas cliniques documentés.</w:t>
      </w:r>
    </w:p>
    <w:p w14:paraId="57D4DDE9" w14:textId="77777777" w:rsidR="0078516B" w:rsidRPr="00A52725" w:rsidRDefault="0078516B">
      <w:pPr>
        <w:spacing w:after="80"/>
        <w:rPr>
          <w:lang w:val="fr-FR"/>
        </w:rPr>
      </w:pPr>
    </w:p>
    <w:p w14:paraId="1C521BB9" w14:textId="77777777" w:rsidR="0078516B" w:rsidRPr="00A52725" w:rsidRDefault="00000000">
      <w:pPr>
        <w:spacing w:after="140" w:line="276" w:lineRule="auto"/>
        <w:jc w:val="both"/>
        <w:rPr>
          <w:lang w:val="fr-FR"/>
        </w:rPr>
      </w:pPr>
      <w:r w:rsidRPr="00A52725">
        <w:rPr>
          <w:color w:val="1A1A1A"/>
          <w:lang w:val="fr-FR"/>
        </w:rPr>
        <w:t>Une donnée issue de la neuromodulation électrique ne démontre pas automatiquement l'effet d'une pression manuelle. Une réponse clinique ne démontre pas, à elle seule, le mécanisme qui l'a produite. Mais chaque niveau de preuve peut aider à formuler une question plus précise.</w:t>
      </w:r>
    </w:p>
    <w:p w14:paraId="14FE4726" w14:textId="77777777" w:rsidR="0078516B" w:rsidRPr="00A52725" w:rsidRDefault="00000000">
      <w:pPr>
        <w:spacing w:after="140" w:line="276" w:lineRule="auto"/>
        <w:jc w:val="both"/>
        <w:rPr>
          <w:lang w:val="fr-FR"/>
        </w:rPr>
      </w:pPr>
      <w:r w:rsidRPr="00A52725">
        <w:rPr>
          <w:color w:val="1A1A1A"/>
          <w:lang w:val="fr-FR"/>
        </w:rPr>
        <w:t xml:space="preserve">Cette échelle mesure la solidité d'une affirmation ; elle ne dit rien de sa portée anatomique. Les chapitres de la partie II distinguent pour cette raison la proximité segmentaire, la spécificité de la porte d'entrée et le </w:t>
      </w:r>
      <w:r w:rsidRPr="00A52725">
        <w:rPr>
          <w:color w:val="1A1A1A"/>
          <w:lang w:val="fr-FR"/>
        </w:rPr>
        <w:lastRenderedPageBreak/>
        <w:t>niveau de preuve, qui sont trois paramètres indépendants. Une conséquence mérite d'être signalée dès maintenant : lorsque plusieurs portes produisent un effet comparable, cela n'affaiblit pas la méthode. Pour une approche manuelle, cela signifie que l'accès régional est tolérant à l'imprécision du geste — au prix, que nous assumons, de l'abandon de toute prétention à une correspondance point-organe exclusive.</w:t>
      </w:r>
    </w:p>
    <w:p w14:paraId="79FC4675" w14:textId="77777777" w:rsidR="0078516B" w:rsidRPr="00A52725" w:rsidRDefault="00000000">
      <w:pPr>
        <w:pStyle w:val="Heading2"/>
        <w:keepNext/>
        <w:spacing w:before="320" w:after="130"/>
        <w:rPr>
          <w:lang w:val="fr-FR"/>
        </w:rPr>
      </w:pPr>
      <w:r w:rsidRPr="00A52725">
        <w:rPr>
          <w:b/>
          <w:bCs/>
          <w:color w:val="1B5E3F"/>
          <w:sz w:val="24"/>
          <w:szCs w:val="24"/>
          <w:lang w:val="fr-FR"/>
        </w:rPr>
        <w:t>11.1. De la carte clinique à l'observation structurée</w:t>
      </w:r>
    </w:p>
    <w:p w14:paraId="5E27E58C" w14:textId="77777777" w:rsidR="0078516B" w:rsidRPr="00A52725" w:rsidRDefault="00000000">
      <w:pPr>
        <w:spacing w:after="140" w:line="276" w:lineRule="auto"/>
        <w:jc w:val="both"/>
        <w:rPr>
          <w:lang w:val="fr-FR"/>
        </w:rPr>
      </w:pPr>
      <w:r w:rsidRPr="00A52725">
        <w:rPr>
          <w:color w:val="1A1A1A"/>
          <w:lang w:val="fr-FR"/>
        </w:rPr>
        <w:t xml:space="preserve">L'application </w:t>
      </w:r>
      <w:proofErr w:type="spellStart"/>
      <w:r w:rsidRPr="00A52725">
        <w:rPr>
          <w:color w:val="1A1A1A"/>
          <w:lang w:val="fr-FR"/>
        </w:rPr>
        <w:t>SuiviPatient</w:t>
      </w:r>
      <w:proofErr w:type="spellEnd"/>
      <w:r w:rsidRPr="00A52725">
        <w:rPr>
          <w:color w:val="1A1A1A"/>
          <w:lang w:val="fr-FR"/>
        </w:rPr>
        <w:t>, mise gratuitement à disposition des praticiens certifiés ROP, s'inscrit dans cette logique. Elle permet de documenter le motif principal de consultation, l'anamnèse, les zones travaillées, le protocole suivi, les réactions observées et l'évolution des symptômes ou des capacités fonctionnelles.</w:t>
      </w:r>
    </w:p>
    <w:p w14:paraId="3B9E0D31" w14:textId="77777777" w:rsidR="0078516B" w:rsidRPr="00A52725" w:rsidRDefault="00000000">
      <w:pPr>
        <w:spacing w:after="140" w:line="276" w:lineRule="auto"/>
        <w:jc w:val="both"/>
        <w:rPr>
          <w:lang w:val="fr-FR"/>
        </w:rPr>
      </w:pPr>
      <w:r w:rsidRPr="00A52725">
        <w:rPr>
          <w:color w:val="1A1A1A"/>
          <w:lang w:val="fr-FR"/>
        </w:rPr>
        <w:t>L'objectif n'est pas de transformer chaque séance en expérience, mais de rendre les observations plus comparables, de mieux identifier les protocoles utiles, les limites de la méthode et les questions qui méritent une étude plus formelle.</w:t>
      </w:r>
    </w:p>
    <w:p w14:paraId="396CE8C4" w14:textId="77777777" w:rsidR="0078516B" w:rsidRPr="00A52725" w:rsidRDefault="00000000">
      <w:pPr>
        <w:spacing w:after="140" w:line="276" w:lineRule="auto"/>
        <w:jc w:val="both"/>
        <w:rPr>
          <w:lang w:val="fr-FR"/>
        </w:rPr>
      </w:pPr>
      <w:r w:rsidRPr="00A52725">
        <w:rPr>
          <w:color w:val="1A1A1A"/>
          <w:lang w:val="fr-FR"/>
        </w:rPr>
        <w:t>Une variable mérite d'être documentée avec plus de soin qu'elle ne l'est habituellement : les caractéristiques mécaniques du geste — surface de contact, direction, profondeur, pression exercée, durée et fréquence de répétition. La littérature sur la stimulation mécanique fournit désormais des ordres de grandeur ; il devient possible, et souhaitable, de traiter la pression comme une grandeur mesurée plutôt que décrite.</w:t>
      </w:r>
    </w:p>
    <w:p w14:paraId="222A8A7C"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12. Deux repères anatomiques fondamentaux</w:t>
      </w:r>
    </w:p>
    <w:p w14:paraId="550F845F" w14:textId="77777777" w:rsidR="0078516B" w:rsidRPr="00A52725" w:rsidRDefault="00000000">
      <w:pPr>
        <w:pStyle w:val="Heading2"/>
        <w:keepNext/>
        <w:spacing w:before="320" w:after="130"/>
        <w:rPr>
          <w:lang w:val="fr-FR"/>
        </w:rPr>
      </w:pPr>
      <w:r w:rsidRPr="00A52725">
        <w:rPr>
          <w:b/>
          <w:bCs/>
          <w:color w:val="1B5E3F"/>
          <w:sz w:val="24"/>
          <w:szCs w:val="24"/>
          <w:lang w:val="fr-FR"/>
        </w:rPr>
        <w:t>12.1. Le diaphragme</w:t>
      </w:r>
    </w:p>
    <w:p w14:paraId="4F561BBC" w14:textId="77777777" w:rsidR="0078516B" w:rsidRPr="00A52725" w:rsidRDefault="00000000">
      <w:pPr>
        <w:spacing w:after="140" w:line="276" w:lineRule="auto"/>
        <w:jc w:val="both"/>
        <w:rPr>
          <w:lang w:val="fr-FR"/>
        </w:rPr>
      </w:pPr>
      <w:r w:rsidRPr="00A52725">
        <w:rPr>
          <w:color w:val="1A1A1A"/>
          <w:lang w:val="fr-FR"/>
        </w:rPr>
        <w:t>Les deux coupoles diaphragmatiques ne se trouvent pas à la même hauteur. La coupole droite est généralement plus haute que la gauche, notamment en raison de la présence du foie. Cette asymétrie doit être respectée dans la cartographie et dans l'examen clinique.</w:t>
      </w:r>
    </w:p>
    <w:p w14:paraId="3572D25D" w14:textId="77777777" w:rsidR="0078516B" w:rsidRPr="00A52725" w:rsidRDefault="00000000">
      <w:pPr>
        <w:pStyle w:val="Heading2"/>
        <w:keepNext/>
        <w:spacing w:before="320" w:after="130"/>
        <w:rPr>
          <w:lang w:val="fr-FR"/>
        </w:rPr>
      </w:pPr>
      <w:r w:rsidRPr="00A52725">
        <w:rPr>
          <w:b/>
          <w:bCs/>
          <w:color w:val="1B5E3F"/>
          <w:sz w:val="24"/>
          <w:szCs w:val="24"/>
          <w:lang w:val="fr-FR"/>
        </w:rPr>
        <w:t>12.2. Le péritoine</w:t>
      </w:r>
    </w:p>
    <w:p w14:paraId="10FD162D" w14:textId="77777777" w:rsidR="0078516B" w:rsidRPr="00A52725" w:rsidRDefault="00000000">
      <w:pPr>
        <w:spacing w:after="140" w:line="276" w:lineRule="auto"/>
        <w:jc w:val="both"/>
        <w:rPr>
          <w:lang w:val="fr-FR"/>
        </w:rPr>
      </w:pPr>
      <w:r w:rsidRPr="00A52725">
        <w:rPr>
          <w:color w:val="1A1A1A"/>
          <w:lang w:val="fr-FR"/>
        </w:rPr>
        <w:t>Le péritoine constitue une interface majeure entre les viscères et les parois. Par ses replis, ses mésos, ses ligaments et ses rapports, il participe à la suspension des organes, à leurs plans de glissement, aux rapports vasculaires et nerveux et à l'organisation des espaces abdominaux et pelviens.</w:t>
      </w:r>
    </w:p>
    <w:p w14:paraId="58486E66"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13. Terminologie</w:t>
      </w:r>
    </w:p>
    <w:p w14:paraId="6DC025C7" w14:textId="77777777" w:rsidR="0078516B" w:rsidRPr="00A52725" w:rsidRDefault="00000000">
      <w:pPr>
        <w:spacing w:after="140" w:line="276" w:lineRule="auto"/>
        <w:jc w:val="both"/>
        <w:rPr>
          <w:lang w:val="fr-FR"/>
        </w:rPr>
      </w:pPr>
      <w:r w:rsidRPr="00A52725">
        <w:rPr>
          <w:color w:val="1A1A1A"/>
          <w:lang w:val="fr-FR"/>
        </w:rPr>
        <w:t>Dans un souci de clarté et de cohérence anatomique, nous adopterons les termes suivants :</w:t>
      </w:r>
    </w:p>
    <w:p w14:paraId="7F76449E" w14:textId="77777777" w:rsidR="0078516B" w:rsidRPr="00A52725" w:rsidRDefault="00000000">
      <w:pPr>
        <w:pStyle w:val="ListParagraph"/>
        <w:numPr>
          <w:ilvl w:val="0"/>
          <w:numId w:val="2"/>
        </w:numPr>
        <w:spacing w:after="80" w:line="276" w:lineRule="auto"/>
        <w:jc w:val="both"/>
        <w:rPr>
          <w:lang w:val="fr-FR"/>
        </w:rPr>
      </w:pPr>
      <w:proofErr w:type="gramStart"/>
      <w:r w:rsidRPr="00A52725">
        <w:rPr>
          <w:b/>
          <w:bCs/>
          <w:color w:val="1A1A1A"/>
          <w:lang w:val="fr-FR"/>
        </w:rPr>
        <w:t>dorsalement</w:t>
      </w:r>
      <w:proofErr w:type="gramEnd"/>
      <w:r w:rsidRPr="00A52725">
        <w:rPr>
          <w:color w:val="1A1A1A"/>
          <w:lang w:val="fr-FR"/>
        </w:rPr>
        <w:t>, à la place de « postérieurement » lorsque l'orientation corporelle le justifie ;</w:t>
      </w:r>
    </w:p>
    <w:p w14:paraId="77334F04" w14:textId="77777777" w:rsidR="0078516B" w:rsidRPr="00A52725" w:rsidRDefault="00000000">
      <w:pPr>
        <w:pStyle w:val="ListParagraph"/>
        <w:numPr>
          <w:ilvl w:val="0"/>
          <w:numId w:val="2"/>
        </w:numPr>
        <w:spacing w:after="80" w:line="276" w:lineRule="auto"/>
        <w:jc w:val="both"/>
        <w:rPr>
          <w:lang w:val="fr-FR"/>
        </w:rPr>
      </w:pPr>
      <w:proofErr w:type="gramStart"/>
      <w:r w:rsidRPr="00A52725">
        <w:rPr>
          <w:b/>
          <w:bCs/>
          <w:color w:val="1A1A1A"/>
          <w:lang w:val="fr-FR"/>
        </w:rPr>
        <w:t>ventralement</w:t>
      </w:r>
      <w:proofErr w:type="gramEnd"/>
      <w:r w:rsidRPr="00A52725">
        <w:rPr>
          <w:color w:val="1A1A1A"/>
          <w:lang w:val="fr-FR"/>
        </w:rPr>
        <w:t>, à la place de « antérieurement » ;</w:t>
      </w:r>
    </w:p>
    <w:p w14:paraId="066B42C5" w14:textId="77777777" w:rsidR="0078516B" w:rsidRPr="00A52725" w:rsidRDefault="00000000">
      <w:pPr>
        <w:pStyle w:val="ListParagraph"/>
        <w:numPr>
          <w:ilvl w:val="0"/>
          <w:numId w:val="2"/>
        </w:numPr>
        <w:spacing w:after="80" w:line="276" w:lineRule="auto"/>
        <w:jc w:val="both"/>
        <w:rPr>
          <w:lang w:val="fr-FR"/>
        </w:rPr>
      </w:pPr>
      <w:proofErr w:type="gramStart"/>
      <w:r w:rsidRPr="00A52725">
        <w:rPr>
          <w:b/>
          <w:bCs/>
          <w:color w:val="1A1A1A"/>
          <w:lang w:val="fr-FR"/>
        </w:rPr>
        <w:t>latéralement</w:t>
      </w:r>
      <w:proofErr w:type="gramEnd"/>
      <w:r w:rsidRPr="00A52725">
        <w:rPr>
          <w:color w:val="1A1A1A"/>
          <w:lang w:val="fr-FR"/>
        </w:rPr>
        <w:t>, à la place de « extérieurement » ;</w:t>
      </w:r>
    </w:p>
    <w:p w14:paraId="5BED2BD9" w14:textId="77777777" w:rsidR="0078516B" w:rsidRPr="00A52725" w:rsidRDefault="00000000">
      <w:pPr>
        <w:pStyle w:val="ListParagraph"/>
        <w:numPr>
          <w:ilvl w:val="0"/>
          <w:numId w:val="2"/>
        </w:numPr>
        <w:spacing w:after="80" w:line="276" w:lineRule="auto"/>
        <w:jc w:val="both"/>
        <w:rPr>
          <w:lang w:val="fr-FR"/>
        </w:rPr>
      </w:pPr>
      <w:proofErr w:type="gramStart"/>
      <w:r w:rsidRPr="00A52725">
        <w:rPr>
          <w:b/>
          <w:bCs/>
          <w:color w:val="1A1A1A"/>
          <w:lang w:val="fr-FR"/>
        </w:rPr>
        <w:t>médialement</w:t>
      </w:r>
      <w:proofErr w:type="gramEnd"/>
      <w:r w:rsidRPr="00A52725">
        <w:rPr>
          <w:color w:val="1A1A1A"/>
          <w:lang w:val="fr-FR"/>
        </w:rPr>
        <w:t>, à la place de « intérieurement » ;</w:t>
      </w:r>
    </w:p>
    <w:p w14:paraId="34B80B16" w14:textId="77777777" w:rsidR="0078516B" w:rsidRPr="00A52725" w:rsidRDefault="00000000">
      <w:pPr>
        <w:pStyle w:val="ListParagraph"/>
        <w:numPr>
          <w:ilvl w:val="0"/>
          <w:numId w:val="2"/>
        </w:numPr>
        <w:spacing w:after="80" w:line="276" w:lineRule="auto"/>
        <w:jc w:val="both"/>
        <w:rPr>
          <w:lang w:val="fr-FR"/>
        </w:rPr>
      </w:pPr>
      <w:proofErr w:type="spellStart"/>
      <w:proofErr w:type="gramStart"/>
      <w:r w:rsidRPr="00A52725">
        <w:rPr>
          <w:b/>
          <w:bCs/>
          <w:color w:val="1A1A1A"/>
          <w:lang w:val="fr-FR"/>
        </w:rPr>
        <w:t>céphaliquement</w:t>
      </w:r>
      <w:proofErr w:type="spellEnd"/>
      <w:proofErr w:type="gramEnd"/>
      <w:r w:rsidRPr="00A52725">
        <w:rPr>
          <w:color w:val="1A1A1A"/>
          <w:lang w:val="fr-FR"/>
        </w:rPr>
        <w:t>, à la place de « vers le haut » ;</w:t>
      </w:r>
    </w:p>
    <w:p w14:paraId="138E0A03" w14:textId="77777777" w:rsidR="0078516B" w:rsidRPr="00A52725" w:rsidRDefault="00000000">
      <w:pPr>
        <w:pStyle w:val="ListParagraph"/>
        <w:numPr>
          <w:ilvl w:val="0"/>
          <w:numId w:val="2"/>
        </w:numPr>
        <w:spacing w:after="80" w:line="276" w:lineRule="auto"/>
        <w:jc w:val="both"/>
        <w:rPr>
          <w:lang w:val="fr-FR"/>
        </w:rPr>
      </w:pPr>
      <w:proofErr w:type="gramStart"/>
      <w:r w:rsidRPr="00A52725">
        <w:rPr>
          <w:b/>
          <w:bCs/>
          <w:color w:val="1A1A1A"/>
          <w:lang w:val="fr-FR"/>
        </w:rPr>
        <w:t>caudalement</w:t>
      </w:r>
      <w:proofErr w:type="gramEnd"/>
      <w:r w:rsidRPr="00A52725">
        <w:rPr>
          <w:color w:val="1A1A1A"/>
          <w:lang w:val="fr-FR"/>
        </w:rPr>
        <w:t>, à la place de « vers le bas » ;</w:t>
      </w:r>
    </w:p>
    <w:p w14:paraId="4B22BF59" w14:textId="77777777" w:rsidR="0078516B" w:rsidRPr="00A52725" w:rsidRDefault="00000000">
      <w:pPr>
        <w:pStyle w:val="ListParagraph"/>
        <w:numPr>
          <w:ilvl w:val="0"/>
          <w:numId w:val="2"/>
        </w:numPr>
        <w:spacing w:after="80" w:line="276" w:lineRule="auto"/>
        <w:jc w:val="both"/>
        <w:rPr>
          <w:lang w:val="fr-FR"/>
        </w:rPr>
      </w:pPr>
      <w:proofErr w:type="gramStart"/>
      <w:r w:rsidRPr="00A52725">
        <w:rPr>
          <w:b/>
          <w:bCs/>
          <w:color w:val="1A1A1A"/>
          <w:lang w:val="fr-FR"/>
        </w:rPr>
        <w:t>frontalement</w:t>
      </w:r>
      <w:proofErr w:type="gramEnd"/>
      <w:r w:rsidRPr="00A52725">
        <w:rPr>
          <w:color w:val="1A1A1A"/>
          <w:lang w:val="fr-FR"/>
        </w:rPr>
        <w:t>, pour décrire une orientation dans le plan frontal ;</w:t>
      </w:r>
    </w:p>
    <w:p w14:paraId="0F13A442" w14:textId="77777777" w:rsidR="0078516B" w:rsidRPr="00A52725" w:rsidRDefault="00000000">
      <w:pPr>
        <w:pStyle w:val="ListParagraph"/>
        <w:numPr>
          <w:ilvl w:val="0"/>
          <w:numId w:val="2"/>
        </w:numPr>
        <w:spacing w:after="80" w:line="276" w:lineRule="auto"/>
        <w:jc w:val="both"/>
        <w:rPr>
          <w:lang w:val="fr-FR"/>
        </w:rPr>
      </w:pPr>
      <w:proofErr w:type="gramStart"/>
      <w:r w:rsidRPr="00A52725">
        <w:rPr>
          <w:b/>
          <w:bCs/>
          <w:color w:val="1A1A1A"/>
          <w:lang w:val="fr-FR"/>
        </w:rPr>
        <w:t>sagittalement</w:t>
      </w:r>
      <w:proofErr w:type="gramEnd"/>
      <w:r w:rsidRPr="00A52725">
        <w:rPr>
          <w:color w:val="1A1A1A"/>
          <w:lang w:val="fr-FR"/>
        </w:rPr>
        <w:t>, pour décrire une orientation dans le plan sagittal.</w:t>
      </w:r>
    </w:p>
    <w:p w14:paraId="7F91332B" w14:textId="77777777" w:rsidR="0078516B" w:rsidRPr="00A52725" w:rsidRDefault="0078516B">
      <w:pPr>
        <w:spacing w:after="80"/>
        <w:rPr>
          <w:lang w:val="fr-FR"/>
        </w:rPr>
      </w:pPr>
    </w:p>
    <w:p w14:paraId="0064E57F" w14:textId="77777777" w:rsidR="0078516B" w:rsidRPr="00A52725" w:rsidRDefault="00000000">
      <w:pPr>
        <w:spacing w:after="140" w:line="276" w:lineRule="auto"/>
        <w:jc w:val="both"/>
        <w:rPr>
          <w:lang w:val="fr-FR"/>
        </w:rPr>
      </w:pPr>
      <w:r w:rsidRPr="00A52725">
        <w:rPr>
          <w:color w:val="1A1A1A"/>
          <w:lang w:val="fr-FR"/>
        </w:rPr>
        <w:lastRenderedPageBreak/>
        <w:t>Nous privilégions par ailleurs les verbes « générer une entrée somatique », « recruter un réseau », « moduler l'excitabilité d'un circuit » ou « influencer une fonction », plutôt que « atteindre » ou « agir sur », qui suggèrent à tort une continuité directe entre un point du pied et un organe.</w:t>
      </w:r>
    </w:p>
    <w:p w14:paraId="39C4E9C4"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14. Plan-type des chapitres</w:t>
      </w:r>
    </w:p>
    <w:p w14:paraId="5248D99F" w14:textId="77777777" w:rsidR="0078516B" w:rsidRPr="00A52725" w:rsidRDefault="00000000">
      <w:pPr>
        <w:pStyle w:val="Heading2"/>
        <w:keepNext/>
        <w:spacing w:before="320" w:after="130"/>
        <w:rPr>
          <w:lang w:val="fr-FR"/>
        </w:rPr>
      </w:pPr>
      <w:r w:rsidRPr="00A52725">
        <w:rPr>
          <w:b/>
          <w:bCs/>
          <w:color w:val="1B5E3F"/>
          <w:sz w:val="24"/>
          <w:szCs w:val="24"/>
          <w:lang w:val="fr-FR"/>
        </w:rPr>
        <w:t>14.1. Présentation</w:t>
      </w:r>
    </w:p>
    <w:p w14:paraId="4FD193AF" w14:textId="77777777" w:rsidR="0078516B" w:rsidRPr="00A52725" w:rsidRDefault="00000000">
      <w:pPr>
        <w:spacing w:after="140" w:line="276" w:lineRule="auto"/>
        <w:jc w:val="both"/>
        <w:rPr>
          <w:lang w:val="fr-FR"/>
        </w:rPr>
      </w:pPr>
      <w:r w:rsidRPr="00A52725">
        <w:rPr>
          <w:color w:val="1A1A1A"/>
          <w:lang w:val="fr-FR"/>
        </w:rPr>
        <w:t>Situe l'organe dans le raisonnement général du livre et précise son intérêt clinique.</w:t>
      </w:r>
    </w:p>
    <w:p w14:paraId="361B8222" w14:textId="77777777" w:rsidR="0078516B" w:rsidRPr="00A52725" w:rsidRDefault="00000000">
      <w:pPr>
        <w:pStyle w:val="Heading2"/>
        <w:keepNext/>
        <w:spacing w:before="320" w:after="130"/>
        <w:rPr>
          <w:lang w:val="fr-FR"/>
        </w:rPr>
      </w:pPr>
      <w:r w:rsidRPr="00A52725">
        <w:rPr>
          <w:b/>
          <w:bCs/>
          <w:color w:val="1B5E3F"/>
          <w:sz w:val="24"/>
          <w:szCs w:val="24"/>
          <w:lang w:val="fr-FR"/>
        </w:rPr>
        <w:t>14.2. Situation</w:t>
      </w:r>
    </w:p>
    <w:p w14:paraId="585C18DC" w14:textId="77777777" w:rsidR="0078516B" w:rsidRPr="00A52725" w:rsidRDefault="00000000">
      <w:pPr>
        <w:spacing w:after="140" w:line="276" w:lineRule="auto"/>
        <w:jc w:val="both"/>
        <w:rPr>
          <w:lang w:val="fr-FR"/>
        </w:rPr>
      </w:pPr>
      <w:r w:rsidRPr="00A52725">
        <w:rPr>
          <w:color w:val="1A1A1A"/>
          <w:lang w:val="fr-FR"/>
        </w:rPr>
        <w:t>Localise l'organe dans la cavité concernée et définit ses principaux repères.</w:t>
      </w:r>
    </w:p>
    <w:p w14:paraId="603286D6" w14:textId="77777777" w:rsidR="0078516B" w:rsidRPr="00A52725" w:rsidRDefault="00000000">
      <w:pPr>
        <w:pStyle w:val="Heading2"/>
        <w:keepNext/>
        <w:spacing w:before="320" w:after="130"/>
        <w:rPr>
          <w:lang w:val="fr-FR"/>
        </w:rPr>
      </w:pPr>
      <w:r w:rsidRPr="00A52725">
        <w:rPr>
          <w:b/>
          <w:bCs/>
          <w:color w:val="1B5E3F"/>
          <w:sz w:val="24"/>
          <w:szCs w:val="24"/>
          <w:lang w:val="fr-FR"/>
        </w:rPr>
        <w:t>14.3. Anatomie</w:t>
      </w:r>
    </w:p>
    <w:p w14:paraId="0D6BB48F" w14:textId="77777777" w:rsidR="0078516B" w:rsidRPr="00A52725" w:rsidRDefault="00000000">
      <w:pPr>
        <w:spacing w:after="140" w:line="276" w:lineRule="auto"/>
        <w:jc w:val="both"/>
        <w:rPr>
          <w:lang w:val="fr-FR"/>
        </w:rPr>
      </w:pPr>
      <w:r w:rsidRPr="00A52725">
        <w:rPr>
          <w:color w:val="1A1A1A"/>
          <w:lang w:val="fr-FR"/>
        </w:rPr>
        <w:t>Décrit sa forme, ses parties constitutives et ses caractéristiques essentielles.</w:t>
      </w:r>
    </w:p>
    <w:p w14:paraId="77FA8C3E" w14:textId="77777777" w:rsidR="0078516B" w:rsidRPr="00A52725" w:rsidRDefault="00000000">
      <w:pPr>
        <w:pStyle w:val="Heading2"/>
        <w:keepNext/>
        <w:spacing w:before="320" w:after="130"/>
        <w:rPr>
          <w:lang w:val="fr-FR"/>
        </w:rPr>
      </w:pPr>
      <w:r w:rsidRPr="00A52725">
        <w:rPr>
          <w:b/>
          <w:bCs/>
          <w:color w:val="1B5E3F"/>
          <w:sz w:val="24"/>
          <w:szCs w:val="24"/>
          <w:lang w:val="fr-FR"/>
        </w:rPr>
        <w:t>14.4. Rapports</w:t>
      </w:r>
    </w:p>
    <w:p w14:paraId="61E30C80" w14:textId="77777777" w:rsidR="0078516B" w:rsidRPr="00A52725" w:rsidRDefault="00000000">
      <w:pPr>
        <w:spacing w:after="140" w:line="276" w:lineRule="auto"/>
        <w:jc w:val="both"/>
        <w:rPr>
          <w:lang w:val="fr-FR"/>
        </w:rPr>
      </w:pPr>
      <w:r w:rsidRPr="00A52725">
        <w:rPr>
          <w:color w:val="1A1A1A"/>
          <w:lang w:val="fr-FR"/>
        </w:rPr>
        <w:t>Présente ses relations avec les organes voisins, les parois, les fascias, les muscles, les ligaments et les structures vasculo-nerveuses.</w:t>
      </w:r>
    </w:p>
    <w:p w14:paraId="5E636C94" w14:textId="77777777" w:rsidR="0078516B" w:rsidRPr="00A52725" w:rsidRDefault="00000000">
      <w:pPr>
        <w:pStyle w:val="Heading2"/>
        <w:keepNext/>
        <w:spacing w:before="320" w:after="130"/>
        <w:rPr>
          <w:lang w:val="fr-FR"/>
        </w:rPr>
      </w:pPr>
      <w:r w:rsidRPr="00A52725">
        <w:rPr>
          <w:b/>
          <w:bCs/>
          <w:color w:val="1B5E3F"/>
          <w:sz w:val="24"/>
          <w:szCs w:val="24"/>
          <w:lang w:val="fr-FR"/>
        </w:rPr>
        <w:t>14.5. Vascularisation</w:t>
      </w:r>
    </w:p>
    <w:p w14:paraId="2749610E" w14:textId="77777777" w:rsidR="0078516B" w:rsidRPr="00A52725" w:rsidRDefault="00000000">
      <w:pPr>
        <w:spacing w:after="140" w:line="276" w:lineRule="auto"/>
        <w:jc w:val="both"/>
        <w:rPr>
          <w:lang w:val="fr-FR"/>
        </w:rPr>
      </w:pPr>
      <w:r w:rsidRPr="00A52725">
        <w:rPr>
          <w:color w:val="1A1A1A"/>
          <w:lang w:val="fr-FR"/>
        </w:rPr>
        <w:t>Décrit les principaux axes artériels, veineux et, lorsque cela est pertinent, lymphatiques.</w:t>
      </w:r>
    </w:p>
    <w:p w14:paraId="451D1028" w14:textId="77777777" w:rsidR="0078516B" w:rsidRPr="00A52725" w:rsidRDefault="00000000">
      <w:pPr>
        <w:pStyle w:val="Heading2"/>
        <w:keepNext/>
        <w:spacing w:before="320" w:after="130"/>
        <w:rPr>
          <w:lang w:val="fr-FR"/>
        </w:rPr>
      </w:pPr>
      <w:r w:rsidRPr="00A52725">
        <w:rPr>
          <w:b/>
          <w:bCs/>
          <w:color w:val="1B5E3F"/>
          <w:sz w:val="24"/>
          <w:szCs w:val="24"/>
          <w:lang w:val="fr-FR"/>
        </w:rPr>
        <w:t>14.6. Innervation</w:t>
      </w:r>
    </w:p>
    <w:p w14:paraId="07019F9C" w14:textId="77777777" w:rsidR="0078516B" w:rsidRPr="00A52725" w:rsidRDefault="00000000">
      <w:pPr>
        <w:spacing w:after="140" w:line="276" w:lineRule="auto"/>
        <w:jc w:val="both"/>
        <w:rPr>
          <w:lang w:val="fr-FR"/>
        </w:rPr>
      </w:pPr>
      <w:r w:rsidRPr="00A52725">
        <w:rPr>
          <w:color w:val="1A1A1A"/>
          <w:lang w:val="fr-FR"/>
        </w:rPr>
        <w:t>Présente les voies sympathiques et parasympathiques, les plexus, les afférences viscérales et les niveaux médullaires associés.</w:t>
      </w:r>
    </w:p>
    <w:p w14:paraId="6454C550" w14:textId="77777777" w:rsidR="0078516B" w:rsidRPr="00A52725" w:rsidRDefault="00000000">
      <w:pPr>
        <w:pStyle w:val="Heading2"/>
        <w:keepNext/>
        <w:spacing w:before="320" w:after="130"/>
        <w:rPr>
          <w:lang w:val="fr-FR"/>
        </w:rPr>
      </w:pPr>
      <w:r w:rsidRPr="00A52725">
        <w:rPr>
          <w:b/>
          <w:bCs/>
          <w:color w:val="1B5E3F"/>
          <w:sz w:val="24"/>
          <w:szCs w:val="24"/>
          <w:lang w:val="fr-FR"/>
        </w:rPr>
        <w:t>14.7. Physiologie</w:t>
      </w:r>
    </w:p>
    <w:p w14:paraId="23227D42" w14:textId="77777777" w:rsidR="0078516B" w:rsidRPr="00A52725" w:rsidRDefault="00000000">
      <w:pPr>
        <w:spacing w:after="140" w:line="276" w:lineRule="auto"/>
        <w:jc w:val="both"/>
        <w:rPr>
          <w:lang w:val="fr-FR"/>
        </w:rPr>
      </w:pPr>
      <w:r w:rsidRPr="00A52725">
        <w:rPr>
          <w:color w:val="1A1A1A"/>
          <w:lang w:val="fr-FR"/>
        </w:rPr>
        <w:t>Rappelle les fonctions principales de l'organe et leur régulation.</w:t>
      </w:r>
    </w:p>
    <w:p w14:paraId="7D2C15BB" w14:textId="77777777" w:rsidR="0078516B" w:rsidRPr="00A52725" w:rsidRDefault="00000000">
      <w:pPr>
        <w:pStyle w:val="Heading2"/>
        <w:keepNext/>
        <w:spacing w:before="320" w:after="130"/>
        <w:rPr>
          <w:lang w:val="fr-FR"/>
        </w:rPr>
      </w:pPr>
      <w:r w:rsidRPr="00A52725">
        <w:rPr>
          <w:b/>
          <w:bCs/>
          <w:color w:val="1B5E3F"/>
          <w:sz w:val="24"/>
          <w:szCs w:val="24"/>
          <w:lang w:val="fr-FR"/>
        </w:rPr>
        <w:t>14.8. Pathologies courantes</w:t>
      </w:r>
    </w:p>
    <w:p w14:paraId="1F4A8F16" w14:textId="77777777" w:rsidR="0078516B" w:rsidRPr="00A52725" w:rsidRDefault="00000000">
      <w:pPr>
        <w:spacing w:after="140" w:line="276" w:lineRule="auto"/>
        <w:jc w:val="both"/>
        <w:rPr>
          <w:lang w:val="fr-FR"/>
        </w:rPr>
      </w:pPr>
      <w:r w:rsidRPr="00A52725">
        <w:rPr>
          <w:color w:val="1A1A1A"/>
          <w:lang w:val="fr-FR"/>
        </w:rPr>
        <w:t>Fournit des repères de compréhension, de diagnostic d'exclusion et de prudence. La ROP ne se substitue pas au diagnostic médical.</w:t>
      </w:r>
    </w:p>
    <w:p w14:paraId="0A60050E" w14:textId="77777777" w:rsidR="0078516B" w:rsidRPr="00A52725" w:rsidRDefault="00000000">
      <w:pPr>
        <w:pStyle w:val="Heading2"/>
        <w:keepNext/>
        <w:spacing w:before="320" w:after="130"/>
        <w:rPr>
          <w:lang w:val="fr-FR"/>
        </w:rPr>
      </w:pPr>
      <w:r w:rsidRPr="00A52725">
        <w:rPr>
          <w:b/>
          <w:bCs/>
          <w:color w:val="1B5E3F"/>
          <w:sz w:val="24"/>
          <w:szCs w:val="24"/>
          <w:lang w:val="fr-FR"/>
        </w:rPr>
        <w:t>14.9. Zones réflexes podales</w:t>
      </w:r>
    </w:p>
    <w:p w14:paraId="20AE9732" w14:textId="77777777" w:rsidR="0078516B" w:rsidRPr="00A52725" w:rsidRDefault="00000000">
      <w:pPr>
        <w:spacing w:after="140" w:line="276" w:lineRule="auto"/>
        <w:jc w:val="both"/>
        <w:rPr>
          <w:lang w:val="fr-FR"/>
        </w:rPr>
      </w:pPr>
      <w:r w:rsidRPr="00A52725">
        <w:rPr>
          <w:color w:val="1A1A1A"/>
          <w:lang w:val="fr-FR"/>
        </w:rPr>
        <w:t>Décrit la cartographie clinique ROP, l'organise selon les quatre niveaux du protocole — la zone réflexe propre de l'organe relevant du Niveau 3 — et, lorsque cela est possible, la met en regard des nerfs, branches, racines et ponts neuro-anatomiques candidats.</w:t>
      </w:r>
    </w:p>
    <w:p w14:paraId="64EB19FA" w14:textId="77777777" w:rsidR="0078516B" w:rsidRPr="00A52725" w:rsidRDefault="00000000">
      <w:pPr>
        <w:pStyle w:val="Heading2"/>
        <w:keepNext/>
        <w:spacing w:before="320" w:after="130"/>
        <w:rPr>
          <w:lang w:val="fr-FR"/>
        </w:rPr>
      </w:pPr>
      <w:r w:rsidRPr="00A52725">
        <w:rPr>
          <w:b/>
          <w:bCs/>
          <w:color w:val="1B5E3F"/>
          <w:sz w:val="24"/>
          <w:szCs w:val="24"/>
          <w:lang w:val="fr-FR"/>
        </w:rPr>
        <w:t>14.10. Relations viscéro-somatiques</w:t>
      </w:r>
    </w:p>
    <w:p w14:paraId="2A506A3B" w14:textId="77777777" w:rsidR="0078516B" w:rsidRPr="00A52725" w:rsidRDefault="00000000">
      <w:pPr>
        <w:spacing w:after="140" w:line="276" w:lineRule="auto"/>
        <w:jc w:val="both"/>
        <w:rPr>
          <w:lang w:val="fr-FR"/>
        </w:rPr>
      </w:pPr>
      <w:r w:rsidRPr="00A52725">
        <w:rPr>
          <w:color w:val="1A1A1A"/>
          <w:lang w:val="fr-FR"/>
        </w:rPr>
        <w:t>Décrit les convergences et projections possibles entre l'organe, les niveaux médullaires, les nerfs somatiques, les muscles, les articulations et les territoires douloureux associés. Ces données alimentent notamment l'intégration viscéro-somatique du Niveau 4.</w:t>
      </w:r>
    </w:p>
    <w:p w14:paraId="6A082E2D" w14:textId="77777777" w:rsidR="0078516B" w:rsidRPr="00A52725" w:rsidRDefault="00000000">
      <w:pPr>
        <w:pStyle w:val="Heading2"/>
        <w:keepNext/>
        <w:spacing w:before="320" w:after="130"/>
        <w:rPr>
          <w:lang w:val="fr-FR"/>
        </w:rPr>
      </w:pPr>
      <w:r w:rsidRPr="00A52725">
        <w:rPr>
          <w:b/>
          <w:bCs/>
          <w:color w:val="1B5E3F"/>
          <w:sz w:val="24"/>
          <w:szCs w:val="24"/>
          <w:lang w:val="fr-FR"/>
        </w:rPr>
        <w:lastRenderedPageBreak/>
        <w:t>14.11. Relations viscéro-émotionnelles</w:t>
      </w:r>
    </w:p>
    <w:p w14:paraId="56E05EE5" w14:textId="77777777" w:rsidR="0078516B" w:rsidRPr="00A52725" w:rsidRDefault="00000000">
      <w:pPr>
        <w:spacing w:after="140" w:line="276" w:lineRule="auto"/>
        <w:jc w:val="both"/>
        <w:rPr>
          <w:lang w:val="fr-FR"/>
        </w:rPr>
      </w:pPr>
      <w:r w:rsidRPr="00A52725">
        <w:rPr>
          <w:color w:val="1A1A1A"/>
          <w:lang w:val="fr-FR"/>
        </w:rPr>
        <w:t>Propose une lecture prudente des relations entre les états émotionnels, la perception corporelle, la régulation autonome et les symptômes. Ces données alimentent notamment l'intégration viscéro-émotionnelle du Niveau 4, sans imposer d'interprétation au patient.</w:t>
      </w:r>
    </w:p>
    <w:p w14:paraId="78A55C44" w14:textId="77777777" w:rsidR="0078516B" w:rsidRPr="00A52725" w:rsidRDefault="00000000">
      <w:pPr>
        <w:pStyle w:val="Heading2"/>
        <w:keepNext/>
        <w:spacing w:before="320" w:after="130"/>
        <w:rPr>
          <w:lang w:val="fr-FR"/>
        </w:rPr>
      </w:pPr>
      <w:r w:rsidRPr="00A52725">
        <w:rPr>
          <w:b/>
          <w:bCs/>
          <w:color w:val="1B5E3F"/>
          <w:sz w:val="24"/>
          <w:szCs w:val="24"/>
          <w:lang w:val="fr-FR"/>
        </w:rPr>
        <w:t>14.12. Cas cliniques</w:t>
      </w:r>
    </w:p>
    <w:p w14:paraId="7AD19E2D" w14:textId="77777777" w:rsidR="0078516B" w:rsidRPr="00A52725" w:rsidRDefault="00000000">
      <w:pPr>
        <w:spacing w:after="140" w:line="276" w:lineRule="auto"/>
        <w:jc w:val="both"/>
        <w:rPr>
          <w:lang w:val="fr-FR"/>
        </w:rPr>
      </w:pPr>
      <w:r w:rsidRPr="00A52725">
        <w:rPr>
          <w:color w:val="1A1A1A"/>
          <w:lang w:val="fr-FR"/>
        </w:rPr>
        <w:t>Montre comment anatomie, cartographie, anamnèse, tests et réponse au traitement sont intégrés chez des patients réels.</w:t>
      </w:r>
    </w:p>
    <w:p w14:paraId="56AE1FC1" w14:textId="77777777" w:rsidR="0078516B" w:rsidRPr="00A52725" w:rsidRDefault="00000000">
      <w:pPr>
        <w:pStyle w:val="Heading2"/>
        <w:keepNext/>
        <w:spacing w:before="320" w:after="130"/>
        <w:rPr>
          <w:lang w:val="fr-FR"/>
        </w:rPr>
      </w:pPr>
      <w:r w:rsidRPr="00A52725">
        <w:rPr>
          <w:b/>
          <w:bCs/>
          <w:color w:val="1B5E3F"/>
          <w:sz w:val="24"/>
          <w:szCs w:val="24"/>
          <w:lang w:val="fr-FR"/>
        </w:rPr>
        <w:t>14.13. Conseils</w:t>
      </w:r>
    </w:p>
    <w:p w14:paraId="71050F3E" w14:textId="77777777" w:rsidR="0078516B" w:rsidRPr="00A52725" w:rsidRDefault="00000000">
      <w:pPr>
        <w:spacing w:after="140" w:line="276" w:lineRule="auto"/>
        <w:jc w:val="both"/>
        <w:rPr>
          <w:lang w:val="fr-FR"/>
        </w:rPr>
      </w:pPr>
      <w:r w:rsidRPr="00A52725">
        <w:rPr>
          <w:color w:val="1A1A1A"/>
          <w:lang w:val="fr-FR"/>
        </w:rPr>
        <w:t>Complète la séance par des mesures simples et adaptées : repos relatif, hydratation, activité physique adaptée, alimentation, sommeil, suivi des symptômes et consultation médicale si nécessaire.</w:t>
      </w:r>
    </w:p>
    <w:p w14:paraId="6A26BF72"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15. À retenir</w:t>
      </w:r>
    </w:p>
    <w:p w14:paraId="6B8B776A" w14:textId="77777777" w:rsidR="0078516B" w:rsidRPr="00A52725" w:rsidRDefault="00000000">
      <w:pPr>
        <w:spacing w:after="140" w:line="276" w:lineRule="auto"/>
        <w:jc w:val="both"/>
        <w:rPr>
          <w:lang w:val="fr-FR"/>
        </w:rPr>
      </w:pPr>
      <w:r w:rsidRPr="00A52725">
        <w:rPr>
          <w:color w:val="1A1A1A"/>
          <w:lang w:val="fr-FR"/>
        </w:rPr>
        <w:t>Ce troisième volume ne présente pas seulement de nouvelles cartographies viscérales. Il propose une façon simple d'organiser la pratique, puis de la mettre en regard de l'anatomie et de la neurophysiologie.</w:t>
      </w:r>
    </w:p>
    <w:p w14:paraId="60711923" w14:textId="77777777" w:rsidR="0078516B" w:rsidRPr="00A52725" w:rsidRDefault="00000000">
      <w:pPr>
        <w:spacing w:after="140" w:line="276" w:lineRule="auto"/>
        <w:jc w:val="both"/>
        <w:rPr>
          <w:lang w:val="fr-FR"/>
        </w:rPr>
      </w:pPr>
      <w:r w:rsidRPr="00A52725">
        <w:rPr>
          <w:color w:val="1A1A1A"/>
          <w:lang w:val="fr-FR"/>
        </w:rPr>
        <w:t>La séquence clinique comporte quatre niveaux complémentaires : régulation des centres supérieurs ; régulation neuro-végétative et adaptation ; régulation loco-régionale et cible viscérale ; intégration viscéro-somatique et viscéro-émotionnelle. Cette progression n'est pas obligatoirement séquentielle, et le chapitre 2 en détaille l'usage.</w:t>
      </w:r>
    </w:p>
    <w:p w14:paraId="6DDE48D3" w14:textId="77777777" w:rsidR="0078516B" w:rsidRPr="00A52725" w:rsidRDefault="00000000">
      <w:pPr>
        <w:spacing w:after="140" w:line="276" w:lineRule="auto"/>
        <w:jc w:val="both"/>
        <w:rPr>
          <w:lang w:val="fr-FR"/>
        </w:rPr>
      </w:pPr>
      <w:r w:rsidRPr="00A52725">
        <w:rPr>
          <w:color w:val="1A1A1A"/>
          <w:lang w:val="fr-FR"/>
        </w:rPr>
        <w:t>La cartographie ROP reste un outil clinique, non une projection anatomique directe du corps dans le pied.</w:t>
      </w:r>
    </w:p>
    <w:p w14:paraId="039CC330" w14:textId="77777777" w:rsidR="0078516B" w:rsidRPr="00A52725" w:rsidRDefault="00000000">
      <w:pPr>
        <w:spacing w:after="140" w:line="276" w:lineRule="auto"/>
        <w:jc w:val="both"/>
        <w:rPr>
          <w:lang w:val="fr-FR"/>
        </w:rPr>
      </w:pPr>
      <w:r w:rsidRPr="00A52725">
        <w:rPr>
          <w:color w:val="1A1A1A"/>
          <w:lang w:val="fr-FR"/>
        </w:rPr>
        <w:t xml:space="preserve">Les fondements neuro-anatomiques reposent sur des portes sensorielles et sur des convergences périphériques, spinales et </w:t>
      </w:r>
      <w:proofErr w:type="spellStart"/>
      <w:r w:rsidRPr="00A52725">
        <w:rPr>
          <w:color w:val="1A1A1A"/>
          <w:lang w:val="fr-FR"/>
        </w:rPr>
        <w:t>supraspinales</w:t>
      </w:r>
      <w:proofErr w:type="spellEnd"/>
      <w:r w:rsidRPr="00A52725">
        <w:rPr>
          <w:color w:val="1A1A1A"/>
          <w:lang w:val="fr-FR"/>
        </w:rPr>
        <w:t xml:space="preserve"> possibles. Le recouvrement segmentaire renforce la plausibilité d'un ciblage régional ; son absence ne l'exclut pas.</w:t>
      </w:r>
    </w:p>
    <w:p w14:paraId="2FF8B7B8" w14:textId="77777777" w:rsidR="0078516B" w:rsidRPr="00A52725" w:rsidRDefault="00000000">
      <w:pPr>
        <w:spacing w:after="140" w:line="276" w:lineRule="auto"/>
        <w:jc w:val="both"/>
        <w:rPr>
          <w:lang w:val="fr-FR"/>
        </w:rPr>
      </w:pPr>
      <w:r w:rsidRPr="00A52725">
        <w:rPr>
          <w:color w:val="1A1A1A"/>
          <w:lang w:val="fr-FR"/>
        </w:rPr>
        <w:t>Le pelvis constitue aujourd'hui le meilleur territoire pour confronter proximité neuro-anatomique, observations cliniques et recherche. Sa plausibilité repose sur trois appuis indépendants : la proximité segmentaire S2–S3, la densité du corpus expérimental et clinique, et le fait que l'accès aux réseaux pelviens ne dépende pas de cette coïncidence segmentaire.</w:t>
      </w:r>
    </w:p>
    <w:p w14:paraId="73ACD8EB" w14:textId="77777777" w:rsidR="0078516B" w:rsidRPr="00A52725" w:rsidRDefault="00000000">
      <w:pPr>
        <w:spacing w:after="140" w:line="276" w:lineRule="auto"/>
        <w:jc w:val="both"/>
        <w:rPr>
          <w:lang w:val="fr-FR"/>
        </w:rPr>
      </w:pPr>
      <w:r w:rsidRPr="00A52725">
        <w:rPr>
          <w:color w:val="1A1A1A"/>
          <w:lang w:val="fr-FR"/>
        </w:rPr>
        <w:t>Le geste manuel dispose de son propre socle expérimental, encore limité mais réel. Aucun des travaux disponibles n'est la ROP ; tous relèvent du bon type d'expérience.</w:t>
      </w:r>
    </w:p>
    <w:p w14:paraId="490AAFB9" w14:textId="77777777" w:rsidR="0078516B" w:rsidRPr="00A52725" w:rsidRDefault="00000000">
      <w:pPr>
        <w:spacing w:after="140" w:line="276" w:lineRule="auto"/>
        <w:jc w:val="both"/>
        <w:rPr>
          <w:lang w:val="fr-FR"/>
        </w:rPr>
      </w:pPr>
      <w:r w:rsidRPr="00A52725">
        <w:rPr>
          <w:color w:val="1A1A1A"/>
          <w:lang w:val="fr-FR"/>
        </w:rPr>
        <w:t>Le but ultime reste le patient : comprendre davantage pour choisir plus justement, traiter avec prudence, observer ce qui change et rendre la méthode accessible à ceux qui peuvent en bénéficier.</w:t>
      </w:r>
    </w:p>
    <w:p w14:paraId="3A042BE4" w14:textId="77777777" w:rsidR="0078516B" w:rsidRPr="00A52725" w:rsidRDefault="00000000">
      <w:pPr>
        <w:pStyle w:val="Heading1"/>
        <w:keepNext/>
        <w:pBdr>
          <w:bottom w:val="single" w:sz="8" w:space="4" w:color="1B5E3F"/>
        </w:pBdr>
        <w:spacing w:before="420" w:after="170"/>
        <w:rPr>
          <w:lang w:val="fr-FR"/>
        </w:rPr>
      </w:pPr>
      <w:r w:rsidRPr="00A52725">
        <w:rPr>
          <w:b/>
          <w:bCs/>
          <w:color w:val="1B5E3F"/>
          <w:sz w:val="30"/>
          <w:szCs w:val="30"/>
          <w:lang w:val="fr-FR"/>
        </w:rPr>
        <w:t>Bibliographie du chapitre 0</w:t>
      </w:r>
    </w:p>
    <w:p w14:paraId="4D14A1F1" w14:textId="77777777" w:rsidR="0078516B" w:rsidRPr="00A52725" w:rsidRDefault="00000000">
      <w:pPr>
        <w:spacing w:after="140" w:line="276" w:lineRule="auto"/>
        <w:jc w:val="both"/>
        <w:rPr>
          <w:lang w:val="fr-FR"/>
        </w:rPr>
      </w:pPr>
      <w:r w:rsidRPr="00A52725">
        <w:rPr>
          <w:i/>
          <w:iCs/>
          <w:color w:val="1A1A1A"/>
          <w:lang w:val="fr-FR"/>
        </w:rPr>
        <w:t xml:space="preserve">Cette bibliographie est volontairement restreinte aux sources appelées dans ce chapitre. La bibliographie complète des fondements neuro-anatomiques — anatomie des quatre portes, neuromodulation tibiale et saphène, stimulation mécanique, contrôle </w:t>
      </w:r>
      <w:proofErr w:type="spellStart"/>
      <w:r w:rsidRPr="00A52725">
        <w:rPr>
          <w:i/>
          <w:iCs/>
          <w:color w:val="1A1A1A"/>
          <w:lang w:val="fr-FR"/>
        </w:rPr>
        <w:t>supraspinal</w:t>
      </w:r>
      <w:proofErr w:type="spellEnd"/>
      <w:r w:rsidRPr="00A52725">
        <w:rPr>
          <w:i/>
          <w:iCs/>
          <w:color w:val="1A1A1A"/>
          <w:lang w:val="fr-FR"/>
        </w:rPr>
        <w:t>, réseaux pelviens et versant céphalique — est tenue à jour sur</w:t>
      </w:r>
      <w:r w:rsidRPr="00A52725">
        <w:rPr>
          <w:color w:val="1A1A1A"/>
          <w:lang w:val="fr-FR"/>
        </w:rPr>
        <w:t xml:space="preserve"> </w:t>
      </w:r>
      <w:r w:rsidRPr="00A52725">
        <w:rPr>
          <w:b/>
          <w:bCs/>
          <w:color w:val="1A1A1A"/>
          <w:lang w:val="fr-FR"/>
        </w:rPr>
        <w:t>www.guy-boitout.com/fondements-neuro-anatomiques</w:t>
      </w:r>
      <w:r w:rsidRPr="00A52725">
        <w:rPr>
          <w:color w:val="1A1A1A"/>
          <w:lang w:val="fr-FR"/>
        </w:rPr>
        <w:t>.</w:t>
      </w:r>
    </w:p>
    <w:p w14:paraId="2B958BC5" w14:textId="77777777" w:rsidR="0078516B" w:rsidRPr="00A52725" w:rsidRDefault="00000000">
      <w:pPr>
        <w:pStyle w:val="Heading2"/>
        <w:keepNext/>
        <w:spacing w:before="320" w:after="130"/>
        <w:rPr>
          <w:lang w:val="fr-FR"/>
        </w:rPr>
      </w:pPr>
      <w:r w:rsidRPr="00A52725">
        <w:rPr>
          <w:b/>
          <w:bCs/>
          <w:color w:val="1B5E3F"/>
          <w:sz w:val="24"/>
          <w:szCs w:val="24"/>
          <w:lang w:val="fr-FR"/>
        </w:rPr>
        <w:t>Anatomie du pied et afférences cutanées</w:t>
      </w:r>
    </w:p>
    <w:p w14:paraId="231FC9A7" w14:textId="77777777" w:rsidR="0078516B" w:rsidRDefault="00000000">
      <w:pPr>
        <w:pStyle w:val="ListParagraph"/>
        <w:numPr>
          <w:ilvl w:val="0"/>
          <w:numId w:val="3"/>
        </w:numPr>
        <w:spacing w:after="80" w:line="276" w:lineRule="auto"/>
        <w:jc w:val="both"/>
      </w:pPr>
      <w:r>
        <w:rPr>
          <w:color w:val="1A1A1A"/>
        </w:rPr>
        <w:t xml:space="preserve">Standring S, ed. </w:t>
      </w:r>
      <w:r>
        <w:rPr>
          <w:i/>
          <w:iCs/>
          <w:color w:val="1A1A1A"/>
        </w:rPr>
        <w:t>Gray's Anatomy: The Anatomical Basis of Clinical Practice</w:t>
      </w:r>
      <w:r>
        <w:rPr>
          <w:color w:val="1A1A1A"/>
        </w:rPr>
        <w:t>. 42nd ed. Elsevier; 2020.</w:t>
      </w:r>
    </w:p>
    <w:p w14:paraId="1587D147" w14:textId="77777777" w:rsidR="0078516B" w:rsidRDefault="00000000">
      <w:pPr>
        <w:pStyle w:val="ListParagraph"/>
        <w:numPr>
          <w:ilvl w:val="0"/>
          <w:numId w:val="3"/>
        </w:numPr>
        <w:spacing w:after="80" w:line="276" w:lineRule="auto"/>
        <w:jc w:val="both"/>
      </w:pPr>
      <w:r>
        <w:rPr>
          <w:color w:val="1A1A1A"/>
        </w:rPr>
        <w:lastRenderedPageBreak/>
        <w:t xml:space="preserve">Kennedy PM, Inglis JT. Distribution and </w:t>
      </w:r>
      <w:proofErr w:type="spellStart"/>
      <w:r>
        <w:rPr>
          <w:color w:val="1A1A1A"/>
        </w:rPr>
        <w:t>behaviour</w:t>
      </w:r>
      <w:proofErr w:type="spellEnd"/>
      <w:r>
        <w:rPr>
          <w:color w:val="1A1A1A"/>
        </w:rPr>
        <w:t xml:space="preserve"> of glabrous cutaneous receptors in the human foot sole. </w:t>
      </w:r>
      <w:r>
        <w:rPr>
          <w:i/>
          <w:iCs/>
          <w:color w:val="1A1A1A"/>
        </w:rPr>
        <w:t>J Physiol</w:t>
      </w:r>
      <w:r>
        <w:rPr>
          <w:color w:val="1A1A1A"/>
        </w:rPr>
        <w:t>. 2002;538(Pt 3):995–1002. doi:10.1113/jphysiol.2001.013087.</w:t>
      </w:r>
    </w:p>
    <w:p w14:paraId="167460D2" w14:textId="77777777" w:rsidR="0078516B" w:rsidRDefault="00000000">
      <w:pPr>
        <w:pStyle w:val="ListParagraph"/>
        <w:numPr>
          <w:ilvl w:val="0"/>
          <w:numId w:val="3"/>
        </w:numPr>
        <w:spacing w:after="80" w:line="276" w:lineRule="auto"/>
        <w:jc w:val="both"/>
      </w:pPr>
      <w:r>
        <w:rPr>
          <w:color w:val="1A1A1A"/>
        </w:rPr>
        <w:t xml:space="preserve">Strzalkowski NDJ, Peters RM, Inglis JT, Bent LR. Cutaneous afferent innervation of the human foot sole: what can we learn from single-unit recordings? </w:t>
      </w:r>
      <w:r>
        <w:rPr>
          <w:i/>
          <w:iCs/>
          <w:color w:val="1A1A1A"/>
        </w:rPr>
        <w:t xml:space="preserve">J </w:t>
      </w:r>
      <w:proofErr w:type="spellStart"/>
      <w:r>
        <w:rPr>
          <w:i/>
          <w:iCs/>
          <w:color w:val="1A1A1A"/>
        </w:rPr>
        <w:t>Neurophysiol</w:t>
      </w:r>
      <w:proofErr w:type="spellEnd"/>
      <w:r>
        <w:rPr>
          <w:color w:val="1A1A1A"/>
        </w:rPr>
        <w:t>. 2018;120(3):1233–1246. doi:10.1152/jn.00848.2017.</w:t>
      </w:r>
    </w:p>
    <w:p w14:paraId="09B30B78" w14:textId="77777777" w:rsidR="0078516B" w:rsidRDefault="00000000">
      <w:pPr>
        <w:pStyle w:val="ListParagraph"/>
        <w:numPr>
          <w:ilvl w:val="0"/>
          <w:numId w:val="3"/>
        </w:numPr>
        <w:spacing w:after="80" w:line="276" w:lineRule="auto"/>
        <w:jc w:val="both"/>
      </w:pPr>
      <w:proofErr w:type="gramStart"/>
      <w:r w:rsidRPr="00A52725">
        <w:rPr>
          <w:color w:val="1A1A1A"/>
          <w:lang w:val="fr-FR"/>
        </w:rPr>
        <w:t>de</w:t>
      </w:r>
      <w:proofErr w:type="gramEnd"/>
      <w:r w:rsidRPr="00A52725">
        <w:rPr>
          <w:color w:val="1A1A1A"/>
          <w:lang w:val="fr-FR"/>
        </w:rPr>
        <w:t xml:space="preserve"> Souza Faleiros AT, de Lima Resende LA, Zanini MA, de Lima Castro HA, </w:t>
      </w:r>
      <w:proofErr w:type="spellStart"/>
      <w:r w:rsidRPr="00A52725">
        <w:rPr>
          <w:color w:val="1A1A1A"/>
          <w:lang w:val="fr-FR"/>
        </w:rPr>
        <w:t>Colichio</w:t>
      </w:r>
      <w:proofErr w:type="spellEnd"/>
      <w:r w:rsidRPr="00A52725">
        <w:rPr>
          <w:color w:val="1A1A1A"/>
          <w:lang w:val="fr-FR"/>
        </w:rPr>
        <w:t xml:space="preserve"> </w:t>
      </w:r>
      <w:proofErr w:type="spellStart"/>
      <w:r w:rsidRPr="00A52725">
        <w:rPr>
          <w:color w:val="1A1A1A"/>
          <w:lang w:val="fr-FR"/>
        </w:rPr>
        <w:t>Gabarra</w:t>
      </w:r>
      <w:proofErr w:type="spellEnd"/>
      <w:r w:rsidRPr="00A52725">
        <w:rPr>
          <w:color w:val="1A1A1A"/>
          <w:lang w:val="fr-FR"/>
        </w:rPr>
        <w:t xml:space="preserve"> R. L4-L5-S1 </w:t>
      </w:r>
      <w:proofErr w:type="spellStart"/>
      <w:r w:rsidRPr="00A52725">
        <w:rPr>
          <w:color w:val="1A1A1A"/>
          <w:lang w:val="fr-FR"/>
        </w:rPr>
        <w:t>human</w:t>
      </w:r>
      <w:proofErr w:type="spellEnd"/>
      <w:r w:rsidRPr="00A52725">
        <w:rPr>
          <w:color w:val="1A1A1A"/>
          <w:lang w:val="fr-FR"/>
        </w:rPr>
        <w:t xml:space="preserve"> dermatomes. </w:t>
      </w:r>
      <w:proofErr w:type="spellStart"/>
      <w:r>
        <w:rPr>
          <w:i/>
          <w:iCs/>
          <w:color w:val="1A1A1A"/>
        </w:rPr>
        <w:t>Arq</w:t>
      </w:r>
      <w:proofErr w:type="spellEnd"/>
      <w:r>
        <w:rPr>
          <w:i/>
          <w:iCs/>
          <w:color w:val="1A1A1A"/>
        </w:rPr>
        <w:t xml:space="preserve"> </w:t>
      </w:r>
      <w:proofErr w:type="spellStart"/>
      <w:r>
        <w:rPr>
          <w:i/>
          <w:iCs/>
          <w:color w:val="1A1A1A"/>
        </w:rPr>
        <w:t>Neuropsiquiatr</w:t>
      </w:r>
      <w:proofErr w:type="spellEnd"/>
      <w:r>
        <w:rPr>
          <w:color w:val="1A1A1A"/>
        </w:rPr>
        <w:t>. 2009;67(2A):265–267. doi:10.1590/S0004-282X2009000200017.</w:t>
      </w:r>
    </w:p>
    <w:p w14:paraId="34CBB065" w14:textId="77777777" w:rsidR="0078516B" w:rsidRDefault="0078516B">
      <w:pPr>
        <w:spacing w:after="80"/>
      </w:pPr>
    </w:p>
    <w:p w14:paraId="053AD635" w14:textId="77777777" w:rsidR="0078516B" w:rsidRDefault="00000000">
      <w:pPr>
        <w:pStyle w:val="Heading2"/>
        <w:keepNext/>
        <w:spacing w:before="320" w:after="130"/>
      </w:pPr>
      <w:r>
        <w:rPr>
          <w:b/>
          <w:bCs/>
          <w:color w:val="1B5E3F"/>
          <w:sz w:val="24"/>
          <w:szCs w:val="24"/>
        </w:rPr>
        <w:t xml:space="preserve">Neuromodulation </w:t>
      </w:r>
      <w:proofErr w:type="spellStart"/>
      <w:r>
        <w:rPr>
          <w:b/>
          <w:bCs/>
          <w:color w:val="1B5E3F"/>
          <w:sz w:val="24"/>
          <w:szCs w:val="24"/>
        </w:rPr>
        <w:t>tibiale</w:t>
      </w:r>
      <w:proofErr w:type="spellEnd"/>
      <w:r>
        <w:rPr>
          <w:b/>
          <w:bCs/>
          <w:color w:val="1B5E3F"/>
          <w:sz w:val="24"/>
          <w:szCs w:val="24"/>
        </w:rPr>
        <w:t xml:space="preserve"> et </w:t>
      </w:r>
      <w:proofErr w:type="spellStart"/>
      <w:r>
        <w:rPr>
          <w:b/>
          <w:bCs/>
          <w:color w:val="1B5E3F"/>
          <w:sz w:val="24"/>
          <w:szCs w:val="24"/>
        </w:rPr>
        <w:t>saphène</w:t>
      </w:r>
      <w:proofErr w:type="spellEnd"/>
    </w:p>
    <w:p w14:paraId="3D38559E" w14:textId="77777777" w:rsidR="0078516B" w:rsidRDefault="00000000">
      <w:pPr>
        <w:pStyle w:val="ListParagraph"/>
        <w:numPr>
          <w:ilvl w:val="0"/>
          <w:numId w:val="3"/>
        </w:numPr>
        <w:spacing w:after="80" w:line="276" w:lineRule="auto"/>
        <w:jc w:val="both"/>
      </w:pPr>
      <w:r>
        <w:rPr>
          <w:color w:val="1A1A1A"/>
        </w:rPr>
        <w:t xml:space="preserve">Peters KM, Carrico DJ, Perez-Marrero RA, et al. Randomized trial of percutaneous tibial nerve stimulation versus sham efficacy in the treatment of overactive bladder syndrome: results from the </w:t>
      </w:r>
      <w:proofErr w:type="spellStart"/>
      <w:r>
        <w:rPr>
          <w:color w:val="1A1A1A"/>
        </w:rPr>
        <w:t>SUmiT</w:t>
      </w:r>
      <w:proofErr w:type="spellEnd"/>
      <w:r>
        <w:rPr>
          <w:color w:val="1A1A1A"/>
        </w:rPr>
        <w:t xml:space="preserve"> trial. </w:t>
      </w:r>
      <w:r>
        <w:rPr>
          <w:i/>
          <w:iCs/>
          <w:color w:val="1A1A1A"/>
        </w:rPr>
        <w:t>J Urol</w:t>
      </w:r>
      <w:r>
        <w:rPr>
          <w:color w:val="1A1A1A"/>
        </w:rPr>
        <w:t xml:space="preserve">. 2010;183(4):1438–1443. </w:t>
      </w:r>
      <w:proofErr w:type="gramStart"/>
      <w:r>
        <w:rPr>
          <w:color w:val="1A1A1A"/>
        </w:rPr>
        <w:t>doi:10.1016/j.juro</w:t>
      </w:r>
      <w:proofErr w:type="gramEnd"/>
      <w:r>
        <w:rPr>
          <w:color w:val="1A1A1A"/>
        </w:rPr>
        <w:t>.2009.12.036.</w:t>
      </w:r>
    </w:p>
    <w:p w14:paraId="3539683D" w14:textId="77777777" w:rsidR="0078516B" w:rsidRDefault="00000000">
      <w:pPr>
        <w:pStyle w:val="ListParagraph"/>
        <w:numPr>
          <w:ilvl w:val="0"/>
          <w:numId w:val="3"/>
        </w:numPr>
        <w:spacing w:after="80" w:line="276" w:lineRule="auto"/>
        <w:jc w:val="both"/>
      </w:pPr>
      <w:proofErr w:type="spellStart"/>
      <w:r w:rsidRPr="00A52725">
        <w:rPr>
          <w:color w:val="1A1A1A"/>
          <w:lang w:val="fr-FR"/>
        </w:rPr>
        <w:t>Yecies</w:t>
      </w:r>
      <w:proofErr w:type="spellEnd"/>
      <w:r w:rsidRPr="00A52725">
        <w:rPr>
          <w:color w:val="1A1A1A"/>
          <w:lang w:val="fr-FR"/>
        </w:rPr>
        <w:t xml:space="preserve"> T, Li S, Zhang Y, et al. </w:t>
      </w:r>
      <w:r>
        <w:rPr>
          <w:color w:val="1A1A1A"/>
        </w:rPr>
        <w:t xml:space="preserve">Spinal </w:t>
      </w:r>
      <w:proofErr w:type="spellStart"/>
      <w:r>
        <w:rPr>
          <w:color w:val="1A1A1A"/>
        </w:rPr>
        <w:t>interneuronal</w:t>
      </w:r>
      <w:proofErr w:type="spellEnd"/>
      <w:r>
        <w:rPr>
          <w:color w:val="1A1A1A"/>
        </w:rPr>
        <w:t xml:space="preserve"> mechanisms underlying pudendal and tibial neuromodulation of bladder function in cats. </w:t>
      </w:r>
      <w:r>
        <w:rPr>
          <w:i/>
          <w:iCs/>
          <w:color w:val="1A1A1A"/>
        </w:rPr>
        <w:t>Exp Neurol</w:t>
      </w:r>
      <w:r>
        <w:rPr>
          <w:color w:val="1A1A1A"/>
        </w:rPr>
        <w:t xml:space="preserve">. </w:t>
      </w:r>
      <w:proofErr w:type="gramStart"/>
      <w:r>
        <w:rPr>
          <w:color w:val="1A1A1A"/>
        </w:rPr>
        <w:t>2018;308:100</w:t>
      </w:r>
      <w:proofErr w:type="gramEnd"/>
      <w:r>
        <w:rPr>
          <w:color w:val="1A1A1A"/>
        </w:rPr>
        <w:t xml:space="preserve">–110. </w:t>
      </w:r>
      <w:proofErr w:type="gramStart"/>
      <w:r>
        <w:rPr>
          <w:color w:val="1A1A1A"/>
        </w:rPr>
        <w:t>doi:10.1016/j.expneurol</w:t>
      </w:r>
      <w:proofErr w:type="gramEnd"/>
      <w:r>
        <w:rPr>
          <w:color w:val="1A1A1A"/>
        </w:rPr>
        <w:t>.2018.06.015.</w:t>
      </w:r>
    </w:p>
    <w:p w14:paraId="7660BDD4" w14:textId="77777777" w:rsidR="0078516B" w:rsidRDefault="00000000">
      <w:pPr>
        <w:pStyle w:val="ListParagraph"/>
        <w:numPr>
          <w:ilvl w:val="0"/>
          <w:numId w:val="3"/>
        </w:numPr>
        <w:spacing w:after="80" w:line="276" w:lineRule="auto"/>
        <w:jc w:val="both"/>
      </w:pPr>
      <w:r>
        <w:rPr>
          <w:color w:val="1A1A1A"/>
        </w:rPr>
        <w:t xml:space="preserve">Li X, Li X, Liao L. Mechanism of action of tibial nerve stimulation in the treatment of lower urinary tract dysfunction. </w:t>
      </w:r>
      <w:r>
        <w:rPr>
          <w:i/>
          <w:iCs/>
          <w:color w:val="1A1A1A"/>
        </w:rPr>
        <w:t>Neuromodulation</w:t>
      </w:r>
      <w:r>
        <w:rPr>
          <w:color w:val="1A1A1A"/>
        </w:rPr>
        <w:t xml:space="preserve">. 2024;27(2):256–266. </w:t>
      </w:r>
      <w:proofErr w:type="gramStart"/>
      <w:r>
        <w:rPr>
          <w:color w:val="1A1A1A"/>
        </w:rPr>
        <w:t>doi:10.1016/j.neurom</w:t>
      </w:r>
      <w:proofErr w:type="gramEnd"/>
      <w:r>
        <w:rPr>
          <w:color w:val="1A1A1A"/>
        </w:rPr>
        <w:t>.2023.03.017.</w:t>
      </w:r>
    </w:p>
    <w:p w14:paraId="785F6DC4" w14:textId="77777777" w:rsidR="0078516B" w:rsidRDefault="00000000">
      <w:pPr>
        <w:pStyle w:val="ListParagraph"/>
        <w:numPr>
          <w:ilvl w:val="0"/>
          <w:numId w:val="3"/>
        </w:numPr>
        <w:spacing w:after="80" w:line="276" w:lineRule="auto"/>
        <w:jc w:val="both"/>
      </w:pPr>
      <w:r>
        <w:rPr>
          <w:color w:val="1A1A1A"/>
        </w:rPr>
        <w:t xml:space="preserve">Moazzam Z, Yoo PB. Frequency-dependent inhibition of bladder function by saphenous nerve stimulation in anesthetized rats. </w:t>
      </w:r>
      <w:proofErr w:type="spellStart"/>
      <w:r>
        <w:rPr>
          <w:i/>
          <w:iCs/>
          <w:color w:val="1A1A1A"/>
        </w:rPr>
        <w:t>Neurourol</w:t>
      </w:r>
      <w:proofErr w:type="spellEnd"/>
      <w:r>
        <w:rPr>
          <w:i/>
          <w:iCs/>
          <w:color w:val="1A1A1A"/>
        </w:rPr>
        <w:t xml:space="preserve"> </w:t>
      </w:r>
      <w:proofErr w:type="spellStart"/>
      <w:r>
        <w:rPr>
          <w:i/>
          <w:iCs/>
          <w:color w:val="1A1A1A"/>
        </w:rPr>
        <w:t>Urodyn</w:t>
      </w:r>
      <w:proofErr w:type="spellEnd"/>
      <w:r>
        <w:rPr>
          <w:color w:val="1A1A1A"/>
        </w:rPr>
        <w:t>. 2018;37(2):592–599. doi:10.1002/nau.23323.</w:t>
      </w:r>
    </w:p>
    <w:p w14:paraId="0002ECDF" w14:textId="77777777" w:rsidR="0078516B" w:rsidRDefault="00000000">
      <w:pPr>
        <w:pStyle w:val="ListParagraph"/>
        <w:numPr>
          <w:ilvl w:val="0"/>
          <w:numId w:val="3"/>
        </w:numPr>
        <w:spacing w:after="80" w:line="276" w:lineRule="auto"/>
        <w:jc w:val="both"/>
      </w:pPr>
      <w:r>
        <w:rPr>
          <w:color w:val="1A1A1A"/>
        </w:rPr>
        <w:t xml:space="preserve">Franz KS, Yoo PB. Transecting the hypogastric nerve to uncover the bladder-inhibitory pathways involved with saphenous nerve stimulation in anesthetized rats. </w:t>
      </w:r>
      <w:r>
        <w:rPr>
          <w:i/>
          <w:iCs/>
          <w:color w:val="1A1A1A"/>
        </w:rPr>
        <w:t xml:space="preserve">Auton </w:t>
      </w:r>
      <w:proofErr w:type="spellStart"/>
      <w:r>
        <w:rPr>
          <w:i/>
          <w:iCs/>
          <w:color w:val="1A1A1A"/>
        </w:rPr>
        <w:t>Neurosci</w:t>
      </w:r>
      <w:proofErr w:type="spellEnd"/>
      <w:r>
        <w:rPr>
          <w:color w:val="1A1A1A"/>
        </w:rPr>
        <w:t xml:space="preserve">. </w:t>
      </w:r>
      <w:proofErr w:type="gramStart"/>
      <w:r>
        <w:rPr>
          <w:color w:val="1A1A1A"/>
        </w:rPr>
        <w:t>2020;226:102672</w:t>
      </w:r>
      <w:proofErr w:type="gramEnd"/>
      <w:r>
        <w:rPr>
          <w:color w:val="1A1A1A"/>
        </w:rPr>
        <w:t xml:space="preserve">. </w:t>
      </w:r>
      <w:proofErr w:type="gramStart"/>
      <w:r>
        <w:rPr>
          <w:color w:val="1A1A1A"/>
        </w:rPr>
        <w:t>doi:10.1016/j.autneu</w:t>
      </w:r>
      <w:proofErr w:type="gramEnd"/>
      <w:r>
        <w:rPr>
          <w:color w:val="1A1A1A"/>
        </w:rPr>
        <w:t>.2020.102672.</w:t>
      </w:r>
    </w:p>
    <w:p w14:paraId="0B45D373" w14:textId="77777777" w:rsidR="0078516B" w:rsidRDefault="00000000">
      <w:pPr>
        <w:pStyle w:val="ListParagraph"/>
        <w:numPr>
          <w:ilvl w:val="0"/>
          <w:numId w:val="3"/>
        </w:numPr>
        <w:spacing w:after="80" w:line="276" w:lineRule="auto"/>
        <w:jc w:val="both"/>
      </w:pPr>
      <w:r>
        <w:rPr>
          <w:color w:val="1A1A1A"/>
        </w:rPr>
        <w:t xml:space="preserve">MacDiarmid SA, John MS, Yoo PB. A pilot feasibility study of treating overactive bladder patients with percutaneous saphenous nerve stimulation. </w:t>
      </w:r>
      <w:proofErr w:type="spellStart"/>
      <w:r>
        <w:rPr>
          <w:i/>
          <w:iCs/>
          <w:color w:val="1A1A1A"/>
        </w:rPr>
        <w:t>Neurourol</w:t>
      </w:r>
      <w:proofErr w:type="spellEnd"/>
      <w:r>
        <w:rPr>
          <w:i/>
          <w:iCs/>
          <w:color w:val="1A1A1A"/>
        </w:rPr>
        <w:t xml:space="preserve"> </w:t>
      </w:r>
      <w:proofErr w:type="spellStart"/>
      <w:r>
        <w:rPr>
          <w:i/>
          <w:iCs/>
          <w:color w:val="1A1A1A"/>
        </w:rPr>
        <w:t>Urodyn</w:t>
      </w:r>
      <w:proofErr w:type="spellEnd"/>
      <w:r>
        <w:rPr>
          <w:color w:val="1A1A1A"/>
        </w:rPr>
        <w:t>. 2018;37(5):1815–1820. doi:10.1002/nau.23531.</w:t>
      </w:r>
    </w:p>
    <w:p w14:paraId="10CD8B3E" w14:textId="77777777" w:rsidR="0078516B" w:rsidRDefault="0078516B">
      <w:pPr>
        <w:spacing w:after="80"/>
      </w:pPr>
    </w:p>
    <w:p w14:paraId="38638E21" w14:textId="77777777" w:rsidR="0078516B" w:rsidRPr="00A52725" w:rsidRDefault="00000000">
      <w:pPr>
        <w:pStyle w:val="Heading2"/>
        <w:keepNext/>
        <w:spacing w:before="320" w:after="130"/>
        <w:rPr>
          <w:lang w:val="fr-FR"/>
        </w:rPr>
      </w:pPr>
      <w:r w:rsidRPr="00A52725">
        <w:rPr>
          <w:b/>
          <w:bCs/>
          <w:color w:val="1B5E3F"/>
          <w:sz w:val="24"/>
          <w:szCs w:val="24"/>
          <w:lang w:val="fr-FR"/>
        </w:rPr>
        <w:t>Pression manuelle et stimulation mécanique cutanée</w:t>
      </w:r>
    </w:p>
    <w:p w14:paraId="5E506918" w14:textId="77777777" w:rsidR="0078516B" w:rsidRDefault="00000000">
      <w:pPr>
        <w:pStyle w:val="ListParagraph"/>
        <w:numPr>
          <w:ilvl w:val="0"/>
          <w:numId w:val="3"/>
        </w:numPr>
        <w:spacing w:after="80" w:line="276" w:lineRule="auto"/>
        <w:jc w:val="both"/>
      </w:pPr>
      <w:proofErr w:type="spellStart"/>
      <w:r w:rsidRPr="00A52725">
        <w:rPr>
          <w:color w:val="1A1A1A"/>
          <w:lang w:val="fr-FR"/>
        </w:rPr>
        <w:t>Carrazé</w:t>
      </w:r>
      <w:proofErr w:type="spellEnd"/>
      <w:r w:rsidRPr="00A52725">
        <w:rPr>
          <w:color w:val="1A1A1A"/>
          <w:lang w:val="fr-FR"/>
        </w:rPr>
        <w:t xml:space="preserve"> A. </w:t>
      </w:r>
      <w:r w:rsidRPr="00A52725">
        <w:rPr>
          <w:i/>
          <w:iCs/>
          <w:color w:val="1A1A1A"/>
          <w:lang w:val="fr-FR"/>
        </w:rPr>
        <w:t>Impact de la réflexologie plantaire sur l'incidence de l'iléus post-opératoire après chirurgie oncologique du rectum : essai contrôlé, randomisé.</w:t>
      </w:r>
      <w:r w:rsidRPr="00A52725">
        <w:rPr>
          <w:color w:val="1A1A1A"/>
          <w:lang w:val="fr-FR"/>
        </w:rPr>
        <w:t xml:space="preserve"> </w:t>
      </w:r>
      <w:proofErr w:type="spellStart"/>
      <w:r>
        <w:rPr>
          <w:color w:val="1A1A1A"/>
        </w:rPr>
        <w:t>Thèse</w:t>
      </w:r>
      <w:proofErr w:type="spellEnd"/>
      <w:r>
        <w:rPr>
          <w:color w:val="1A1A1A"/>
        </w:rPr>
        <w:t xml:space="preserve"> de </w:t>
      </w:r>
      <w:proofErr w:type="spellStart"/>
      <w:r>
        <w:rPr>
          <w:color w:val="1A1A1A"/>
        </w:rPr>
        <w:t>médecine</w:t>
      </w:r>
      <w:proofErr w:type="spellEnd"/>
      <w:r>
        <w:rPr>
          <w:color w:val="1A1A1A"/>
        </w:rPr>
        <w:t>, Université de Bordeaux; 2023. dumas-04227201.</w:t>
      </w:r>
    </w:p>
    <w:p w14:paraId="4DDCA724" w14:textId="77777777" w:rsidR="0078516B" w:rsidRDefault="00000000">
      <w:pPr>
        <w:pStyle w:val="ListParagraph"/>
        <w:numPr>
          <w:ilvl w:val="0"/>
          <w:numId w:val="3"/>
        </w:numPr>
        <w:spacing w:after="80" w:line="276" w:lineRule="auto"/>
        <w:jc w:val="both"/>
      </w:pPr>
      <w:r>
        <w:rPr>
          <w:color w:val="1A1A1A"/>
        </w:rPr>
        <w:t xml:space="preserve">Hotta H, Watanabe N. Gentle mechanical skin stimulation inhibits micturition contractions via the spinal </w:t>
      </w:r>
      <w:proofErr w:type="spellStart"/>
      <w:r>
        <w:rPr>
          <w:color w:val="1A1A1A"/>
        </w:rPr>
        <w:t>opioidergic</w:t>
      </w:r>
      <w:proofErr w:type="spellEnd"/>
      <w:r>
        <w:rPr>
          <w:color w:val="1A1A1A"/>
        </w:rPr>
        <w:t xml:space="preserve"> system. </w:t>
      </w:r>
      <w:proofErr w:type="spellStart"/>
      <w:r>
        <w:rPr>
          <w:i/>
          <w:iCs/>
          <w:color w:val="1A1A1A"/>
        </w:rPr>
        <w:t>PLoS</w:t>
      </w:r>
      <w:proofErr w:type="spellEnd"/>
      <w:r>
        <w:rPr>
          <w:i/>
          <w:iCs/>
          <w:color w:val="1A1A1A"/>
        </w:rPr>
        <w:t xml:space="preserve"> ONE</w:t>
      </w:r>
      <w:r>
        <w:rPr>
          <w:color w:val="1A1A1A"/>
        </w:rPr>
        <w:t>. 2015;10(8</w:t>
      </w:r>
      <w:proofErr w:type="gramStart"/>
      <w:r>
        <w:rPr>
          <w:color w:val="1A1A1A"/>
        </w:rPr>
        <w:t>):e</w:t>
      </w:r>
      <w:proofErr w:type="gramEnd"/>
      <w:r>
        <w:rPr>
          <w:color w:val="1A1A1A"/>
        </w:rPr>
        <w:t xml:space="preserve">0135185. </w:t>
      </w:r>
      <w:proofErr w:type="gramStart"/>
      <w:r>
        <w:rPr>
          <w:color w:val="1A1A1A"/>
        </w:rPr>
        <w:t>doi:10.1371/journal.pone</w:t>
      </w:r>
      <w:proofErr w:type="gramEnd"/>
      <w:r>
        <w:rPr>
          <w:color w:val="1A1A1A"/>
        </w:rPr>
        <w:t>.0135185.</w:t>
      </w:r>
    </w:p>
    <w:p w14:paraId="2504FFB9" w14:textId="77777777" w:rsidR="0078516B" w:rsidRDefault="0078516B">
      <w:pPr>
        <w:spacing w:after="80"/>
      </w:pPr>
    </w:p>
    <w:p w14:paraId="4BD32869" w14:textId="77777777" w:rsidR="0078516B" w:rsidRDefault="00000000">
      <w:pPr>
        <w:pStyle w:val="Heading2"/>
        <w:keepNext/>
        <w:spacing w:before="320" w:after="130"/>
      </w:pPr>
      <w:proofErr w:type="spellStart"/>
      <w:r>
        <w:rPr>
          <w:b/>
          <w:bCs/>
          <w:color w:val="1B5E3F"/>
          <w:sz w:val="24"/>
          <w:szCs w:val="24"/>
        </w:rPr>
        <w:t>Fonctions</w:t>
      </w:r>
      <w:proofErr w:type="spellEnd"/>
      <w:r>
        <w:rPr>
          <w:b/>
          <w:bCs/>
          <w:color w:val="1B5E3F"/>
          <w:sz w:val="24"/>
          <w:szCs w:val="24"/>
        </w:rPr>
        <w:t xml:space="preserve"> </w:t>
      </w:r>
      <w:proofErr w:type="spellStart"/>
      <w:r>
        <w:rPr>
          <w:b/>
          <w:bCs/>
          <w:color w:val="1B5E3F"/>
          <w:sz w:val="24"/>
          <w:szCs w:val="24"/>
        </w:rPr>
        <w:t>pelviennes</w:t>
      </w:r>
      <w:proofErr w:type="spellEnd"/>
      <w:r>
        <w:rPr>
          <w:b/>
          <w:bCs/>
          <w:color w:val="1B5E3F"/>
          <w:sz w:val="24"/>
          <w:szCs w:val="24"/>
        </w:rPr>
        <w:t xml:space="preserve"> et réseaux </w:t>
      </w:r>
      <w:proofErr w:type="spellStart"/>
      <w:r>
        <w:rPr>
          <w:b/>
          <w:bCs/>
          <w:color w:val="1B5E3F"/>
          <w:sz w:val="24"/>
          <w:szCs w:val="24"/>
        </w:rPr>
        <w:t>intégrés</w:t>
      </w:r>
      <w:proofErr w:type="spellEnd"/>
    </w:p>
    <w:p w14:paraId="7EC21391" w14:textId="77777777" w:rsidR="0078516B" w:rsidRDefault="00000000">
      <w:pPr>
        <w:pStyle w:val="ListParagraph"/>
        <w:numPr>
          <w:ilvl w:val="0"/>
          <w:numId w:val="3"/>
        </w:numPr>
        <w:spacing w:after="80" w:line="276" w:lineRule="auto"/>
        <w:jc w:val="both"/>
      </w:pPr>
      <w:r>
        <w:rPr>
          <w:color w:val="1A1A1A"/>
        </w:rPr>
        <w:t xml:space="preserve">Fowler CJ, Griffiths D, de Groat WC. The neural control of micturition. </w:t>
      </w:r>
      <w:r>
        <w:rPr>
          <w:i/>
          <w:iCs/>
          <w:color w:val="1A1A1A"/>
        </w:rPr>
        <w:t xml:space="preserve">Nat Rev </w:t>
      </w:r>
      <w:proofErr w:type="spellStart"/>
      <w:r>
        <w:rPr>
          <w:i/>
          <w:iCs/>
          <w:color w:val="1A1A1A"/>
        </w:rPr>
        <w:t>Neurosci</w:t>
      </w:r>
      <w:proofErr w:type="spellEnd"/>
      <w:r>
        <w:rPr>
          <w:color w:val="1A1A1A"/>
        </w:rPr>
        <w:t>. 2008;9(6):453–466. doi:10.1038/nrn2401.</w:t>
      </w:r>
    </w:p>
    <w:p w14:paraId="76759031" w14:textId="77777777" w:rsidR="0078516B" w:rsidRDefault="00000000">
      <w:pPr>
        <w:pStyle w:val="ListParagraph"/>
        <w:numPr>
          <w:ilvl w:val="0"/>
          <w:numId w:val="3"/>
        </w:numPr>
        <w:spacing w:after="80" w:line="276" w:lineRule="auto"/>
        <w:jc w:val="both"/>
      </w:pPr>
      <w:r>
        <w:rPr>
          <w:color w:val="1A1A1A"/>
        </w:rPr>
        <w:t xml:space="preserve">Brierley SM, Hibberd TJ, Spencer NJ. Spinal afferent innervation of the colon and rectum. </w:t>
      </w:r>
      <w:r>
        <w:rPr>
          <w:i/>
          <w:iCs/>
          <w:color w:val="1A1A1A"/>
        </w:rPr>
        <w:t xml:space="preserve">Front Cell </w:t>
      </w:r>
      <w:proofErr w:type="spellStart"/>
      <w:r>
        <w:rPr>
          <w:i/>
          <w:iCs/>
          <w:color w:val="1A1A1A"/>
        </w:rPr>
        <w:t>Neurosci</w:t>
      </w:r>
      <w:proofErr w:type="spellEnd"/>
      <w:r>
        <w:rPr>
          <w:color w:val="1A1A1A"/>
        </w:rPr>
        <w:t xml:space="preserve">. </w:t>
      </w:r>
      <w:proofErr w:type="gramStart"/>
      <w:r>
        <w:rPr>
          <w:color w:val="1A1A1A"/>
        </w:rPr>
        <w:t>2018;12:467</w:t>
      </w:r>
      <w:proofErr w:type="gramEnd"/>
      <w:r>
        <w:rPr>
          <w:color w:val="1A1A1A"/>
        </w:rPr>
        <w:t>. doi:10.3389/fncel.2018.00467.</w:t>
      </w:r>
    </w:p>
    <w:p w14:paraId="1729A502" w14:textId="77777777" w:rsidR="0078516B" w:rsidRDefault="00000000">
      <w:pPr>
        <w:pStyle w:val="ListParagraph"/>
        <w:numPr>
          <w:ilvl w:val="0"/>
          <w:numId w:val="3"/>
        </w:numPr>
        <w:spacing w:after="80" w:line="276" w:lineRule="auto"/>
        <w:jc w:val="both"/>
      </w:pPr>
      <w:proofErr w:type="spellStart"/>
      <w:r>
        <w:rPr>
          <w:color w:val="1A1A1A"/>
        </w:rPr>
        <w:t>Malykhina</w:t>
      </w:r>
      <w:proofErr w:type="spellEnd"/>
      <w:r>
        <w:rPr>
          <w:color w:val="1A1A1A"/>
        </w:rPr>
        <w:t xml:space="preserve"> AP. Neural mechanisms of pelvic organ cross-sensitization. </w:t>
      </w:r>
      <w:r>
        <w:rPr>
          <w:i/>
          <w:iCs/>
          <w:color w:val="1A1A1A"/>
        </w:rPr>
        <w:t>Neuroscience</w:t>
      </w:r>
      <w:r>
        <w:rPr>
          <w:color w:val="1A1A1A"/>
        </w:rPr>
        <w:t xml:space="preserve">. 2007;149(3):660–672. </w:t>
      </w:r>
      <w:proofErr w:type="gramStart"/>
      <w:r>
        <w:rPr>
          <w:color w:val="1A1A1A"/>
        </w:rPr>
        <w:t>doi:10.1016/j.neuroscience</w:t>
      </w:r>
      <w:proofErr w:type="gramEnd"/>
      <w:r>
        <w:rPr>
          <w:color w:val="1A1A1A"/>
        </w:rPr>
        <w:t>.2007.07.053.</w:t>
      </w:r>
    </w:p>
    <w:p w14:paraId="33AC0549" w14:textId="77777777" w:rsidR="0078516B" w:rsidRDefault="0078516B">
      <w:pPr>
        <w:spacing w:after="80"/>
      </w:pPr>
    </w:p>
    <w:p w14:paraId="695386E7" w14:textId="77777777" w:rsidR="0078516B" w:rsidRPr="00A52725" w:rsidRDefault="00000000">
      <w:pPr>
        <w:pStyle w:val="Heading2"/>
        <w:keepNext/>
        <w:spacing w:before="320" w:after="130"/>
        <w:rPr>
          <w:lang w:val="fr-FR"/>
        </w:rPr>
      </w:pPr>
      <w:r w:rsidRPr="00A52725">
        <w:rPr>
          <w:b/>
          <w:bCs/>
          <w:color w:val="1B5E3F"/>
          <w:sz w:val="24"/>
          <w:szCs w:val="24"/>
          <w:lang w:val="fr-FR"/>
        </w:rPr>
        <w:lastRenderedPageBreak/>
        <w:t xml:space="preserve">Réflexes </w:t>
      </w:r>
      <w:proofErr w:type="spellStart"/>
      <w:r w:rsidRPr="00A52725">
        <w:rPr>
          <w:b/>
          <w:bCs/>
          <w:color w:val="1B5E3F"/>
          <w:sz w:val="24"/>
          <w:szCs w:val="24"/>
          <w:lang w:val="fr-FR"/>
        </w:rPr>
        <w:t>somato</w:t>
      </w:r>
      <w:proofErr w:type="spellEnd"/>
      <w:r w:rsidRPr="00A52725">
        <w:rPr>
          <w:b/>
          <w:bCs/>
          <w:color w:val="1B5E3F"/>
          <w:sz w:val="24"/>
          <w:szCs w:val="24"/>
          <w:lang w:val="fr-FR"/>
        </w:rPr>
        <w:t>-autonomes et versant céphalique</w:t>
      </w:r>
    </w:p>
    <w:p w14:paraId="446B2D66" w14:textId="77777777" w:rsidR="0078516B" w:rsidRDefault="00000000">
      <w:pPr>
        <w:pStyle w:val="ListParagraph"/>
        <w:numPr>
          <w:ilvl w:val="0"/>
          <w:numId w:val="3"/>
        </w:numPr>
        <w:spacing w:after="80" w:line="276" w:lineRule="auto"/>
        <w:jc w:val="both"/>
      </w:pPr>
      <w:r>
        <w:rPr>
          <w:color w:val="1A1A1A"/>
        </w:rPr>
        <w:t xml:space="preserve">Sato A, Sato Y, Schmidt RF. The impact of somatosensory input on autonomic functions. </w:t>
      </w:r>
      <w:r>
        <w:rPr>
          <w:i/>
          <w:iCs/>
          <w:color w:val="1A1A1A"/>
        </w:rPr>
        <w:t xml:space="preserve">Rev </w:t>
      </w:r>
      <w:proofErr w:type="spellStart"/>
      <w:r>
        <w:rPr>
          <w:i/>
          <w:iCs/>
          <w:color w:val="1A1A1A"/>
        </w:rPr>
        <w:t>Physiol</w:t>
      </w:r>
      <w:proofErr w:type="spellEnd"/>
      <w:r>
        <w:rPr>
          <w:i/>
          <w:iCs/>
          <w:color w:val="1A1A1A"/>
        </w:rPr>
        <w:t xml:space="preserve"> </w:t>
      </w:r>
      <w:proofErr w:type="spellStart"/>
      <w:r>
        <w:rPr>
          <w:i/>
          <w:iCs/>
          <w:color w:val="1A1A1A"/>
        </w:rPr>
        <w:t>Biochem</w:t>
      </w:r>
      <w:proofErr w:type="spellEnd"/>
      <w:r>
        <w:rPr>
          <w:i/>
          <w:iCs/>
          <w:color w:val="1A1A1A"/>
        </w:rPr>
        <w:t xml:space="preserve"> </w:t>
      </w:r>
      <w:proofErr w:type="spellStart"/>
      <w:r>
        <w:rPr>
          <w:i/>
          <w:iCs/>
          <w:color w:val="1A1A1A"/>
        </w:rPr>
        <w:t>Pharmacol</w:t>
      </w:r>
      <w:proofErr w:type="spellEnd"/>
      <w:r>
        <w:rPr>
          <w:color w:val="1A1A1A"/>
        </w:rPr>
        <w:t xml:space="preserve">. </w:t>
      </w:r>
      <w:proofErr w:type="gramStart"/>
      <w:r>
        <w:rPr>
          <w:color w:val="1A1A1A"/>
        </w:rPr>
        <w:t>1997;130:1</w:t>
      </w:r>
      <w:proofErr w:type="gramEnd"/>
      <w:r>
        <w:rPr>
          <w:color w:val="1A1A1A"/>
        </w:rPr>
        <w:t>–328. doi:10.1007/BFb0046598.</w:t>
      </w:r>
    </w:p>
    <w:p w14:paraId="5EB987F5" w14:textId="77777777" w:rsidR="0078516B" w:rsidRDefault="00000000">
      <w:pPr>
        <w:pStyle w:val="ListParagraph"/>
        <w:numPr>
          <w:ilvl w:val="0"/>
          <w:numId w:val="3"/>
        </w:numPr>
        <w:spacing w:after="80" w:line="276" w:lineRule="auto"/>
        <w:jc w:val="both"/>
      </w:pPr>
      <w:proofErr w:type="spellStart"/>
      <w:r>
        <w:rPr>
          <w:color w:val="1A1A1A"/>
        </w:rPr>
        <w:t>Jänig</w:t>
      </w:r>
      <w:proofErr w:type="spellEnd"/>
      <w:r>
        <w:rPr>
          <w:color w:val="1A1A1A"/>
        </w:rPr>
        <w:t xml:space="preserve"> W. Neurobiology of visceral afferent neurons. </w:t>
      </w:r>
      <w:r>
        <w:rPr>
          <w:i/>
          <w:iCs/>
          <w:color w:val="1A1A1A"/>
        </w:rPr>
        <w:t>Biol Psychol</w:t>
      </w:r>
      <w:r>
        <w:rPr>
          <w:color w:val="1A1A1A"/>
        </w:rPr>
        <w:t>. 1996;42(1–2):29–51. doi:10.1016/0301-0511(95)05145-7.</w:t>
      </w:r>
    </w:p>
    <w:p w14:paraId="0EA19D0C" w14:textId="77777777" w:rsidR="0078516B" w:rsidRDefault="00000000">
      <w:pPr>
        <w:pStyle w:val="ListParagraph"/>
        <w:numPr>
          <w:ilvl w:val="0"/>
          <w:numId w:val="3"/>
        </w:numPr>
        <w:spacing w:after="80" w:line="276" w:lineRule="auto"/>
        <w:jc w:val="both"/>
      </w:pPr>
      <w:r>
        <w:rPr>
          <w:color w:val="1A1A1A"/>
        </w:rPr>
        <w:t xml:space="preserve">Ohsawa H, Yamaguchi S, Ishimaru H, Shimura M, Sato Y. Neural mechanism of pupillary dilation elicited by electro-acupuncture stimulation in anesthetized rats. </w:t>
      </w:r>
      <w:r>
        <w:rPr>
          <w:i/>
          <w:iCs/>
          <w:color w:val="1A1A1A"/>
        </w:rPr>
        <w:t xml:space="preserve">J Auton </w:t>
      </w:r>
      <w:proofErr w:type="spellStart"/>
      <w:r>
        <w:rPr>
          <w:i/>
          <w:iCs/>
          <w:color w:val="1A1A1A"/>
        </w:rPr>
        <w:t>Nerv</w:t>
      </w:r>
      <w:proofErr w:type="spellEnd"/>
      <w:r>
        <w:rPr>
          <w:i/>
          <w:iCs/>
          <w:color w:val="1A1A1A"/>
        </w:rPr>
        <w:t xml:space="preserve"> Syst</w:t>
      </w:r>
      <w:r>
        <w:rPr>
          <w:color w:val="1A1A1A"/>
        </w:rPr>
        <w:t>. 1997;64(2–3):101–106. doi:10.1016/S0165-1838(97)00023-4.</w:t>
      </w:r>
    </w:p>
    <w:p w14:paraId="69127D12" w14:textId="77777777" w:rsidR="0078516B" w:rsidRDefault="0078516B">
      <w:pPr>
        <w:spacing w:after="80"/>
      </w:pPr>
    </w:p>
    <w:p w14:paraId="0554FFB9" w14:textId="77777777" w:rsidR="0078516B" w:rsidRDefault="0078516B">
      <w:pPr>
        <w:pBdr>
          <w:bottom w:val="single" w:sz="6" w:space="2" w:color="C9C2B4"/>
        </w:pBdr>
        <w:spacing w:before="160" w:after="220"/>
      </w:pPr>
    </w:p>
    <w:p w14:paraId="28E30A11" w14:textId="77777777" w:rsidR="0078516B" w:rsidRDefault="00000000">
      <w:pPr>
        <w:spacing w:after="140" w:line="276" w:lineRule="auto"/>
        <w:jc w:val="both"/>
      </w:pPr>
      <w:proofErr w:type="spellStart"/>
      <w:r>
        <w:rPr>
          <w:i/>
          <w:iCs/>
          <w:color w:val="1A1A1A"/>
        </w:rPr>
        <w:t>Chapitre</w:t>
      </w:r>
      <w:proofErr w:type="spellEnd"/>
      <w:r>
        <w:rPr>
          <w:i/>
          <w:iCs/>
          <w:color w:val="1A1A1A"/>
        </w:rPr>
        <w:t xml:space="preserve"> 0 — Introduction | Réflexothérapie occipito-podale</w:t>
      </w:r>
    </w:p>
    <w:sectPr w:rsidR="0078516B">
      <w:footerReference w:type="default" r:id="rId7"/>
      <w:pgSz w:w="11906" w:h="16838"/>
      <w:pgMar w:top="124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8A67F" w14:textId="77777777" w:rsidR="000A2D04" w:rsidRDefault="000A2D04">
      <w:r>
        <w:separator/>
      </w:r>
    </w:p>
  </w:endnote>
  <w:endnote w:type="continuationSeparator" w:id="0">
    <w:p w14:paraId="5DE1F917" w14:textId="77777777" w:rsidR="000A2D04" w:rsidRDefault="000A2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C328" w14:textId="77777777" w:rsidR="0078516B" w:rsidRPr="00A52725" w:rsidRDefault="00000000">
    <w:pPr>
      <w:pBdr>
        <w:top w:val="single" w:sz="4" w:space="6" w:color="C9C2B4"/>
      </w:pBdr>
      <w:jc w:val="center"/>
      <w:rPr>
        <w:lang w:val="fr-FR"/>
      </w:rPr>
    </w:pPr>
    <w:r w:rsidRPr="00A52725">
      <w:rPr>
        <w:color w:val="8A8A8A"/>
        <w:sz w:val="16"/>
        <w:szCs w:val="16"/>
        <w:lang w:val="fr-FR"/>
      </w:rPr>
      <w:t>Institut R.O.P. · Chapitre 0 — Introduction · </w:t>
    </w:r>
    <w:r>
      <w:rPr>
        <w:color w:val="8A8A8A"/>
        <w:sz w:val="16"/>
        <w:szCs w:val="16"/>
      </w:rPr>
      <w:fldChar w:fldCharType="begin"/>
    </w:r>
    <w:r w:rsidRPr="00A52725">
      <w:rPr>
        <w:color w:val="8A8A8A"/>
        <w:sz w:val="16"/>
        <w:szCs w:val="16"/>
        <w:lang w:val="fr-FR"/>
      </w:rPr>
      <w:instrText>PAGE</w:instrText>
    </w:r>
    <w:r>
      <w:rPr>
        <w:color w:val="8A8A8A"/>
        <w:sz w:val="16"/>
        <w:szCs w:val="16"/>
      </w:rPr>
      <w:fldChar w:fldCharType="separate"/>
    </w:r>
    <w:r w:rsidR="00A52725" w:rsidRPr="00A52725">
      <w:rPr>
        <w:noProof/>
        <w:color w:val="8A8A8A"/>
        <w:sz w:val="16"/>
        <w:szCs w:val="16"/>
        <w:lang w:val="fr-FR"/>
      </w:rPr>
      <w:t>1</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4C611" w14:textId="77777777" w:rsidR="000A2D04" w:rsidRDefault="000A2D04">
      <w:r>
        <w:separator/>
      </w:r>
    </w:p>
  </w:footnote>
  <w:footnote w:type="continuationSeparator" w:id="0">
    <w:p w14:paraId="417C5398" w14:textId="77777777" w:rsidR="000A2D04" w:rsidRDefault="000A2D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97193"/>
    <w:multiLevelType w:val="hybridMultilevel"/>
    <w:tmpl w:val="C3AC30F8"/>
    <w:lvl w:ilvl="0" w:tplc="E3609E9C">
      <w:start w:val="1"/>
      <w:numFmt w:val="bullet"/>
      <w:lvlText w:val="●"/>
      <w:lvlJc w:val="left"/>
      <w:pPr>
        <w:ind w:left="720" w:hanging="360"/>
      </w:pPr>
    </w:lvl>
    <w:lvl w:ilvl="1" w:tplc="59A6CD64">
      <w:start w:val="1"/>
      <w:numFmt w:val="bullet"/>
      <w:lvlText w:val="○"/>
      <w:lvlJc w:val="left"/>
      <w:pPr>
        <w:ind w:left="1440" w:hanging="360"/>
      </w:pPr>
    </w:lvl>
    <w:lvl w:ilvl="2" w:tplc="2084E4AE">
      <w:start w:val="1"/>
      <w:numFmt w:val="bullet"/>
      <w:lvlText w:val="■"/>
      <w:lvlJc w:val="left"/>
      <w:pPr>
        <w:ind w:left="2160" w:hanging="360"/>
      </w:pPr>
    </w:lvl>
    <w:lvl w:ilvl="3" w:tplc="6C80EA26">
      <w:start w:val="1"/>
      <w:numFmt w:val="bullet"/>
      <w:lvlText w:val="●"/>
      <w:lvlJc w:val="left"/>
      <w:pPr>
        <w:ind w:left="2880" w:hanging="360"/>
      </w:pPr>
    </w:lvl>
    <w:lvl w:ilvl="4" w:tplc="5E8481A0">
      <w:start w:val="1"/>
      <w:numFmt w:val="bullet"/>
      <w:lvlText w:val="○"/>
      <w:lvlJc w:val="left"/>
      <w:pPr>
        <w:ind w:left="3600" w:hanging="360"/>
      </w:pPr>
    </w:lvl>
    <w:lvl w:ilvl="5" w:tplc="4126BA84">
      <w:start w:val="1"/>
      <w:numFmt w:val="bullet"/>
      <w:lvlText w:val="■"/>
      <w:lvlJc w:val="left"/>
      <w:pPr>
        <w:ind w:left="4320" w:hanging="360"/>
      </w:pPr>
    </w:lvl>
    <w:lvl w:ilvl="6" w:tplc="08446BDC">
      <w:start w:val="1"/>
      <w:numFmt w:val="bullet"/>
      <w:lvlText w:val="●"/>
      <w:lvlJc w:val="left"/>
      <w:pPr>
        <w:ind w:left="5040" w:hanging="360"/>
      </w:pPr>
    </w:lvl>
    <w:lvl w:ilvl="7" w:tplc="55761332">
      <w:start w:val="1"/>
      <w:numFmt w:val="bullet"/>
      <w:lvlText w:val="●"/>
      <w:lvlJc w:val="left"/>
      <w:pPr>
        <w:ind w:left="5760" w:hanging="360"/>
      </w:pPr>
    </w:lvl>
    <w:lvl w:ilvl="8" w:tplc="ED80CE16">
      <w:start w:val="1"/>
      <w:numFmt w:val="bullet"/>
      <w:lvlText w:val="●"/>
      <w:lvlJc w:val="left"/>
      <w:pPr>
        <w:ind w:left="6480" w:hanging="360"/>
      </w:pPr>
    </w:lvl>
  </w:abstractNum>
  <w:abstractNum w:abstractNumId="1" w15:restartNumberingAfterBreak="0">
    <w:nsid w:val="1EEA1EC2"/>
    <w:multiLevelType w:val="hybridMultilevel"/>
    <w:tmpl w:val="3A74C460"/>
    <w:lvl w:ilvl="0" w:tplc="1060A3D6">
      <w:start w:val="1"/>
      <w:numFmt w:val="bullet"/>
      <w:lvlText w:val="–"/>
      <w:lvlJc w:val="left"/>
      <w:pPr>
        <w:ind w:left="720" w:hanging="300"/>
      </w:pPr>
      <w:rPr>
        <w:b/>
        <w:bCs/>
        <w:color w:val="1B5E3F"/>
      </w:rPr>
    </w:lvl>
    <w:lvl w:ilvl="1" w:tplc="E87C835A">
      <w:numFmt w:val="decimal"/>
      <w:lvlText w:val=""/>
      <w:lvlJc w:val="left"/>
    </w:lvl>
    <w:lvl w:ilvl="2" w:tplc="A45283AE">
      <w:numFmt w:val="decimal"/>
      <w:lvlText w:val=""/>
      <w:lvlJc w:val="left"/>
    </w:lvl>
    <w:lvl w:ilvl="3" w:tplc="52A4D8A4">
      <w:numFmt w:val="decimal"/>
      <w:lvlText w:val=""/>
      <w:lvlJc w:val="left"/>
    </w:lvl>
    <w:lvl w:ilvl="4" w:tplc="95C2C860">
      <w:numFmt w:val="decimal"/>
      <w:lvlText w:val=""/>
      <w:lvlJc w:val="left"/>
    </w:lvl>
    <w:lvl w:ilvl="5" w:tplc="A628FE1A">
      <w:numFmt w:val="decimal"/>
      <w:lvlText w:val=""/>
      <w:lvlJc w:val="left"/>
    </w:lvl>
    <w:lvl w:ilvl="6" w:tplc="DBE6AE3A">
      <w:numFmt w:val="decimal"/>
      <w:lvlText w:val=""/>
      <w:lvlJc w:val="left"/>
    </w:lvl>
    <w:lvl w:ilvl="7" w:tplc="731EBFF4">
      <w:numFmt w:val="decimal"/>
      <w:lvlText w:val=""/>
      <w:lvlJc w:val="left"/>
    </w:lvl>
    <w:lvl w:ilvl="8" w:tplc="6F880DD8">
      <w:numFmt w:val="decimal"/>
      <w:lvlText w:val=""/>
      <w:lvlJc w:val="left"/>
    </w:lvl>
  </w:abstractNum>
  <w:abstractNum w:abstractNumId="2" w15:restartNumberingAfterBreak="0">
    <w:nsid w:val="487561B1"/>
    <w:multiLevelType w:val="hybridMultilevel"/>
    <w:tmpl w:val="2DD46592"/>
    <w:lvl w:ilvl="0" w:tplc="2C7CF5B6">
      <w:start w:val="1"/>
      <w:numFmt w:val="decimal"/>
      <w:lvlText w:val="%1."/>
      <w:lvlJc w:val="left"/>
      <w:pPr>
        <w:ind w:left="720" w:hanging="340"/>
      </w:pPr>
      <w:rPr>
        <w:b/>
        <w:bCs/>
        <w:color w:val="1B5E3F"/>
      </w:rPr>
    </w:lvl>
    <w:lvl w:ilvl="1" w:tplc="D4044E8A">
      <w:numFmt w:val="decimal"/>
      <w:lvlText w:val=""/>
      <w:lvlJc w:val="left"/>
    </w:lvl>
    <w:lvl w:ilvl="2" w:tplc="89E8F540">
      <w:numFmt w:val="decimal"/>
      <w:lvlText w:val=""/>
      <w:lvlJc w:val="left"/>
    </w:lvl>
    <w:lvl w:ilvl="3" w:tplc="5A6A155C">
      <w:numFmt w:val="decimal"/>
      <w:lvlText w:val=""/>
      <w:lvlJc w:val="left"/>
    </w:lvl>
    <w:lvl w:ilvl="4" w:tplc="ACF829A6">
      <w:numFmt w:val="decimal"/>
      <w:lvlText w:val=""/>
      <w:lvlJc w:val="left"/>
    </w:lvl>
    <w:lvl w:ilvl="5" w:tplc="46F6D95A">
      <w:numFmt w:val="decimal"/>
      <w:lvlText w:val=""/>
      <w:lvlJc w:val="left"/>
    </w:lvl>
    <w:lvl w:ilvl="6" w:tplc="CD9E9B78">
      <w:numFmt w:val="decimal"/>
      <w:lvlText w:val=""/>
      <w:lvlJc w:val="left"/>
    </w:lvl>
    <w:lvl w:ilvl="7" w:tplc="D53609F6">
      <w:numFmt w:val="decimal"/>
      <w:lvlText w:val=""/>
      <w:lvlJc w:val="left"/>
    </w:lvl>
    <w:lvl w:ilvl="8" w:tplc="74B24654">
      <w:numFmt w:val="decimal"/>
      <w:lvlText w:val=""/>
      <w:lvlJc w:val="left"/>
    </w:lvl>
  </w:abstractNum>
  <w:num w:numId="1" w16cid:durableId="1570534245">
    <w:abstractNumId w:val="0"/>
    <w:lvlOverride w:ilvl="0">
      <w:startOverride w:val="1"/>
    </w:lvlOverride>
  </w:num>
  <w:num w:numId="2" w16cid:durableId="1760903293">
    <w:abstractNumId w:val="1"/>
    <w:lvlOverride w:ilvl="0">
      <w:startOverride w:val="1"/>
    </w:lvlOverride>
  </w:num>
  <w:num w:numId="3" w16cid:durableId="20189195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16B"/>
    <w:rsid w:val="000A2D04"/>
    <w:rsid w:val="0078516B"/>
    <w:rsid w:val="00A52725"/>
    <w:rsid w:val="00CD001F"/>
    <w:rsid w:val="00DF1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FDAA1"/>
  <w15:docId w15:val="{E5747F62-C9EC-47E6-84E6-FDC5AA872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4528</Words>
  <Characters>25811</Characters>
  <Application>Microsoft Office Word</Application>
  <DocSecurity>0</DocSecurity>
  <Lines>215</Lines>
  <Paragraphs>60</Paragraphs>
  <ScaleCrop>false</ScaleCrop>
  <Company/>
  <LinksUpToDate>false</LinksUpToDate>
  <CharactersWithSpaces>30279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0 — Introduction | Réflexothérapie occipito-podale</dc:title>
  <dc:creator>Guy Boitout — Institut R.O.P.</dc:creator>
  <dc:description>Quatre portes somatiques, cinq ponts neuro-anatomiques et un gradient de ciblage à trois paramètres.</dc:description>
  <cp:lastModifiedBy>Nicolas Boitout</cp:lastModifiedBy>
  <cp:revision>3</cp:revision>
  <dcterms:created xsi:type="dcterms:W3CDTF">2026-08-20T18:49:00Z</dcterms:created>
  <dcterms:modified xsi:type="dcterms:W3CDTF">2026-08-20T18:54:00Z</dcterms:modified>
</cp:coreProperties>
</file>