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Chapter 2</w:t>
      </w:r>
    </w:p>
    <w:p>
      <w:pPr>
        <w:spacing w:after="160"/>
        <w:widowControl/>
      </w:pPr>
      <w:r>
        <w:rPr>
          <w:rFonts w:ascii="Aptos Display" w:hAnsi="Aptos Display"/>
          <w:b/>
          <w:color w:val="2F3437"/>
          <w:sz w:val="50"/>
        </w:rPr>
        <w:t>Treatment with Occipito-Podal Reflexotherapy (ROP)</w:t>
      </w:r>
    </w:p>
    <w:p>
      <w:pPr>
        <w:spacing w:after="240"/>
        <w:pBdr>
          <w:bottom w:val="single" w:sz="14" w:space="1" w:color="3E6F70"/>
        </w:pBdr>
        <w:widowControl/>
      </w:pPr>
    </w:p>
    <w:p>
      <w:pPr>
        <w:pStyle w:val="BodyText"/>
        <w:spacing w:after="140"/>
        <w:ind w:left="0" w:firstLine="255"/>
        <w:widowControl/>
      </w:pPr>
      <w:r>
        <w:rPr>
          <w:i w:val="0"/>
        </w:rPr>
        <w:t>Occipito-Podal Reflexotherapy (ROP) forms part of a functional, integrative approach to care. Treatment is guided by the patient history, clinical examination, listening tests, assessment of reflex zones, and the response observed. It follows the clinical sequence presented in Chapter 0 while drawing, where relevant, on the neuroanatomical basis of somatic entry pathways, spinal convergence, and supraspinal pathways. Its aim is to engage the patient’s regulatory and adaptive capacities, without replacing medical diagnosis or any indicated medical treatment. The foundations of the clinical model are set out below, distinguishing documented physiology, arguments based on neurophysiological plausibility, and the mapping specific to ROP.</w:t>
      </w:r>
      <w:r>
        <w:t xml:space="preserve"/>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Guiding principles</w:t>
            </w:r>
          </w:p>
          <w:p>
            <w:pPr>
              <w:keepLines/>
              <w:spacing w:after="60" w:line="259" w:lineRule="auto"/>
            </w:pPr>
            <w:r>
              <w:rPr>
                <w:b/>
              </w:rPr>
              <w:t xml:space="preserve">Engage rather than force. Pressure is light, precise, and painless.</w:t>
            </w:r>
            <w:r>
              <w:t/>
            </w:r>
          </w:p>
          <w:p>
            <w:pPr>
              <w:keepLines/>
              <w:spacing w:after="60" w:line="259" w:lineRule="auto"/>
            </w:pPr>
            <w:r>
              <w:rPr>
                <w:b/>
              </w:rPr>
              <w:t xml:space="preserve">Prioritise rather than apply a fixed protocol. Tests and the clinical situation determine priorities.</w:t>
            </w:r>
            <w:r>
              <w:t/>
            </w:r>
          </w:p>
          <w:p>
            <w:pPr>
              <w:keepLines/>
              <w:spacing w:after="60" w:line="259" w:lineRule="auto"/>
            </w:pPr>
            <w:r>
              <w:rPr>
                <w:b/>
              </w:rPr>
              <w:t xml:space="preserve">Observe rather than presume. The patient’s response is monitored in the hours and days following the session.</w:t>
            </w:r>
            <w:r>
              <w:t/>
            </w:r>
          </w:p>
          <w:p>
            <w:pPr>
              <w:keepLines/>
              <w:spacing w:after="60" w:line="259" w:lineRule="auto"/>
            </w:pPr>
            <w:r>
              <w:rPr>
                <w:b/>
              </w:rPr>
              <w:t xml:space="preserve">Refer when necessary. Any suspicion of organic disease or a warning sign requires medical assessment.</w:t>
            </w:r>
            <w:r>
              <w:t/>
            </w:r>
          </w:p>
        </w:tc>
      </w:tr>
    </w:tbl>
    <w:p>
      <w:pPr>
        <w:spacing w:after="0"/>
        <w:widowControl/>
      </w:pPr>
    </w:p>
    <w:p>
      <w:pPr>
        <w:pStyle w:val="Heading1"/>
        <w:keepNext/>
      </w:pPr>
      <w:r>
        <w:t>0. Foundations of the ROP clinical model</w:t>
      </w:r>
    </w:p>
    <w:p>
      <w:pPr>
        <w:pStyle w:val="BodyText"/>
      </w:pPr>
      <w:r/>
      <w:r>
        <w:t>Before considering the technique, three levels must be distinguished: established cutaneous and somatosensory physiology; plausibility arguments provided by neurophysiology; and the clinical mapping specific to ROP. This distinction preserves the logic of the method without presenting an unproven point-to-organ correspondence as established fact.</w:t>
      </w:r>
    </w:p>
    <w:p>
      <w:pPr>
        <w:pStyle w:val="Heading2"/>
        <w:keepNext/>
      </w:pPr>
      <w:r>
        <w:t>0.1. Why does ROP look for reflex zones on the foot and occiput?</w:t>
      </w:r>
    </w:p>
    <w:p>
      <w:pPr>
        <w:pStyle w:val="BodyText"/>
      </w:pPr>
      <w:r/>
      <w:r>
        <w:t>In ROP practice, the practitioner looks for areas on the skin of the foot and occipital region whose texture or sensitivity differs from that of the immediately surrounding tissue. These findings are considered alongside the patient history, clinical examination, listening tests, and the patient’s progress. They serve as working and reassessment landmarks; they are not used in isolation to make a medical diagnosis.</w:t>
      </w:r>
    </w:p>
    <w:p>
      <w:pPr>
        <w:pStyle w:val="BodyText"/>
      </w:pPr>
      <w:r/>
      <w:r>
        <w:t>Occipito-podal mapping associates these zones with functional territories of the body. In this volume, the mapping is treated as a clinical model specific to ROP. It must not be confused with a dermatome, a peripheral nerve territory, or the direct anatomical projection of an organ onto the skin of the foot or occiput.</w:t>
      </w:r>
    </w:p>
    <w:p>
      <w:pPr>
        <w:pStyle w:val="BodyText"/>
      </w:pPr>
      <w:r/>
      <w:r>
        <w:t>Embryology provides contextual information: the epidermis derives from surface ectoderm, whereas the nervous system derives from neuroectoderm, which itself arises from ectoderm [1]. This shared embryological origin is an anatomical fact; it does not, however, demonstrate the existence of a specific foot–occiput–organ reflex map.</w:t>
      </w:r>
    </w:p>
    <w:p>
      <w:pPr>
        <w:pStyle w:val="BodyText"/>
      </w:pPr>
      <w:r/>
      <w:r>
        <w:t>Neurophysiology provides a more directly relevant framework. The skin is richly innervated and vascularised, and its sensitivity, temperature, sweating, and perfusion vary in response to local and systemic factors. The sympathetic nervous system contributes in particular to the control of cutaneous circulation and vasomotor tone [3]. Stress, pain, temperature, local pressure, and other factors may therefore alter certain characteristics of the skin. These mechanisms show that the skin is a dynamic tissue; they do not demonstrate that a functional disorder of an organ necessarily creates a corresponding, specific cutaneous zone on the foot or occiput.</w:t>
      </w:r>
    </w:p>
    <w:p>
      <w:pPr>
        <w:pStyle w:val="BodyText"/>
      </w:pPr>
      <w:r/>
      <w:r>
        <w:rPr>
          <w:b/>
        </w:rPr>
        <w:t xml:space="preserve">Historical and terminological note — Historical ROP texts used the concepts of “somatotopy”, “viscerotopy”, and “reverberation” to describe the clinical representation of the body on the foot and occiput. In this chapter, these terms describe the method’s mapping model; they are not presented as evidence of a demonstrated anatomical point-to-organ correspondence.</w:t>
      </w:r>
      <w:r>
        <w:t/>
      </w:r>
    </w:p>
    <w:p>
      <w:pPr>
        <w:spacing w:before="40" w:after="40"/>
        <w:jc w:val="center"/>
        <w:keepNext w:val="1"/>
      </w:pPr>
      <w:r>
        <w:drawing>
          <wp:inline xmlns:a="http://schemas.openxmlformats.org/drawingml/2006/main" xmlns:pic="http://schemas.openxmlformats.org/drawingml/2006/picture">
            <wp:extent cx="6035040" cy="3396386"/>
            <wp:docPr id="2" name="Figure 2.1" descr="Figure 2.1. Why ROP looks for reflex zones: established skin physiology versus the ROP clinical mapping model." title="Figure 2.1"/>
            <wp:cNvGraphicFramePr>
              <a:graphicFrameLocks noChangeAspect="1"/>
            </wp:cNvGraphicFramePr>
            <a:graphic>
              <a:graphicData uri="http://schemas.openxmlformats.org/drawingml/2006/picture">
                <pic:pic>
                  <pic:nvPicPr>
                    <pic:cNvPr id="0" name="figure_2_1_zones_reflexes_modele_rop.png"/>
                    <pic:cNvPicPr/>
                  </pic:nvPicPr>
                  <pic:blipFill>
                    <a:blip r:embed="rId14"/>
                    <a:stretch>
                      <a:fillRect/>
                    </a:stretch>
                  </pic:blipFill>
                  <pic:spPr>
                    <a:xfrm>
                      <a:off x="0" y="0"/>
                      <a:ext cx="6035040" cy="3396386"/>
                    </a:xfrm>
                    <a:prstGeom prst="rect"/>
                  </pic:spPr>
                </pic:pic>
              </a:graphicData>
            </a:graphic>
          </wp:inline>
        </w:drawing>
      </w:r>
    </w:p>
    <w:p>
      <w:pPr>
        <w:pStyle w:val="Caption"/>
        <w:jc w:val="center"/>
        <w:keepNext w:val="0"/>
      </w:pPr>
      <w:r>
        <w:rPr>
          <w:i/>
        </w:rPr>
        <w:t>Figure 2.1 — Why does ROP look for reflex zones? Established cutaneous physiology shows that the skin is a dynamic sensory, vascular, and autonomic organ; the topographical correspondence between the foot, occiput, and functional territories belongs to ROP clinical mapping and does not constitute a demonstrated anatomical projection.</w:t>
      </w:r>
    </w:p>
    <w:p>
      <w:pPr>
        <w:pStyle w:val="Heading2"/>
        <w:keepNext/>
      </w:pPr>
      <w:r>
        <w:t>0.2. What does “reflex zone” mean in ROP?</w:t>
      </w:r>
    </w:p>
    <w:p>
      <w:pPr>
        <w:pStyle w:val="BodyText"/>
      </w:pPr>
      <w:r/>
      <w:r>
        <w:t>In ROP palpation terminology, a reflex zone is an area of skin distinguished from neighbouring tissues by one or more characteristics: roughness, increased density, reduced glide, a granular sensation, or localised sensitivity. Identification is based on comparison with adjacent areas, the contralateral side where relevant, and the underlying anatomical landmarks.</w:t>
      </w:r>
    </w:p>
    <w:p>
      <w:pPr>
        <w:pStyle w:val="BodyText"/>
      </w:pPr>
      <w:r/>
      <w:r>
        <w:t>The term “crystals”, historically used by some practitioners to describe a granular sensation beneath the finger, is retained only as a palpatory description. It does not imply the presence of objectively demonstrated crystalline or calcium deposits in the epidermal-dermal layer.</w:t>
      </w:r>
    </w:p>
    <w:p>
      <w:pPr>
        <w:pStyle w:val="ListBullet"/>
      </w:pPr>
      <w:r>
        <w:t>Identification: supplement the history, clinical examination, and tests with information obtained from the tissues.</w:t>
      </w:r>
    </w:p>
    <w:p>
      <w:pPr>
        <w:pStyle w:val="ListBullet"/>
      </w:pPr>
      <w:r>
        <w:t>Stimulation: apply light, precise, painless pressure to the selected zone.</w:t>
      </w:r>
    </w:p>
    <w:p>
      <w:pPr>
        <w:pStyle w:val="ListBullet"/>
      </w:pPr>
      <w:r>
        <w:t>Reassessment: after stimulation, compare the texture, sensitivity, and functional indicators defined before the session.</w:t>
      </w:r>
    </w:p>
    <w:p>
      <w:pPr>
        <w:pStyle w:val="BodyText"/>
      </w:pPr>
      <w:r/>
      <w:r>
        <w:rPr>
          <w:b/>
        </w:rPr>
        <w:t xml:space="preserve">Clarification — A reflex zone is an ROP clinical landmark. Its presence, disappearance, or alteration after stimulation is neither a validated biomarker of an organ nor proof of a particular causal mechanism.</w:t>
      </w:r>
      <w:r>
        <w:t/>
      </w:r>
    </w:p>
    <w:p>
      <w:pPr>
        <w:pStyle w:val="Heading2"/>
        <w:keepNext/>
      </w:pPr>
      <w:r>
        <w:t>0.3. Proposed neurophysiological mechanism of ROP stimulation</w:t>
      </w:r>
    </w:p>
    <w:p>
      <w:pPr>
        <w:pStyle w:val="BodyText"/>
      </w:pPr>
      <w:r/>
      <w:r>
        <w:t>Manual pressure deforms the epidermal-dermal layer and stimulates, in particular, low-threshold cutaneous mechanoreceptors. Non-noxious touch is transmitted largely by myelinated afferents, including Aβ fibres, which pass through a peripheral branch and then a nerve to the spinal roots before being integrated into spinal networks and ascending pathways [2]. Discriminative, epicritic touch relies extensively on the dorsal column–medial lemniscus system; actual cutaneous stimulation is not, however, limited to a single fibre population or a single ascending pathway.</w:t>
      </w:r>
    </w:p>
    <w:p>
      <w:pPr>
        <w:pStyle w:val="BodyText"/>
      </w:pPr>
      <w:r/>
      <w:r>
        <w:t>At spinal and supraspinal levels, tactile information can interact with nociceptive transmission and with networks involved in perception, attention, autonomic state, and somatic responses. Gate control theory provides a classic model for understanding how non-painful tactile stimulation can help modulate part of the pain signal [4]. It does not, however, account for all the possible effects of manual contact.</w:t>
      </w:r>
    </w:p>
    <w:p>
      <w:pPr>
        <w:pStyle w:val="BodyText"/>
      </w:pPr>
      <w:r/>
      <w:r>
        <w:t>Within the ROP model, these pathways constitute a sensory entry pathway capable of modifying the excitability of somatic, autonomic, or visceral networks. This formulation expresses neurophysiological plausibility; it does not mean that pressure on a cutaneous zone sends a specific “corrective command” to an organ or restores measurable autonomic, hormonal, and somatic normotonia through a demonstrated mechanism.</w:t>
      </w:r>
    </w:p>
    <w:p>
      <w:pPr>
        <w:pStyle w:val="BodyText"/>
      </w:pPr>
      <w:r/>
      <w:r>
        <w:t>The practical consequence is essential: ROP seeks precise, progressive, non-painful stimulation. Excessive pressure changes the nature of the stimulus and may recruit nociceptive pathways to a greater degree, which is not the aim of the technique. After stimulation, the response is assessed by reassessing the zone, the main symptom, and the monitored functions rather than by presuming a specific physiological effect.</w:t>
      </w:r>
    </w:p>
    <w:p>
      <w:pPr>
        <w:spacing w:before="40" w:after="40"/>
        <w:jc w:val="center"/>
        <w:keepNext w:val="1"/>
      </w:pPr>
      <w:r>
        <w:drawing>
          <wp:inline xmlns:a="http://schemas.openxmlformats.org/drawingml/2006/main" xmlns:pic="http://schemas.openxmlformats.org/drawingml/2006/picture">
            <wp:extent cx="5431536" cy="3056747"/>
            <wp:docPr id="3" name="Figure 2.2" descr="Figure 2.2. Proposed neurophysiological pathway from non-painful cutaneous pressure to spinal and supraspinal processing and clinical reassessment." title="Figure 2.2"/>
            <wp:cNvGraphicFramePr>
              <a:graphicFrameLocks noChangeAspect="1"/>
            </wp:cNvGraphicFramePr>
            <a:graphic>
              <a:graphicData uri="http://schemas.openxmlformats.org/drawingml/2006/picture">
                <pic:pic>
                  <pic:nvPicPr>
                    <pic:cNvPr id="0" name="figure_2_2_mecanisme_stimulation_rop.png"/>
                    <pic:cNvPicPr/>
                  </pic:nvPicPr>
                  <pic:blipFill>
                    <a:blip r:embed="rId15"/>
                    <a:stretch>
                      <a:fillRect/>
                    </a:stretch>
                  </pic:blipFill>
                  <pic:spPr>
                    <a:xfrm>
                      <a:off x="0" y="0"/>
                      <a:ext cx="5431536" cy="3056747"/>
                    </a:xfrm>
                    <a:prstGeom prst="rect"/>
                  </pic:spPr>
                </pic:pic>
              </a:graphicData>
            </a:graphic>
          </wp:inline>
        </w:drawing>
      </w:r>
    </w:p>
    <w:p>
      <w:pPr>
        <w:pStyle w:val="Caption"/>
        <w:jc w:val="center"/>
        <w:keepNext w:val="0"/>
      </w:pPr>
      <w:r>
        <w:rPr>
          <w:i/>
        </w:rPr>
        <w:t>Figure 2.2 — Cutaneous stimulation in ROP: proposed neurophysiological pathway. Non-painful pressure activates cutaneous afferents that reach spinal and supraspinal networks. Modulatory effects are plausible at sensory, nociceptive, and autonomic levels; selective correction of an organ through a cutaneous point has not been demonstrated.</w:t>
      </w:r>
    </w:p>
    <w:p>
      <w:pPr>
        <w:pStyle w:val="Heading1"/>
        <w:keepNext/>
        <w:keepLines/>
        <w:widowControl/>
        <w:spacing w:before="200" w:after="80"/>
      </w:pPr>
      <w:r>
        <w:t>1. Technique</w:t>
      </w:r>
    </w:p>
    <w:p>
      <w:pPr>
        <w:pStyle w:val="Heading2"/>
        <w:keepNext/>
        <w:keepLines/>
        <w:widowControl/>
        <w:spacing w:before="140" w:after="60"/>
      </w:pPr>
      <w:r>
        <w:t>1.1. Manual contact and pressure</w:t>
      </w:r>
    </w:p>
    <w:p>
      <w:pPr>
        <w:pStyle w:val="ListBullet"/>
        <w:spacing w:after="50"/>
        <w:ind w:left="369" w:hanging="170"/>
        <w:widowControl/>
      </w:pPr>
      <w:r>
        <w:t>The technique is exclusively manual. The practitioner uses the pad of the thumb or the proximal interphalangeal joint of the index finger, without oil or cream.</w:t>
      </w:r>
    </w:p>
    <w:p>
      <w:pPr>
        <w:pStyle w:val="ListBullet"/>
        <w:spacing w:after="50"/>
        <w:ind w:left="369" w:hanging="170"/>
        <w:widowControl/>
      </w:pPr>
      <w:r>
        <w:t>Pressure is light, precise, progressive, and painless. It mobilises the epidermal-dermal layer of the occipital and plantar reflex zones while preserving perception of bony landmarks and skin texture.</w:t>
      </w:r>
    </w:p>
    <w:p>
      <w:pPr>
        <w:pStyle w:val="ListBullet"/>
      </w:pPr>
      <w:r>
        <w:t>The quality of contact depends not only on pressure intensity: the speed of mobilisation, stability and duration of contact, and the thermal characteristics of the hand are also components of the cutaneous stimulus.</w:t>
      </w:r>
    </w:p>
    <w:p>
      <w:pPr>
        <w:pStyle w:val="ListBullet"/>
        <w:spacing w:after="50"/>
        <w:ind w:left="369" w:hanging="170"/>
        <w:widowControl/>
      </w:pPr>
      <w:r>
        <w:t>Sharp pain, excessive force, or vigorous rubbing indicate overstimulation and must be avoided.</w:t>
      </w:r>
    </w:p>
    <w:p>
      <w:pPr>
        <w:pStyle w:val="Heading2"/>
        <w:keepNext/>
        <w:keepLines/>
        <w:widowControl/>
        <w:spacing w:before="140" w:after="60"/>
      </w:pPr>
      <w:r>
        <w:t>1.2. Mechanoreception and tactile information</w:t>
      </w:r>
    </w:p>
    <w:p>
      <w:pPr>
        <w:pStyle w:val="BodyText"/>
        <w:spacing w:after="80"/>
        <w:ind w:left="0" w:firstLine="255"/>
        <w:widowControl/>
      </w:pPr>
      <w:r/>
      <w:r>
        <w:t>Cutaneous stimulation activates, in particular, low-threshold mechanoreceptors in glabrous skin [2], including:</w:t>
      </w:r>
    </w:p>
    <w:p>
      <w:pPr>
        <w:pStyle w:val="ListBullet"/>
        <w:spacing w:after="50"/>
        <w:ind w:left="369" w:hanging="170"/>
        <w:widowControl/>
      </w:pPr>
      <w:r>
        <w:t>Meissner corpuscles, sensitive to light touch and subtle changes in pressure;</w:t>
      </w:r>
    </w:p>
    <w:p>
      <w:pPr>
        <w:pStyle w:val="ListBullet"/>
        <w:spacing w:after="50"/>
        <w:ind w:left="369" w:hanging="170"/>
        <w:widowControl/>
      </w:pPr>
      <w:r>
        <w:t>Merkel discs, sensitive to gentle sustained pressure and to features of shape and texture.</w:t>
      </w:r>
    </w:p>
    <w:p>
      <w:pPr>
        <w:pStyle w:val="BodyText"/>
        <w:spacing w:after="80"/>
        <w:ind w:left="0" w:firstLine="255"/>
        <w:widowControl/>
      </w:pPr>
      <w:r/>
      <w:r>
        <w:t>When the epidermal-dermal layer is deformed beneath the finger, mechanoreceptors generate afferent activity transmitted through a peripheral branch and then a nerve to the spinal cord and higher centres. The interpretive sequence proposed in this volume is straightforward: local pressure → mechanoreceptors → peripheral branch → nerve → spinal roots → spinal and supraspinal networks. In the ROP model, this sensory information constitutes an entry pathway capable of modifying the excitability of somatic, autonomic, or visceral networks. Gate control theory may help explain part of the immediate analgesic effect of non-painful tactile stimulation [4].</w:t>
      </w:r>
    </w:p>
    <w:p>
      <w:pPr>
        <w:pStyle w:val="BodyText"/>
      </w:pPr>
      <w:r/>
      <w:r>
        <w:t>Cutaneous touch does not, however, rely on a single afferent system. Alongside mechanoreceptors associated with fast myelinated fibres, human microneurographic studies have identified unmyelinated, C-type mechanosensitive afferents that respond to non-noxious tactile stimulation. First described by Vallbo and colleagues in 1993 in hairy skin, these afferents were subsequently studied under the term C-tactile (CT) fibres [5].</w:t>
      </w:r>
    </w:p>
    <w:p>
      <w:pPr>
        <w:pStyle w:val="BodyText"/>
      </w:pPr>
      <w:r/>
      <w:r>
        <w:t>Subsequent studies show that their response depends not only on the mechanical intensity of contact but also on its physical characteristics. During gentle skin stroking, CT fibres respond preferentially to slow-to-intermediate velocities of approximately 1–10 cm/s, which are also associated with a more pleasant perception of touch [6]. Their activity is also modulated by temperature: in a study comparing stimulation at 18 °C, 32 °C, and 42 °C, the response was maximal around 32 °C, a temperature close to that of the skin surface and therefore to skin-to-skin contact [7]. These findings illustrate that the quality of manual stimulation depends on several parameters—intensity, speed, temperature, and duration of contact—and not solely on the force applied.</w:t>
      </w:r>
    </w:p>
    <w:p>
      <w:pPr>
        <w:pStyle w:val="BodyText"/>
      </w:pPr>
      <w:r>
        <w:t>This pathway should not, however, be extrapolated directly to ROP. C-tactile fibres have chiefly been characterised in hairy skin, whereas the sole is glabrous skin in which myelinated tactile afferents play a major role. Any contribution they may make to manual plantar stimulation must therefore be distinguished from better-established mechanosensory mechanisms. Here, data on CT fibres provide a model of touch physiology, not proof of an ROP-specific mechanism.</w:t>
      </w:r>
    </w:p>
    <w:p>
      <w:pPr>
        <w:pStyle w:val="BodyText"/>
      </w:pPr>
      <w:r>
        <w:t>The sole of the foot is the best-documented mechanical entry pathway, principally through branches of the tibial nerve. The lateral border, dorsum, and medial aspect of the foot provide other somatic entry pathways via the sural, fibular, and saphenous nerves, respectively. These territories are not organ maps; they correspond to different peripheral inputs that can be compared.</w:t>
      </w:r>
    </w:p>
    <w:p>
      <w:pPr>
        <w:pStyle w:val="BodyText"/>
      </w:pPr>
      <w:r>
        <w:t>Methodological clarification — Manual ROP pressure is not equivalent to direct electrical stimulation of a nerve. Neuromodulation studies provide circuit models and plausibility arguments; they do not automatically demonstrate that manual pressure produces the same response.</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Relevance to ROP</w:t>
            </w:r>
          </w:p>
          <w:p>
            <w:pPr>
              <w:keepLines/>
              <w:spacing w:after="60" w:line="259" w:lineRule="auto"/>
            </w:pPr>
            <w:r>
              <w:t>Force and vigorous rubbing during reflex massage must be avoided. The greater the pressure, the more the practitioner perceives their own fingers at the expense of the bony landmarks and textural changes that guide the search for reflex zones.</w:t>
            </w:r>
          </w:p>
          <w:p>
            <w:pPr>
              <w:keepLines/>
              <w:spacing w:after="60" w:line="259" w:lineRule="auto"/>
            </w:pPr>
            <w:r>
              <w:t>Even when properly performed, a session constitutes a stimulus for the body. It must take account of the patient’s vitality and adaptive capacity.</w:t>
            </w:r>
          </w:p>
        </w:tc>
      </w:tr>
    </w:tbl>
    <w:p>
      <w:pPr>
        <w:spacing w:after="0"/>
        <w:widowControl/>
      </w:pPr>
    </w:p>
    <w:p>
      <w:pPr>
        <w:pStyle w:val="Heading2"/>
        <w:keepNext/>
        <w:keepLines/>
        <w:widowControl/>
        <w:spacing w:before="140" w:after="60"/>
      </w:pPr>
      <w:r>
        <w:t>1.3. The three stages of manual stimulation</w:t>
      </w:r>
    </w:p>
    <w:p>
      <w:pPr>
        <w:pStyle w:val="BodyText"/>
        <w:spacing w:after="60"/>
        <w:ind w:left="369" w:hanging="312"/>
        <w:widowControl/>
      </w:pPr>
      <w:r>
        <w:rPr>
          <w:b/>
        </w:rPr>
      </w:r>
      <w:r>
        <w:rPr>
          <w:b/>
        </w:rPr>
      </w:r>
      <w:r/>
      <w:r>
        <w:rPr>
          <w:b/>
        </w:rPr>
        <w:t>1. Textural identification phase. The practitioner searches for areas showing altered texture of the occipital or plantar skin: roughness, increased density, reduced glide, or a granular sensation, sometimes described as “crystals” in ROP palpation terminology. This term does not imply the presence of crystalline deposits in the tissues. These findings complement the history, clinical examination, and tests; they do not constitute a diagnosis.</w:t>
      </w:r>
      <w:r>
        <w:rPr>
          <w:b w:val="0"/>
        </w:rPr>
        <w:t xml:space="preserve"/>
      </w:r>
    </w:p>
    <w:p>
      <w:pPr>
        <w:pStyle w:val="BodyText"/>
        <w:spacing w:after="60"/>
        <w:ind w:left="369" w:hanging="312"/>
        <w:widowControl/>
      </w:pPr>
      <w:r>
        <w:rPr>
          <w:b/>
        </w:rPr>
        <w:t xml:space="preserve">2. Therapeutic phase. Pressure remains gentle, precisely targeted, and painless. The manoeuvre mobilises the epidermal-dermal layer to stimulate mechanoreceptors and provide sensory input to the nervous system.</w:t>
      </w:r>
      <w:r>
        <w:rPr>
          <w:b/>
        </w:rPr>
        <w:t/>
      </w:r>
      <w:r>
        <w:t xml:space="preserve"/>
      </w:r>
    </w:p>
    <w:p>
      <w:pPr>
        <w:pStyle w:val="BodyText"/>
        <w:spacing w:after="60"/>
        <w:ind w:left="369" w:hanging="312"/>
        <w:widowControl/>
      </w:pPr>
      <w:r>
        <w:rPr>
          <w:b/>
        </w:rPr>
        <w:t xml:space="preserve">3. Rest and observation phase. After stimulation, the practitioner pauses briefly to observe. The response is assessed by changes in sensitivity, glide, and suppleness of the reflex zone, together with general signs of relaxation.</w:t>
      </w:r>
      <w:r>
        <w:rPr>
          <w:b/>
        </w:rPr>
        <w:t/>
      </w:r>
      <w:r>
        <w:t xml:space="preserve"/>
      </w:r>
    </w:p>
    <w:p>
      <w:pPr>
        <w:pStyle w:val="BodyText"/>
        <w:spacing w:after="80"/>
        <w:ind w:left="0" w:firstLine="255"/>
        <w:widowControl/>
      </w:pPr>
      <w:r>
        <w:rPr>
          <w:i w:val="0"/>
        </w:rPr>
        <w:t>The quality of the response depends on the patient’s general condition, vitality, and adaptive-compensatory capacity, in relation to the phase of the general adaptation syndrome in which the patient is situated: alarm, adaptation, resistance, or exhaustion. (See Chapter 5, Stress Mechanism.)</w:t>
      </w:r>
    </w:p>
    <w:p>
      <w:pPr>
        <w:pStyle w:val="Heading1"/>
        <w:keepNext/>
        <w:keepLines/>
        <w:widowControl/>
        <w:spacing w:before="200" w:after="80"/>
      </w:pPr>
      <w:r>
        <w:t>2. Treatment arrangements</w:t>
      </w:r>
    </w:p>
    <w:p>
      <w:pPr>
        <w:pStyle w:val="Heading2"/>
        <w:keepNext/>
        <w:keepLines/>
        <w:widowControl/>
        <w:spacing w:before="140" w:after="60"/>
      </w:pPr>
      <w:r>
        <w:t>2.1. Session duration</w:t>
      </w:r>
    </w:p>
    <w:p>
      <w:pPr>
        <w:pStyle w:val="BodyText"/>
        <w:spacing w:after="80"/>
        <w:ind w:left="0" w:firstLine="255"/>
        <w:widowControl/>
      </w:pPr>
      <w:r>
        <w:rPr>
          <w:i w:val="0"/>
        </w:rPr>
        <w:t>Treatment effectiveness is not proportional to session length. It depends primarily on the quality of the examination, prioritisation, and precision of stimulation. The session must remain suited to the patient’s capacity to respond, without unnecessarily multiplying the areas treated.</w:t>
      </w:r>
    </w:p>
    <w:p>
      <w:pPr>
        <w:pStyle w:val="Heading2"/>
        <w:keepNext/>
        <w:keepLines/>
        <w:widowControl/>
        <w:spacing w:before="140" w:after="60"/>
      </w:pPr>
      <w:r>
        <w:t>2.2. Frequency and initial course</w:t>
      </w:r>
    </w:p>
    <w:p>
      <w:pPr>
        <w:pStyle w:val="BodyText"/>
        <w:spacing w:after="80"/>
        <w:ind w:left="0" w:firstLine="255"/>
        <w:widowControl/>
      </w:pPr>
      <w:r>
        <w:rPr>
          <w:i w:val="0"/>
        </w:rPr>
        <w:t>Session frequency does not follow a fixed interval. It depends on the course of the main symptom, the patient’s functioning, and the ability to recover after the first session.</w:t>
      </w:r>
    </w:p>
    <w:p>
      <w:pPr>
        <w:pStyle w:val="BodyText"/>
        <w:spacing w:after="80"/>
        <w:ind w:left="0" w:firstLine="255"/>
        <w:widowControl/>
      </w:pPr>
      <w:r>
        <w:rPr>
          <w:i w:val="0"/>
        </w:rPr>
        <w:t>Reassessment is generally performed on days 3–4. If improvement is sufficient and usual functioning has returned, no further session is required in the short term. If recovery remains incomplete, a second session may be offered.</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How should the term “vitality” be interpreted?</w:t>
            </w:r>
          </w:p>
          <w:p>
            <w:pPr>
              <w:keepLines/>
              <w:spacing w:after="60" w:line="259" w:lineRule="auto"/>
            </w:pPr>
            <w:r>
              <w:t>In this chapter, vitality denotes a clinical and functional assessment: energy level, fatigability, sleep quality, ability to resume activities, course of the main symptom, and overall subjective state.</w:t>
            </w:r>
          </w:p>
          <w:p>
            <w:pPr>
              <w:keepLines/>
              <w:spacing w:after="60" w:line="259" w:lineRule="auto"/>
            </w:pPr>
            <w:r>
              <w:t>It does not correspond to a single biological variable. To be useful, it must be compared with the patient’s baseline and monitored using simple, reproducible questions.</w:t>
            </w:r>
          </w:p>
        </w:tc>
      </w:tr>
    </w:tbl>
    <w:p>
      <w:pPr>
        <w:spacing w:after="0"/>
        <w:widowControl/>
      </w:pPr>
    </w:p>
    <w:p>
      <w:pPr>
        <w:pStyle w:val="BodyText"/>
        <w:spacing w:after="80"/>
        <w:ind w:left="0" w:firstLine="255"/>
        <w:widowControl/>
      </w:pPr>
      <w:r>
        <w:rPr>
          <w:i w:val="0"/>
        </w:rPr>
        <w:t>For most functional indications, an initial course of one to three sessions allows the patient’s response to be assessed. If no notable improvement occurs after three sessions, the functional hypothesis, prioritisation, and indication for ROP must be reconsidered. If necessary, the patient is referred to a physician. Chronic disorders may require longer follow-up, with an individually tailored schedule. Post-treatment reactions and detailed reassessment criteria are presented in Section 9.</w:t>
      </w:r>
    </w:p>
    <w:p>
      <w:pPr>
        <w:pStyle w:val="Heading1"/>
        <w:keepNext/>
        <w:keepLines/>
        <w:widowControl/>
        <w:spacing w:before="200" w:after="80"/>
      </w:pPr>
      <w:r>
        <w:t>3. Treatment prioritisation</w:t>
      </w:r>
    </w:p>
    <w:p>
      <w:pPr>
        <w:pStyle w:val="BodyText"/>
        <w:spacing w:after="80"/>
        <w:ind w:left="0" w:firstLine="255"/>
        <w:widowControl/>
      </w:pPr>
      <w:r>
        <w:rPr>
          <w:i w:val="0"/>
        </w:rPr>
        <w:t>There is no immutable protocol. The four-level clinical sequence presented in Chapter 0 structures reasoning but does not impose a mandatory order. Tests, clinical history, and the observed response determine the true priority. The following factors may lead the practitioner to begin at one level rather than another:</w:t>
      </w:r>
    </w:p>
    <w:p>
      <w:pPr>
        <w:pStyle w:val="BodyText"/>
        <w:spacing w:after="60"/>
        <w:ind w:left="369" w:hanging="312"/>
        <w:widowControl/>
      </w:pPr>
      <w:r>
        <w:rPr>
          <w:b/>
        </w:rPr>
      </w:r>
      <w:r>
        <w:rPr>
          <w:b/>
        </w:rPr>
      </w:r>
      <w:r/>
      <w:r>
        <w:rPr>
          <w:b/>
        </w:rPr>
        <w:t>1. Sequelae of trauma, surgery, or infection. When a symptom appears after a clearly identified event, this chronology may guide prioritisation. The history and clinical examination must establish whether the relationship is coherent without presuming automatic causation.</w:t>
      </w:r>
      <w:r>
        <w:rPr>
          <w:b w:val="0"/>
        </w:rPr>
        <w:t xml:space="preserve"/>
      </w:r>
    </w:p>
    <w:p>
      <w:pPr>
        <w:pStyle w:val="BodyText"/>
        <w:spacing w:after="60"/>
        <w:ind w:left="369" w:hanging="312"/>
        <w:widowControl/>
      </w:pPr>
      <w:r>
        <w:rPr>
          <w:b/>
        </w:rPr>
      </w:r>
      <w:r>
        <w:rPr>
          <w:b/>
        </w:rPr>
      </w:r>
      <w:r/>
      <w:r>
        <w:rPr>
          <w:b/>
        </w:rPr>
        <w:t>2. History and global and local listening tests. In the absence of an obvious precipitating event, these guide the practitioner towards the regulatory level or territory that should be explored first and provide reference points for reassessment after stimulation.</w:t>
      </w:r>
      <w:r>
        <w:rPr>
          <w:b w:val="0"/>
        </w:rPr>
        <w:t xml:space="preserve"/>
      </w:r>
    </w:p>
    <w:p>
      <w:pPr>
        <w:pStyle w:val="BodyText"/>
        <w:spacing w:after="60"/>
        <w:ind w:left="369" w:hanging="312"/>
        <w:widowControl/>
      </w:pPr>
      <w:r>
        <w:rPr>
          <w:b/>
        </w:rPr>
      </w:r>
      <w:r>
        <w:rPr>
          <w:b/>
        </w:rPr>
      </w:r>
      <w:r/>
      <w:r>
        <w:rPr>
          <w:b/>
        </w:rPr>
        <w:t>3. Psycho-emotional context. Certain physical or emotional events may influence bodily experience, pain perception, and autonomic state. This dimension forms part of the viscero-emotional integration addressed at level 4 and is explored cautiously, without imposing an interpretation on the patient.</w:t>
      </w:r>
      <w:r>
        <w:rPr>
          <w:b w:val="0"/>
        </w:rPr>
        <w:t xml:space="preserve"/>
      </w:r>
    </w:p>
    <w:p>
      <w:pPr>
        <w:pStyle w:val="BodyText"/>
        <w:spacing w:after="60"/>
        <w:ind w:left="369" w:hanging="312"/>
        <w:widowControl/>
      </w:pPr>
      <w:r>
        <w:rPr>
          <w:b/>
        </w:rPr>
      </w:r>
      <w:r>
        <w:rPr>
          <w:b/>
        </w:rPr>
      </w:r>
      <w:r/>
      <w:r>
        <w:rPr>
          <w:b/>
        </w:rPr>
        <w:t>4. Stress mechanism and adaptive capacities. Every local finding must be considered within the patient’s overall context, constraints, sleep, recovery, and functional capacities. (See Chapter 5, Stress Mechanism.)</w:t>
      </w:r>
      <w:r>
        <w:rPr>
          <w:b w:val="0"/>
        </w:rPr>
        <w:t xml:space="preserve"/>
      </w:r>
    </w:p>
    <w:p>
      <w:pPr>
        <w:pStyle w:val="Heading1"/>
        <w:keepNext/>
        <w:keepLines/>
        <w:widowControl/>
        <w:spacing w:before="200" w:after="80"/>
      </w:pPr>
      <w:r>
        <w:t>4. ROP clinical sequence: four levels</w:t>
      </w:r>
    </w:p>
    <w:p>
      <w:pPr>
        <w:pStyle w:val="BodyText"/>
      </w:pPr>
      <w:r>
        <w:t>The clinical sequence follows the four levels defined in Chapter 0. They are prioritisation landmarks rather than four mandatory stages. A single session may involve several levels depending on the history, tests, and patient response.</w:t>
      </w:r>
    </w:p>
    <w:p>
      <w:pPr>
        <w:pStyle w:val="Heading2"/>
      </w:pPr>
      <w:r>
        <w:t>4.1. Level 1 — Regulation of higher central nervous system centres</w:t>
      </w:r>
    </w:p>
    <w:p>
      <w:pPr>
        <w:pStyle w:val="BodyText"/>
      </w:pPr>
      <w:r>
        <w:t>This level concerns occipital reflex zones and ROP landmarks associated with the major integration centres and the neuromeningeal environment. The clinical objective is to address central regulation before or alongside a more regional approach.</w:t>
      </w:r>
    </w:p>
    <w:p>
      <w:pPr>
        <w:pStyle w:val="ListBullet"/>
      </w:pPr>
      <w:r>
        <w:t>Occipital reflex zones.</w:t>
      </w:r>
    </w:p>
    <w:p>
      <w:pPr>
        <w:pStyle w:val="ListBullet"/>
      </w:pPr>
      <w:r>
        <w:t>Craniospinal neuromeningeal environment, primary respiratory mechanism (PRM), and cerebrospinal fluid circulation in the ROP clinical model: occiput–C1–C2, cranial base and vault, cerebral and cerebellar falx, S2 landmarks, and techniques described in previous volumes.</w:t>
      </w:r>
    </w:p>
    <w:p>
      <w:pPr>
        <w:pStyle w:val="ListBullet"/>
      </w:pPr>
      <w:r>
        <w:t>Craniosacral axis—an ROP clinical term used as a landmark of craniospinal continuity, not as an autonomous anatomical system.</w:t>
      </w:r>
    </w:p>
    <w:p>
      <w:pPr>
        <w:pStyle w:val="ListBullet"/>
      </w:pPr>
      <w:r>
        <w:t>Diencephalon, particularly the hypothalamus, brainstem, and hypothalamic-pituitary axis.</w:t>
      </w:r>
    </w:p>
    <w:p>
      <w:pPr>
        <w:pStyle w:val="BodyText"/>
      </w:pPr>
      <w:r>
        <w:t>Clarification — These locations belong to ROP clinical mapping. They do not represent a direct anatomical projection of a brain structure onto the foot or occiput, nor proof of selective action on a specific area.</w:t>
      </w:r>
    </w:p>
    <w:p>
      <w:pPr>
        <w:pStyle w:val="Heading2"/>
      </w:pPr>
      <w:r>
        <w:t>4.2. Level 2 — Autonomic regulation and adaptation</w:t>
      </w:r>
    </w:p>
    <w:p>
      <w:pPr>
        <w:pStyle w:val="BodyText"/>
      </w:pPr>
      <w:r>
        <w:t>This level concerns autonomic pathways and the systems involved in mobilisation, adaptation, and recovery. It links higher centres with visceral territories.</w:t>
      </w:r>
    </w:p>
    <w:p>
      <w:pPr>
        <w:pStyle w:val="ListBullet"/>
      </w:pPr>
      <w:r>
        <w:t>Diaphragm, regarded here as a respiratory and functional interface accompanying autonomic regulation.</w:t>
      </w:r>
    </w:p>
    <w:p>
      <w:pPr>
        <w:pStyle w:val="ListBullet"/>
      </w:pPr>
      <w:r>
        <w:t>Sympathetic and parasympathetic systems; paravertebral ganglionic chain.</w:t>
      </w:r>
    </w:p>
    <w:p>
      <w:pPr>
        <w:pStyle w:val="ListBullet"/>
      </w:pPr>
      <w:r>
        <w:t>Vagus nerve for the cervical, thoracic, and abdominal territories, and sacral parasympathetic pathways for the pelvic territory and distal colon.</w:t>
      </w:r>
    </w:p>
    <w:p>
      <w:pPr>
        <w:pStyle w:val="ListBullet"/>
      </w:pPr>
      <w:r>
        <w:t>Prevertebral and previsceral plexuses.</w:t>
      </w:r>
    </w:p>
    <w:p>
      <w:pPr>
        <w:pStyle w:val="ListBullet"/>
      </w:pPr>
      <w:r>
        <w:t>Adrenal glands, particularly in the sympathoadrenal response.</w:t>
      </w:r>
    </w:p>
    <w:p>
      <w:pPr>
        <w:pStyle w:val="BodyText"/>
      </w:pPr>
      <w:r>
        <w:t>The diaphragm is not anatomically part of the autonomic nervous system; its inclusion at this level reflects the clinical logic of ROP, in which breathing, tone, and autonomic state are observed together. Sensory visceral afferents must also be distinguished from efferent autonomic commands.</w:t>
      </w:r>
    </w:p>
    <w:p>
      <w:pPr>
        <w:pStyle w:val="Heading2"/>
      </w:pPr>
      <w:r>
        <w:t>4.3. Level 3 — Local and regional visceral regulation</w:t>
      </w:r>
    </w:p>
    <w:p>
      <w:pPr>
        <w:pStyle w:val="BodyText"/>
      </w:pPr>
      <w:r>
        <w:t>The third level refocuses treatment on the organ or functional territory concerned and its immediate anatomical environment.</w:t>
      </w:r>
    </w:p>
    <w:p>
      <w:pPr>
        <w:pStyle w:val="ListBullet"/>
      </w:pPr>
      <w:r>
        <w:t>Organ or visceral system concerned.</w:t>
      </w:r>
    </w:p>
    <w:p>
      <w:pPr>
        <w:pStyle w:val="ListBullet"/>
      </w:pPr>
      <w:r>
        <w:t>Abdominal or pelvic cavity, depending on the territory.</w:t>
      </w:r>
    </w:p>
    <w:p>
      <w:pPr>
        <w:pStyle w:val="ListBullet"/>
      </w:pPr>
      <w:r>
        <w:t>Peritoneum and mesenteric roots.</w:t>
      </w:r>
    </w:p>
    <w:p>
      <w:pPr>
        <w:pStyle w:val="ListBullet"/>
      </w:pPr>
      <w:r>
        <w:t>Mesenteries, visceral ligaments, fasciae, and principal local and regional interfaces.</w:t>
      </w:r>
    </w:p>
    <w:p>
      <w:pPr>
        <w:pStyle w:val="ListBullet"/>
      </w:pPr>
      <w:r>
        <w:t>Neurovascular relationships and regional plexuses where relevant.</w:t>
      </w:r>
    </w:p>
    <w:p>
      <w:pPr>
        <w:pStyle w:val="BodyText"/>
      </w:pPr>
      <w:r>
        <w:t>This level does not assume that a reflex zone directly controls an organ. It structures exploration of a visceral territory and its interfaces, followed by reassessment of the response after stimulation.</w:t>
      </w:r>
    </w:p>
    <w:p>
      <w:pPr>
        <w:pStyle w:val="Heading2"/>
      </w:pPr>
      <w:r>
        <w:t>4.4. Level 4 — Viscerosomatic and viscero-emotional integration</w:t>
      </w:r>
    </w:p>
    <w:p>
      <w:pPr>
        <w:pStyle w:val="BodyText"/>
      </w:pPr>
      <w:r>
        <w:t>The fourth level broadens the interpretation of the organ to include its relationships with the somatic nervous system and with cerebral networks involved in the perception of internal state, salience, context, and emotion.</w:t>
      </w:r>
    </w:p>
    <w:p>
      <w:pPr>
        <w:pStyle w:val="ListBullet"/>
      </w:pPr>
      <w:r>
        <w:t>Somatic nerves and lumbar or sacral plexuses involved in viscerosomatic relationships.</w:t>
      </w:r>
    </w:p>
    <w:p>
      <w:pPr>
        <w:pStyle w:val="ListBullet"/>
      </w:pPr>
      <w:r>
        <w:t>Segmental relationships, spinal convergence, and associated musculoskeletal territories.</w:t>
      </w:r>
    </w:p>
    <w:p>
      <w:pPr>
        <w:pStyle w:val="ListBullet"/>
      </w:pPr>
      <w:r>
        <w:t>Limbic and corticolimbic networks: particularly the insula and cingulate cortex; the amygdala and hippocampus when their ROP clinical mapping is used.</w:t>
      </w:r>
    </w:p>
    <w:p>
      <w:pPr>
        <w:pStyle w:val="ListBullet"/>
      </w:pPr>
      <w:r>
        <w:t>Viscero-emotional balance: linking the reflex zone of the dominant organ with the cerebral reflex zone selected through listening.</w:t>
      </w:r>
    </w:p>
    <w:p>
      <w:pPr>
        <w:pStyle w:val="BodyText"/>
      </w:pPr>
      <w:r/>
      <w:r>
        <w:t>Certain cutaneous afferent systems, particularly those studied in affective touch, contribute to central processing associated with the affective and interoceptive dimensions of tactile experience [6]. This observation highlights interactions among cutaneous somatic information, internal state, and affective context, without establishing a specific correspondence between a reflex zone and a particular cerebral network.</w:t>
      </w:r>
    </w:p>
    <w:p>
      <w:pPr>
        <w:pStyle w:val="Heading3"/>
      </w:pPr>
      <w:r>
        <w:t>4.4.1. The viscero-emotional balance</w:t>
      </w:r>
    </w:p>
    <w:p>
      <w:pPr>
        <w:pStyle w:val="BodyText"/>
      </w:pPr>
      <w:r>
        <w:t>The viscera and brain maintain continuous, bidirectional relationships. Information from the organs reaches the central nervous system through visceral afferent pathways and contributes to interoception, namely the perception and integration of the body’s internal state. Conversely, emotional states and cerebral processes modulate visceral function, particularly through the autonomic nervous system.</w:t>
      </w:r>
    </w:p>
    <w:p>
      <w:pPr>
        <w:pStyle w:val="BodyText"/>
      </w:pPr>
      <w:r>
        <w:t>The viscero-emotional balance addresses this interaction clinically by simultaneously linking the reflex zone of the dominant organ identified by testing with the cerebral reflex zone selected during listening. The practitioner generally places one thumb on the visceral reflex zone and the other on the cerebral reflex zone.</w:t>
      </w:r>
    </w:p>
    <w:p>
      <w:pPr>
        <w:pStyle w:val="BodyText"/>
      </w:pPr>
      <w:r>
        <w:t>The manoeuvre comprises four phases:</w:t>
      </w:r>
    </w:p>
    <w:p>
      <w:pPr>
        <w:pStyle w:val="BodyText"/>
      </w:pPr>
      <w:r>
        <w:rPr>
          <w:b/>
        </w:rPr>
        <w:t>1. Establishing contact. The two zones are contacted simultaneously using gentle, stable, painless pressure.</w:t>
      </w:r>
      <w:r>
        <w:rPr>
          <w:b w:val="0"/>
        </w:rPr>
        <w:t xml:space="preserve"/>
      </w:r>
    </w:p>
    <w:p>
      <w:pPr>
        <w:pStyle w:val="BodyText"/>
      </w:pPr>
      <w:r>
        <w:rPr>
          <w:b/>
        </w:rPr>
        <w:t>2. Listening. The practitioner assesses the textural quality of both zones and the response that arises when they are linked.</w:t>
      </w:r>
      <w:r>
        <w:rPr>
          <w:b w:val="0"/>
        </w:rPr>
        <w:t xml:space="preserve"/>
      </w:r>
    </w:p>
    <w:p>
      <w:pPr>
        <w:pStyle w:val="BodyText"/>
      </w:pPr>
      <w:r>
        <w:rPr>
          <w:b/>
        </w:rPr>
        <w:t>3. Induction. When listening reveals a response requiring treatment, gentle and precise manual stimulation is applied to the reflex zone or zones concerned.</w:t>
      </w:r>
      <w:r>
        <w:rPr>
          <w:b w:val="0"/>
        </w:rPr>
        <w:t xml:space="preserve"/>
      </w:r>
    </w:p>
    <w:p>
      <w:pPr>
        <w:pStyle w:val="BodyText"/>
      </w:pPr>
      <w:r>
        <w:rPr>
          <w:b/>
        </w:rPr>
        <w:t>4. Rest, observation, and reassessment. Contact is maintained for the duration of the tissue response, after which the zones are reassessed to evaluate any change.</w:t>
      </w:r>
      <w:r>
        <w:rPr>
          <w:b w:val="0"/>
        </w:rPr>
        <w:t xml:space="preserve"/>
      </w:r>
    </w:p>
    <w:p>
      <w:pPr>
        <w:pStyle w:val="BodyText"/>
      </w:pPr>
      <w:r>
        <w:t>The balance does not replace anatomical, autonomic, or local and regional treatment of the organ. It complements such treatment when clinical listening reveals a relevant viscero-emotional component. It must not be understood as a mechanical, exclusive correspondence between a specific emotion and a specific organ. The patient’s history, stress context, lived experience, and adaptive capacities modulate the expression of this relationship. Emotional mapping in ROP guides listening and treatment; it is not used as a predetermined framework for interpreting the patient.</w:t>
      </w:r>
    </w:p>
    <w:p>
      <w:pPr>
        <w:pStyle w:val="BodyText"/>
      </w:pPr>
      <w:r>
        <w:t>This linking does not presuppose a demonstrated direct anatomical connection between the palpated zone and a particular limbic structure. Supraspinal pathways make contextual and descending modulation plausible, but provide less support for point-to-organ specificity.</w:t>
      </w:r>
    </w:p>
    <w:p>
      <w:pPr>
        <w:pStyle w:val="Heading1"/>
        <w:keepNext/>
        <w:keepLines/>
        <w:widowControl/>
        <w:spacing w:before="200" w:after="80"/>
      </w:pPr>
      <w:r>
        <w:t>5. Clinical example: left-sided lumbosciatica after childbirth</w:t>
      </w:r>
    </w:p>
    <w:p>
      <w:pPr>
        <w:pStyle w:val="BodyText"/>
        <w:spacing w:after="80"/>
        <w:ind w:left="0" w:firstLine="255"/>
        <w:widowControl/>
      </w:pPr>
      <w:r>
        <w:rPr>
          <w:i w:val="0"/>
        </w:rPr>
        <w:t>Mrs X, in her thirties, presents with left-sided lumbosciatica that developed several months after childbirth.</w:t>
      </w:r>
    </w:p>
    <w:p>
      <w:pPr>
        <w:pStyle w:val="Heading2"/>
        <w:keepNext/>
        <w:keepLines/>
        <w:widowControl/>
        <w:spacing w:before="140" w:after="60"/>
      </w:pPr>
      <w:r>
        <w:t>5.1. History</w:t>
      </w:r>
    </w:p>
    <w:p>
      <w:pPr>
        <w:pStyle w:val="ListBullet"/>
        <w:spacing w:after="50"/>
        <w:ind w:left="369" w:hanging="170"/>
        <w:widowControl/>
      </w:pPr>
      <w:r>
        <w:t>no known history of trauma;</w:t>
      </w:r>
    </w:p>
    <w:p>
      <w:pPr>
        <w:pStyle w:val="ListBullet"/>
        <w:spacing w:after="50"/>
        <w:ind w:left="369" w:hanging="170"/>
        <w:widowControl/>
      </w:pPr>
      <w:r>
        <w:t>lumbosciatic pain exacerbated during menstruation;</w:t>
      </w:r>
    </w:p>
    <w:p>
      <w:pPr>
        <w:pStyle w:val="ListBullet"/>
        <w:spacing w:after="50"/>
        <w:ind w:left="369" w:hanging="170"/>
        <w:widowControl/>
      </w:pPr>
      <w:r>
        <w:t>stress urinary incontinence disclosed during the interview;</w:t>
      </w:r>
    </w:p>
    <w:p>
      <w:pPr>
        <w:pStyle w:val="ListBullet"/>
        <w:spacing w:after="50"/>
        <w:ind w:left="369" w:hanging="170"/>
        <w:widowControl/>
      </w:pPr>
      <w:r>
        <w:t>prolonged labour in a primiparous patient;</w:t>
      </w:r>
    </w:p>
    <w:p>
      <w:pPr>
        <w:pStyle w:val="ListBullet"/>
        <w:spacing w:after="50"/>
        <w:ind w:left="369" w:hanging="170"/>
        <w:widowControl/>
      </w:pPr>
      <w:r>
        <w:t>gynaecological examination showing no identified abnormality; radiograph showing mild L5–S1 disc-space narrowing without demonstrated nerve-root conflict;</w:t>
      </w:r>
    </w:p>
    <w:p>
      <w:pPr>
        <w:pStyle w:val="ListBullet"/>
        <w:spacing w:after="50"/>
        <w:ind w:left="369" w:hanging="170"/>
        <w:widowControl/>
      </w:pPr>
      <w:r>
        <w:t>substantial emotional impact, as the patient wished to resume her self-employed work promptly.</w:t>
      </w:r>
    </w:p>
    <w:p>
      <w:pPr>
        <w:pStyle w:val="Heading2"/>
        <w:keepNext/>
        <w:keepLines/>
        <w:widowControl/>
        <w:spacing w:before="140" w:after="60"/>
      </w:pPr>
      <w:r>
        <w:t>5.2. Tests</w:t>
      </w:r>
    </w:p>
    <w:p>
      <w:pPr>
        <w:pStyle w:val="ListBullet"/>
        <w:spacing w:after="50"/>
        <w:ind w:left="369" w:hanging="170"/>
        <w:widowControl/>
      </w:pPr>
      <w:r>
        <w:t>global listening tests performed in standing and sitting indicate a low anterior-flexion pattern and a low left-lateral-flexion pattern of the trunk;</w:t>
      </w:r>
    </w:p>
    <w:p>
      <w:pPr>
        <w:pStyle w:val="ListBullet"/>
        <w:spacing w:after="50"/>
        <w:ind w:left="369" w:hanging="170"/>
        <w:widowControl/>
      </w:pPr>
      <w:r>
        <w:t>vertebral tests reveal a moderate reduction in left-sided mobility at L2–L3 and L5–S1, with fixation of the left sacroiliac joint and coccyx;</w:t>
      </w:r>
    </w:p>
    <w:p>
      <w:pPr>
        <w:pStyle w:val="ListBullet"/>
        <w:spacing w:after="50"/>
        <w:ind w:left="369" w:hanging="170"/>
        <w:widowControl/>
      </w:pPr>
      <w:r>
        <w:t>in the supine position, the modified Lasègue (straight-leg-raise) test improves when the hand placed over the pubic symphysis is drawn slightly to the left and deeply towards the cervico-isthmic region of the uterus;</w:t>
      </w:r>
    </w:p>
    <w:p>
      <w:pPr>
        <w:pStyle w:val="ListBullet"/>
        <w:spacing w:after="50"/>
        <w:ind w:left="369" w:hanging="170"/>
        <w:widowControl/>
      </w:pPr>
      <w:r>
        <w:t>with the patient lying on her left side, listening over the lower abdomen reveals resistance to uterine mobility;</w:t>
      </w:r>
    </w:p>
    <w:p>
      <w:pPr>
        <w:pStyle w:val="ListBullet"/>
        <w:spacing w:after="50"/>
        <w:ind w:left="369" w:hanging="170"/>
        <w:widowControl/>
      </w:pPr>
      <w:r>
        <w:t>the left hip shows reduced internal rotation.</w:t>
      </w:r>
    </w:p>
    <w:p>
      <w:pPr>
        <w:pStyle w:val="Heading2"/>
        <w:keepNext/>
        <w:keepLines/>
        <w:widowControl/>
        <w:spacing w:before="140" w:after="60"/>
      </w:pPr>
      <w:r>
        <w:t>5.3. Functional interpretation proposed in ROP</w:t>
      </w:r>
    </w:p>
    <w:p>
      <w:pPr>
        <w:pStyle w:val="BodyText"/>
        <w:spacing w:after="80"/>
        <w:ind w:left="0" w:firstLine="255"/>
        <w:widowControl/>
      </w:pPr>
      <w:r>
        <w:rPr>
          <w:i w:val="0"/>
        </w:rPr>
        <w:t>The findings suggest a possible contribution of the uterine and pelvic region to the local and regional syndrome. Under this working hypothesis:</w:t>
      </w:r>
    </w:p>
    <w:p>
      <w:pPr>
        <w:pStyle w:val="ListBullet"/>
        <w:spacing w:after="50"/>
        <w:ind w:left="369" w:hanging="170"/>
        <w:widowControl/>
      </w:pPr>
      <w:r>
        <w:t>the coexistence of a perceived restriction in the left uterosacral region and reduced mobility of the left sacroiliac joint constitutes a local and regional relationship to be explored and reassessed after treatment;</w:t>
      </w:r>
    </w:p>
    <w:p>
      <w:pPr>
        <w:pStyle w:val="ListBullet"/>
        <w:spacing w:after="50"/>
        <w:ind w:left="369" w:hanging="170"/>
        <w:widowControl/>
      </w:pPr>
      <w:r>
        <w:t>altered tone of the left piriformis muscle may be considered a somatic component capable of contributing to the pain presentation;</w:t>
      </w:r>
    </w:p>
    <w:p>
      <w:pPr>
        <w:pStyle w:val="ListBullet"/>
        <w:spacing w:after="50"/>
        <w:ind w:left="369" w:hanging="170"/>
        <w:widowControl/>
      </w:pPr>
      <w:r>
        <w:t>regional relationships among the uterus, bladder, sacrum, and pelvic floor are incorporated into the working hypothesis and compared with changes in stress incontinence and sacrococcygeal mobility;</w:t>
      </w:r>
    </w:p>
    <w:p>
      <w:pPr>
        <w:pStyle w:val="ListBullet"/>
        <w:spacing w:after="50"/>
        <w:ind w:left="369" w:hanging="170"/>
        <w:widowControl/>
      </w:pPr>
      <w:r>
        <w:t>the menstrual cycle and autonomic state are considered when assessing level 2 and the overall functional response;</w:t>
      </w:r>
    </w:p>
    <w:p>
      <w:pPr>
        <w:pStyle w:val="ListBullet"/>
        <w:spacing w:after="50"/>
        <w:ind w:left="369" w:hanging="170"/>
        <w:widowControl/>
      </w:pPr>
      <w:r>
        <w:t>in the ROP model, sacrococcygeal fixation is also considered in relation to the meningeal coverings and the PRM;</w:t>
      </w:r>
    </w:p>
    <w:p>
      <w:pPr>
        <w:pStyle w:val="ListBullet"/>
        <w:spacing w:after="50"/>
        <w:ind w:left="369" w:hanging="170"/>
        <w:widowControl/>
      </w:pPr>
      <w:r>
        <w:t>the emotional context and anxiety associated with pain, recent motherhood, and returning to work may perpetuate the patient’s symptoms.</w:t>
      </w:r>
    </w:p>
    <w:p>
      <w:pPr>
        <w:pStyle w:val="Heading2"/>
        <w:keepNext/>
        <w:keepLines/>
        <w:widowControl/>
        <w:spacing w:before="140" w:after="60"/>
      </w:pPr>
      <w:r>
        <w:t>5.4. ROP treatment</w:t>
      </w:r>
    </w:p>
    <w:p>
      <w:pPr>
        <w:pStyle w:val="BodyText"/>
        <w:spacing w:after="60"/>
        <w:ind w:left="369" w:hanging="312"/>
        <w:widowControl/>
      </w:pPr>
      <w:r>
        <w:rPr>
          <w:b/>
        </w:rPr>
      </w:r>
      <w:r/>
      <w:r>
        <w:rPr>
          <w:b/>
        </w:rPr>
        <w:t>1. Level 1 — Central regulation: occipital reflex zones, ROP neuromeningeal landmarks, diencephalon, brainstem, and hypothalamic-pituitary axis.</w:t>
      </w:r>
      <w:r>
        <w:rPr>
          <w:b w:val="0"/>
        </w:rPr>
        <w:t xml:space="preserve"/>
      </w:r>
    </w:p>
    <w:p>
      <w:pPr>
        <w:pStyle w:val="BodyText"/>
        <w:spacing w:after="60"/>
        <w:ind w:left="369" w:hanging="312"/>
        <w:widowControl/>
      </w:pPr>
      <w:r>
        <w:rPr>
          <w:b/>
        </w:rPr>
      </w:r>
      <w:r/>
      <w:r>
        <w:rPr>
          <w:b/>
        </w:rPr>
        <w:t>2. Level 2 — Autonomic regulation and adaptation: diaphragm, sympathetic and parasympathetic pathways, adrenal glands, sacral pelvic pathways, and pelvic plexuses according to testing.</w:t>
      </w:r>
      <w:r>
        <w:rPr>
          <w:b w:val="0"/>
        </w:rPr>
        <w:t xml:space="preserve"/>
      </w:r>
    </w:p>
    <w:p>
      <w:pPr>
        <w:pStyle w:val="BodyText"/>
        <w:spacing w:after="60"/>
        <w:ind w:left="369" w:hanging="312"/>
        <w:widowControl/>
      </w:pPr>
      <w:r>
        <w:rPr>
          <w:b/>
        </w:rPr>
      </w:r>
      <w:r/>
      <w:r>
        <w:rPr>
          <w:b/>
        </w:rPr>
        <w:t>3. Level 3 — Local and regional visceral regulation: cervico-isthmic region of the uterus, pelvic cavity, and local and regional relationships, particularly the ligamentous structures identified on examination.</w:t>
      </w:r>
      <w:r>
        <w:rPr>
          <w:b w:val="0"/>
        </w:rPr>
        <w:t xml:space="preserve"/>
      </w:r>
    </w:p>
    <w:p>
      <w:pPr>
        <w:pStyle w:val="BodyText"/>
        <w:spacing w:after="60"/>
        <w:ind w:left="369" w:hanging="312"/>
        <w:widowControl/>
      </w:pPr>
      <w:r>
        <w:rPr>
          <w:b/>
        </w:rPr>
      </w:r>
      <w:r/>
      <w:r>
        <w:rPr>
          <w:b/>
        </w:rPr>
        <w:t>4. Level 4 — Viscerosomatic and viscero-emotional integration: pudendal nerve, sacral plexus, piriformis muscle, sacrococcygeal and sacroiliac joints, and course of the left sciatic nerve; insular and limbic networks if warranted by the clinical context.</w:t>
      </w:r>
      <w:r>
        <w:rPr>
          <w:b w:val="0"/>
        </w:rPr>
        <w:t xml:space="preserve"/>
      </w:r>
    </w:p>
    <w:p>
      <w:pPr>
        <w:pStyle w:val="BodyText"/>
        <w:spacing w:after="80"/>
        <w:ind w:left="0" w:firstLine="255"/>
        <w:widowControl/>
      </w:pPr>
      <w:r>
        <w:rPr>
          <w:i w:val="0"/>
        </w:rPr>
        <w:t>Changes in the main symptom, mobility, stress incontinence, sleep, and vitality must be recorded after the session to confirm or challenge this prioritisation.</w:t>
      </w:r>
    </w:p>
    <w:p>
      <w:pPr>
        <w:pStyle w:val="Heading1"/>
        <w:keepNext/>
        <w:keepLines/>
        <w:widowControl/>
        <w:spacing w:before="200" w:after="80"/>
      </w:pPr>
      <w:r>
        <w:t>6. Contraindications and warning signs</w:t>
      </w:r>
    </w:p>
    <w:p>
      <w:pPr>
        <w:pStyle w:val="BodyText"/>
        <w:spacing w:after="80"/>
        <w:ind w:left="0" w:firstLine="255"/>
        <w:widowControl/>
      </w:pPr>
      <w:r>
        <w:rPr>
          <w:i w:val="0"/>
        </w:rPr>
        <w:t>ROP forms part of a functional approach to care. Any suspicion of organic disease, complication, or warning sign requires medical assessment. Apparently minor symptoms may reveal a serious disorder; in accordance with the precautionary principle, the practitioner must recognise situations in which treatment should not be undertaken.</w:t>
      </w:r>
    </w:p>
    <w:p>
      <w:pPr>
        <w:pStyle w:val="BodyText"/>
        <w:spacing w:after="80"/>
        <w:ind w:left="0" w:firstLine="255"/>
        <w:widowControl/>
      </w:pPr>
      <w:r>
        <w:rPr>
          <w:i w:val="0"/>
        </w:rPr>
        <w:t>The following signs should, in particular, prompt reassessment and, depending on the context, referral:</w:t>
      </w:r>
    </w:p>
    <w:p>
      <w:pPr>
        <w:pStyle w:val="ListBullet"/>
        <w:spacing w:after="50"/>
        <w:ind w:left="369" w:hanging="170"/>
        <w:widowControl/>
      </w:pPr>
      <w:r>
        <w:t>non-mechanical pain that persists or worsens during the first part of the night;</w:t>
      </w:r>
    </w:p>
    <w:p>
      <w:pPr>
        <w:pStyle w:val="ListBullet"/>
        <w:spacing w:after="50"/>
        <w:ind w:left="369" w:hanging="170"/>
        <w:widowControl/>
      </w:pPr>
      <w:r>
        <w:t>atypical chest pain, dyspnoea, or malaise;</w:t>
      </w:r>
    </w:p>
    <w:p>
      <w:pPr>
        <w:pStyle w:val="ListBullet"/>
        <w:spacing w:after="50"/>
        <w:ind w:left="369" w:hanging="170"/>
        <w:widowControl/>
      </w:pPr>
      <w:r>
        <w:t>blood in the urine or stools;</w:t>
      </w:r>
    </w:p>
    <w:p>
      <w:pPr>
        <w:pStyle w:val="ListBullet"/>
        <w:spacing w:after="50"/>
        <w:ind w:left="369" w:hanging="170"/>
        <w:widowControl/>
      </w:pPr>
      <w:r>
        <w:t>fever or suspected infectious disease;</w:t>
      </w:r>
    </w:p>
    <w:p>
      <w:pPr>
        <w:pStyle w:val="ListBullet"/>
        <w:spacing w:after="50"/>
        <w:ind w:left="369" w:hanging="170"/>
        <w:widowControl/>
      </w:pPr>
      <w:r>
        <w:t>unexplained weight loss;</w:t>
      </w:r>
    </w:p>
    <w:p>
      <w:pPr>
        <w:pStyle w:val="ListBullet"/>
        <w:spacing w:after="50"/>
        <w:ind w:left="369" w:hanging="170"/>
        <w:widowControl/>
      </w:pPr>
      <w:r>
        <w:t>a known thrombus with a risk of embolisation;</w:t>
      </w:r>
    </w:p>
    <w:p>
      <w:pPr>
        <w:pStyle w:val="ListBullet"/>
        <w:spacing w:after="50"/>
        <w:ind w:left="369" w:hanging="170"/>
        <w:widowControl/>
      </w:pPr>
      <w:r>
        <w:t>pallor associated with marked fatigue;</w:t>
      </w:r>
    </w:p>
    <w:p>
      <w:pPr>
        <w:pStyle w:val="ListBullet"/>
        <w:spacing w:after="50"/>
        <w:ind w:left="369" w:hanging="170"/>
        <w:widowControl/>
      </w:pPr>
      <w:r>
        <w:t>neurological deficit, new sphincter disturbance, or progressive sensory symptoms;</w:t>
      </w:r>
    </w:p>
    <w:p>
      <w:pPr>
        <w:pStyle w:val="ListBullet"/>
        <w:spacing w:after="50"/>
        <w:ind w:left="369" w:hanging="170"/>
        <w:widowControl/>
      </w:pPr>
      <w:r>
        <w:t>acute anxiety, a sense of impending doom, or an unusual deterioration in general condition;</w:t>
      </w:r>
    </w:p>
    <w:p>
      <w:pPr>
        <w:pStyle w:val="ListBullet"/>
        <w:spacing w:after="50"/>
        <w:ind w:left="369" w:hanging="170"/>
        <w:widowControl/>
      </w:pPr>
      <w:r>
        <w:t>an unexplained clinical situation or one beyond the practitioner’s scope of competence.</w:t>
      </w:r>
    </w:p>
    <w:p>
      <w:pPr>
        <w:pStyle w:val="BodyText"/>
        <w:spacing w:after="80"/>
        <w:ind w:left="0" w:firstLine="255"/>
        <w:widowControl/>
      </w:pPr>
      <w:r>
        <w:rPr>
          <w:i w:val="0"/>
        </w:rPr>
        <w:t>ROP must never delay medical diagnosis or replace more appropriate medical treatment. It may have a complementary role within an integrative approach, particularly in supporting certain functional symptoms or patient well-being, with the medical team’s agreement where required.</w:t>
      </w:r>
    </w:p>
    <w:p>
      <w:pPr>
        <w:pStyle w:val="Heading1"/>
        <w:keepNext/>
        <w:keepLines/>
        <w:widowControl/>
        <w:spacing w:before="200" w:after="80"/>
      </w:pPr>
      <w:r>
        <w:t>7. Indications</w:t>
      </w:r>
    </w:p>
    <w:p>
      <w:pPr>
        <w:pStyle w:val="BodyText"/>
        <w:spacing w:after="80"/>
        <w:ind w:left="0" w:firstLine="255"/>
        <w:widowControl/>
      </w:pPr>
      <w:r>
        <w:rPr>
          <w:i w:val="0"/>
        </w:rPr>
        <w:t>Indications are based on the history, clinical examination, tests, consistency of the reflex-zone findings, and prioritisation according to the patient’s overall functional status. ROP is intended primarily for functional disorders, once organic disease requiring specific medical management has been excluded.</w:t>
      </w:r>
    </w:p>
    <w:p>
      <w:pPr>
        <w:pStyle w:val="BodyText"/>
        <w:spacing w:after="80"/>
        <w:ind w:left="0" w:firstLine="255"/>
        <w:widowControl/>
      </w:pPr>
      <w:r>
        <w:rPr>
          <w:i w:val="0"/>
        </w:rPr>
        <w:t>Frequently encountered situations include:</w:t>
      </w:r>
    </w:p>
    <w:p>
      <w:pPr>
        <w:pStyle w:val="ListBullet"/>
        <w:spacing w:after="50"/>
        <w:ind w:left="369" w:hanging="170"/>
        <w:widowControl/>
      </w:pPr>
      <w:r>
        <w:t>musculoskeletal pain with a functional component;</w:t>
      </w:r>
    </w:p>
    <w:p>
      <w:pPr>
        <w:pStyle w:val="ListBullet"/>
        <w:spacing w:after="50"/>
        <w:ind w:left="369" w:hanging="170"/>
        <w:widowControl/>
      </w:pPr>
      <w:r>
        <w:t>sequelae of musculoskeletal trauma;</w:t>
      </w:r>
    </w:p>
    <w:p>
      <w:pPr>
        <w:pStyle w:val="ListBullet"/>
        <w:spacing w:after="50"/>
        <w:ind w:left="369" w:hanging="170"/>
        <w:widowControl/>
      </w:pPr>
      <w:r>
        <w:t>functional sequelae of spinal or cranial nerve injury;</w:t>
      </w:r>
    </w:p>
    <w:p>
      <w:pPr>
        <w:pStyle w:val="ListBullet"/>
        <w:spacing w:after="50"/>
        <w:ind w:left="369" w:hanging="170"/>
        <w:widowControl/>
      </w:pPr>
      <w:r>
        <w:t>visceral dysfunction associated with tissue restrictions and autonomic loops in the ROP model;</w:t>
      </w:r>
    </w:p>
    <w:p>
      <w:pPr>
        <w:pStyle w:val="ListBullet"/>
        <w:spacing w:after="50"/>
        <w:ind w:left="369" w:hanging="170"/>
        <w:widowControl/>
      </w:pPr>
      <w:r>
        <w:t>viscerosomatic and somatovisceral disorders;</w:t>
      </w:r>
    </w:p>
    <w:p>
      <w:pPr>
        <w:pStyle w:val="ListBullet"/>
        <w:spacing w:after="50"/>
        <w:ind w:left="369" w:hanging="170"/>
        <w:widowControl/>
      </w:pPr>
      <w:r>
        <w:t>functional autonomic imbalance;</w:t>
      </w:r>
    </w:p>
    <w:p>
      <w:pPr>
        <w:pStyle w:val="ListBullet"/>
        <w:spacing w:after="50"/>
        <w:ind w:left="369" w:hanging="170"/>
        <w:widowControl/>
      </w:pPr>
      <w:r>
        <w:t>emotional stress and anxiety, as an adjunct to appropriate care.</w:t>
      </w:r>
    </w:p>
    <w:p>
      <w:pPr>
        <w:pStyle w:val="Heading1"/>
        <w:keepNext/>
        <w:keepLines/>
        <w:widowControl/>
        <w:spacing w:before="200" w:after="80"/>
      </w:pPr>
      <w:r>
        <w:t>8. Intended and observed effects</w:t>
      </w:r>
    </w:p>
    <w:p>
      <w:pPr>
        <w:pStyle w:val="BodyText"/>
        <w:spacing w:after="80"/>
        <w:ind w:left="0" w:firstLine="255"/>
        <w:widowControl/>
      </w:pPr>
      <w:r>
        <w:rPr>
          <w:i w:val="0"/>
        </w:rPr>
        <w:t>Clinical outcomes of ROP are often reported by patients and observed during testing, but may remain difficult to measure objectively. Intended or frequently reported effects include:</w:t>
      </w:r>
    </w:p>
    <w:p>
      <w:pPr>
        <w:pStyle w:val="ListBullet"/>
        <w:spacing w:after="50"/>
        <w:ind w:left="369" w:hanging="170"/>
        <w:widowControl/>
      </w:pPr>
      <w:r>
        <w:t>reduced pain or discomfort;</w:t>
      </w:r>
    </w:p>
    <w:p>
      <w:pPr>
        <w:pStyle w:val="ListBullet"/>
        <w:spacing w:after="50"/>
        <w:ind w:left="369" w:hanging="170"/>
        <w:widowControl/>
      </w:pPr>
      <w:r>
        <w:t>signs compatible with a change in autonomic state: calmness, yawning, drowsiness, marked relaxation, or a need to rest;</w:t>
      </w:r>
    </w:p>
    <w:p>
      <w:pPr>
        <w:pStyle w:val="ListBullet"/>
        <w:spacing w:after="50"/>
        <w:ind w:left="369" w:hanging="170"/>
        <w:widowControl/>
      </w:pPr>
      <w:r>
        <w:t>changes in bowel function, diuresis, or visceral sensations;</w:t>
      </w:r>
    </w:p>
    <w:p>
      <w:pPr>
        <w:pStyle w:val="ListBullet"/>
        <w:spacing w:after="50"/>
        <w:ind w:left="369" w:hanging="170"/>
        <w:widowControl/>
      </w:pPr>
      <w:r>
        <w:t>altered mobility in a somatic or local and regional territory identified before the session;</w:t>
      </w:r>
    </w:p>
    <w:p>
      <w:pPr>
        <w:pStyle w:val="ListBullet"/>
        <w:spacing w:after="50"/>
        <w:ind w:left="369" w:hanging="170"/>
        <w:widowControl/>
      </w:pPr>
      <w:r>
        <w:t>improved sleep, energy, and functional capacity.</w:t>
      </w:r>
    </w:p>
    <w:p>
      <w:pPr>
        <w:pStyle w:val="BodyText"/>
        <w:spacing w:after="80"/>
        <w:ind w:left="0" w:firstLine="255"/>
        <w:widowControl/>
      </w:pPr>
      <w:r>
        <w:rPr>
          <w:i w:val="0"/>
        </w:rPr>
        <w:t>These effects must be assessed using indicators defined before the session: main symptom, pain or discomfort, mobility, sleep, bowel function, energy, and ability to resume activities. The aim is not merely to record a general impression, but to compare progress with a clearly described baseline.</w:t>
      </w:r>
    </w:p>
    <w:p>
      <w:pPr>
        <w:pStyle w:val="Heading1"/>
        <w:keepNext/>
        <w:keepLines/>
        <w:widowControl/>
        <w:spacing w:before="200" w:after="80"/>
      </w:pPr>
      <w:r>
        <w:t>9. Post-treatment reactions and reassessment</w:t>
      </w:r>
    </w:p>
    <w:p>
      <w:pPr>
        <w:spacing w:before="100" w:after="60"/>
        <w:jc w:val="center"/>
        <w:widowControl/>
        <w:keepNext w:val="1"/>
      </w:pPr>
      <w:r>
        <w:drawing>
          <wp:inline xmlns:a="http://schemas.openxmlformats.org/drawingml/2006/main" xmlns:pic="http://schemas.openxmlformats.org/drawingml/2006/picture">
            <wp:extent cx="6044184" cy="3401661"/>
            <wp:docPr id="1" name="Figure 2.3" descr="Figure 2.3. Clinical adaptation window after the first session, with reassessment on days 3–4." title="Figure 2.3"/>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val="0"/>
        <w:widowControl/>
      </w:pPr>
      <w:r>
        <w:rPr>
          <w:i/>
        </w:rPr>
      </w:r>
      <w:r>
        <w:rPr>
          <w:i/>
        </w:rPr>
        <w:t>Figure 2.3 — Adaptation window after the first session. This curve represents a model derived from clinical experience. The vertical axis describes a clinical functional level rather than a measured physiological variable; the time course should be progressively documented using standardised measurements.</w:t>
      </w:r>
    </w:p>
    <w:p>
      <w:pPr>
        <w:pStyle w:val="Heading2"/>
        <w:keepNext/>
        <w:keepLines/>
        <w:widowControl/>
        <w:spacing w:before="140" w:after="60"/>
      </w:pPr>
      <w:r>
        <w:t>9.1. Immediate reactions</w:t>
      </w:r>
    </w:p>
    <w:p>
      <w:pPr>
        <w:pStyle w:val="BodyText"/>
        <w:spacing w:after="80"/>
        <w:ind w:left="0" w:firstLine="255"/>
        <w:widowControl/>
      </w:pPr>
      <w:r>
        <w:rPr>
          <w:i w:val="0"/>
        </w:rPr>
        <w:t>The patient most commonly experiences relaxation. Drowsiness, a need to rest, urinary urgency, or an urge to defecate may also occur. A transient reduction in energy may be felt immediately after the session.</w:t>
      </w:r>
    </w:p>
    <w:p>
      <w:pPr>
        <w:pStyle w:val="Heading2"/>
        <w:keepNext/>
        <w:keepLines/>
        <w:widowControl/>
        <w:spacing w:before="140" w:after="60"/>
      </w:pPr>
      <w:r>
        <w:t>9.2. Within 24–48 hours</w:t>
      </w:r>
    </w:p>
    <w:p>
      <w:pPr>
        <w:pStyle w:val="BodyText"/>
        <w:spacing w:after="80"/>
        <w:ind w:left="0" w:firstLine="255"/>
        <w:widowControl/>
      </w:pPr>
      <w:r>
        <w:rPr>
          <w:i w:val="0"/>
        </w:rPr>
        <w:t>Some patients may experience muscle soreness, mild fatigability, altered sleep, more vivid dreams, or resurfacing memories. These reactions are transient, vary between individuals, and do not occur systematically. Their absence does not mean that treatment is ineffective.</w:t>
      </w:r>
    </w:p>
    <w:p>
      <w:pPr>
        <w:pStyle w:val="Heading2"/>
        <w:keepNext/>
        <w:keepLines/>
        <w:widowControl/>
        <w:spacing w:before="140" w:after="60"/>
      </w:pPr>
      <w:r>
        <w:t>9.3. Over the following days</w:t>
      </w:r>
    </w:p>
    <w:p>
      <w:pPr>
        <w:pStyle w:val="BodyText"/>
        <w:spacing w:after="80"/>
        <w:ind w:left="0" w:firstLine="255"/>
        <w:widowControl/>
      </w:pPr>
      <w:r>
        <w:rPr>
          <w:i w:val="0"/>
        </w:rPr>
        <w:t>The patient’s functional level may gradually return towards its usual level. This change may be accompanied by a reduction in the main symptom and improvements in sleep, bowel function, energy, or functional capacity.</w:t>
      </w:r>
    </w:p>
    <w:p>
      <w:pPr>
        <w:pStyle w:val="Heading2"/>
        <w:keepNext/>
        <w:keepLines/>
        <w:widowControl/>
        <w:spacing w:before="140" w:after="60"/>
      </w:pPr>
      <w:r>
        <w:t>9.4. Decision point on days 3–4</w:t>
      </w:r>
    </w:p>
    <w:p>
      <w:pPr>
        <w:pStyle w:val="BodyText"/>
        <w:spacing w:after="80"/>
        <w:ind w:left="0" w:firstLine="255"/>
        <w:widowControl/>
      </w:pPr>
      <w:r>
        <w:rPr>
          <w:i w:val="0"/>
        </w:rPr>
        <w:t>On days 3–4, the practitioner and patient reassess progress:</w:t>
      </w:r>
    </w:p>
    <w:p>
      <w:pPr>
        <w:pStyle w:val="ListBullet"/>
        <w:spacing w:after="50"/>
        <w:ind w:left="369" w:hanging="170"/>
        <w:widowControl/>
      </w:pPr>
      <w:r>
        <w:t>if the main symptom has resolved or clearly improved and usual functioning has returned, the functional objective is considered achieved at this stage and no further session is required in the short term;</w:t>
      </w:r>
    </w:p>
    <w:p>
      <w:pPr>
        <w:pStyle w:val="ListBullet"/>
        <w:spacing w:after="50"/>
        <w:ind w:left="369" w:hanging="170"/>
        <w:widowControl/>
      </w:pPr>
      <w:r>
        <w:t>if improvement remains incomplete, a second session may be offered;</w:t>
      </w:r>
    </w:p>
    <w:p>
      <w:pPr>
        <w:pStyle w:val="ListBullet"/>
        <w:spacing w:after="50"/>
        <w:ind w:left="369" w:hanging="170"/>
        <w:widowControl/>
      </w:pPr>
      <w:r>
        <w:t>if the response is absent, atypical, or adverse, the prioritisation and indication must be reconsidered.</w:t>
      </w:r>
    </w:p>
    <w:p>
      <w:pPr>
        <w:pStyle w:val="BodyText"/>
        <w:spacing w:after="80"/>
        <w:ind w:left="0" w:firstLine="255"/>
        <w:widowControl/>
      </w:pPr>
      <w:r>
        <w:rPr>
          <w:i w:val="0"/>
        </w:rPr>
        <w:t>The functional objective describes the course of the presenting complaint; it does not imply that an underlying organic disease has been cured or that a particular causal mechanism has been validated.</w:t>
      </w:r>
    </w:p>
    <w:p>
      <w:pPr>
        <w:pStyle w:val="Heading2"/>
        <w:keepNext/>
        <w:keepLines/>
        <w:widowControl/>
        <w:spacing w:before="140" w:after="60"/>
      </w:pPr>
      <w:r>
        <w:t>9.5. Unusual reactions</w:t>
      </w:r>
    </w:p>
    <w:p>
      <w:pPr>
        <w:pStyle w:val="BodyText"/>
        <w:spacing w:after="80"/>
        <w:ind w:left="0" w:firstLine="255"/>
        <w:widowControl/>
      </w:pPr>
      <w:r>
        <w:rPr>
          <w:i w:val="0"/>
        </w:rPr>
        <w:t>If reactions are severe, persist beyond 72 hours, or are accompanied by unusual or concerning signs, the situation must be reassessed. The patient is referred to a physician when warranted by the context.</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Contribute to ROP feedback with SuiviPatient</w:t>
            </w:r>
          </w:p>
          <w:p>
            <w:pPr>
              <w:keepLines/>
              <w:spacing w:after="60" w:line="259" w:lineRule="auto"/>
            </w:pPr>
            <w:r>
              <w:t>The chronology and reactions described in this chapter are based mainly on practitioners’ clinical experience. To document them more effectively, the SuiviPatient application can collect, at regular intervals, simple indicators compared with baseline: main symptom, pain or discomfort, vitality, sleep, visceral functions, functional capacity, and unusual reactions.</w:t>
            </w:r>
          </w:p>
          <w:p>
            <w:pPr>
              <w:keepLines/>
              <w:spacing w:after="60" w:line="259" w:lineRule="auto"/>
            </w:pPr>
            <w:r>
              <w:t>Practitioners reading this book who wish to join the ROP community and use the SuiviPatient application free of charge with their patients are invited to contact us. This process must respect patient consent and the confidentiality of the information collected.</w:t>
            </w:r>
          </w:p>
        </w:tc>
      </w:tr>
    </w:tbl>
    <w:p>
      <w:pPr>
        <w:spacing w:after="0"/>
        <w:widowControl/>
      </w:pPr>
    </w:p>
    <w:p>
      <w:pPr>
        <w:pStyle w:val="Heading1"/>
        <w:keepNext/>
        <w:keepLines/>
        <w:widowControl/>
        <w:spacing w:before="200" w:after="80"/>
      </w:pPr>
      <w:r>
        <w:t>10. Advice to the patient</w:t>
      </w:r>
    </w:p>
    <w:p>
      <w:pPr>
        <w:pStyle w:val="BodyText"/>
        <w:spacing w:after="80"/>
        <w:ind w:left="0" w:firstLine="255"/>
        <w:widowControl/>
      </w:pPr>
      <w:r>
        <w:rPr>
          <w:i w:val="0"/>
        </w:rPr>
        <w:t>Even the best treatment cannot guarantee lasting improvement unless accompanied by the patient’s active participation and simple measures suited to the situation. The advice is generally based on common sense:</w:t>
      </w:r>
    </w:p>
    <w:p>
      <w:pPr>
        <w:pStyle w:val="ListBullet"/>
        <w:spacing w:after="50"/>
        <w:ind w:left="369" w:hanging="170"/>
        <w:widowControl/>
      </w:pPr>
      <w:r>
        <w:t>plan relative rest and avoid excessive physical strain on the day of the session;</w:t>
      </w:r>
    </w:p>
    <w:p>
      <w:pPr>
        <w:pStyle w:val="ListBullet"/>
        <w:spacing w:after="50"/>
        <w:ind w:left="369" w:hanging="170"/>
        <w:widowControl/>
      </w:pPr>
      <w:r>
        <w:t>maintain adequate hydration;</w:t>
      </w:r>
    </w:p>
    <w:p>
      <w:pPr>
        <w:pStyle w:val="ListBullet"/>
        <w:spacing w:after="50"/>
        <w:ind w:left="369" w:hanging="170"/>
        <w:widowControl/>
      </w:pPr>
      <w:r>
        <w:t>adopt a balanced diet;</w:t>
      </w:r>
    </w:p>
    <w:p>
      <w:pPr>
        <w:pStyle w:val="ListBullet"/>
        <w:spacing w:after="50"/>
        <w:ind w:left="369" w:hanging="170"/>
        <w:widowControl/>
      </w:pPr>
      <w:r>
        <w:t>maintain regular physical activity suited to current capacity;</w:t>
      </w:r>
    </w:p>
    <w:p>
      <w:pPr>
        <w:pStyle w:val="ListBullet"/>
        <w:spacing w:after="50"/>
        <w:ind w:left="369" w:hanging="170"/>
        <w:widowControl/>
      </w:pPr>
      <w:r>
        <w:t>promote sleep, recovery, and a supportive social environment;</w:t>
      </w:r>
    </w:p>
    <w:p>
      <w:pPr>
        <w:pStyle w:val="ListBullet"/>
        <w:spacing w:after="50"/>
        <w:ind w:left="369" w:hanging="170"/>
        <w:widowControl/>
      </w:pPr>
      <w:r>
        <w:t>remain actively involved in one’s health and seek medical advice if new or concerning signs arise;</w:t>
      </w:r>
    </w:p>
    <w:p>
      <w:pPr>
        <w:pStyle w:val="ListBullet"/>
        <w:spacing w:after="50"/>
        <w:ind w:left="369" w:hanging="170"/>
        <w:widowControl/>
      </w:pPr>
      <w:r>
        <w:t>record changes in the main symptom, pain, sleep, bowel function, vitality, and functional capacity;</w:t>
      </w:r>
    </w:p>
    <w:p>
      <w:pPr>
        <w:pStyle w:val="ListBullet"/>
        <w:spacing w:after="50"/>
        <w:ind w:left="369" w:hanging="170"/>
        <w:widowControl/>
      </w:pPr>
      <w:r>
        <w:t>report these findings to the practitioner to help document the effects of the session and guide subsequent treatment.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Practical summary</w:t>
            </w:r>
          </w:p>
          <w:p>
            <w:pPr>
              <w:keepLines/>
              <w:spacing w:after="60" w:line="259" w:lineRule="auto"/>
            </w:pPr>
            <w:r>
              <w:rPr>
                <w:b/>
              </w:rPr>
              <w:t>Before the session: define the main symptom and its baseline level.</w:t>
            </w:r>
          </w:p>
          <w:p>
            <w:pPr>
              <w:keepLines/>
              <w:spacing w:after="60" w:line="259" w:lineRule="auto"/>
            </w:pPr>
            <w:r>
              <w:rPr>
                <w:b/>
              </w:rPr>
              <w:t>After the session: observe reactions and document progress.</w:t>
            </w:r>
          </w:p>
          <w:p>
            <w:pPr>
              <w:keepLines/>
              <w:spacing w:after="60" w:line="259" w:lineRule="auto"/>
            </w:pPr>
            <w:r>
              <w:rPr>
                <w:b/>
              </w:rPr>
              <w:t>On days 3–4: decide whether to stop, provide another session, or reassess.</w:t>
            </w:r>
          </w:p>
          <w:p>
            <w:pPr>
              <w:keepLines/>
              <w:spacing w:after="60" w:line="259" w:lineRule="auto"/>
            </w:pPr>
            <w:r>
              <w:rPr>
                <w:b/>
              </w:rPr>
              <w:t>After three sessions without improvement: reconsider the indication and, if necessary, refer the patient.</w:t>
            </w:r>
          </w:p>
        </w:tc>
      </w:tr>
    </w:tbl>
    <w:p>
      <w:pPr>
        <w:spacing w:after="0"/>
        <w:widowControl/>
      </w:pPr>
    </w:p>
    <w:p>
      <w:pPr>
        <w:spacing w:before="200" w:after="0"/>
        <w:jc w:val="center"/>
        <w:widowControl/>
      </w:pPr>
      <w:r>
        <w:rPr>
          <w:rFonts w:ascii="Aptos Display" w:hAnsi="Aptos Display"/>
          <w:b/>
          <w:color w:val="3E6F70"/>
          <w:sz w:val="23"/>
        </w:rPr>
        <w:t>Guiding principle: observe, measure, reassess.</w:t>
      </w:r>
    </w:p>
    <w:p>
      <w:pPr>
        <w:pStyle w:val="Heading1"/>
      </w:pPr>
      <w:r>
        <w:t>References</w:t>
      </w:r>
    </w:p>
    <w:p>
      <w:pPr>
        <w:pStyle w:val="BodyText"/>
      </w:pPr>
      <w:r>
        <w:t>1. Standring S, ed. Gray’s Anatomy: The Anatomical Basis of Clinical Practice. 42nd ed. Elsevier; 2020.</w:t>
      </w:r>
    </w:p>
    <w:p>
      <w:pPr>
        <w:pStyle w:val="BodyText"/>
      </w:pPr>
      <w:r>
        <w:t>2. Abraira VE, Ginty DD. The sensory neurons of touch. Neuron. 2013;79(4):618–639. doi:10.1016/j.neuron.2013.07.051.</w:t>
      </w:r>
    </w:p>
    <w:p>
      <w:pPr>
        <w:pStyle w:val="BodyText"/>
      </w:pPr>
      <w:r>
        <w:t>3. Johnson JM, Minson CT, Kellogg DL Jr. Cutaneous vasodilator and vasoconstrictor mechanisms in temperature regulation. Compr Physiol. 2014;4(1):33–89. doi:10.1002/cphy.c130015.</w:t>
      </w:r>
    </w:p>
    <w:p>
      <w:pPr>
        <w:pStyle w:val="BodyText"/>
      </w:pPr>
      <w:r>
        <w:t>4. Melzack R, Wall PD. Pain mechanisms: a new theory. Science. 1965;150(3699):971–979. doi:10.1126/science.150.3699.971.</w:t>
      </w:r>
    </w:p>
    <w:p>
      <w:pPr>
        <w:pStyle w:val="BodyText"/>
        <w:spacing w:after="80"/>
      </w:pPr>
      <w:r/>
      <w:r>
        <w:t>5. Vallbo Å, Olausson H, Wessberg J, Norrsell U. A system of unmyelinated afferents for innocuous mechanoreception in the human skin. Brain Res. 1993;628(1–2):301–304. doi:10.1016/0006-8993(93)90968-S.</w:t>
      </w:r>
    </w:p>
    <w:p>
      <w:pPr>
        <w:pStyle w:val="BodyText"/>
        <w:spacing w:after="80"/>
      </w:pPr>
      <w:r/>
      <w:r>
        <w:t>6. Löken LS, Wessberg J, Morrison I, McGlone F, Olausson H. Coding of pleasant touch by unmyelinated afferents in humans. Nat Neurosci. 2009;12(5):547–548. doi:10.1038/nn.2312.</w:t>
      </w:r>
    </w:p>
    <w:p>
      <w:pPr>
        <w:pStyle w:val="BodyText"/>
        <w:spacing w:after="80"/>
      </w:pPr>
      <w:r/>
      <w:r>
        <w:t>7.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CHAPTER 2  |  TREATMENT WITH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Treatment with Occipito-Podal Reflexotherapy (ROP)</dc:title>
  <dc:subject>Occipito-Podal Reflexotherapy — English translation</dc:subject>
  <dc:creator>ROP editorial team</dc:creator>
  <cp:keywords>ROP, Réflexothérapie Occipito-Podale, traitement, pratique clinique</cp:keywords>
  <dc:description/>
  <cp:lastModifiedBy>Codex</cp:lastModifiedBy>
  <cp:revision>1</cp:revision>
  <dcterms:created xsi:type="dcterms:W3CDTF">2013-12-23T23:15:00Z</dcterms:created>
  <dcterms:modified xsi:type="dcterms:W3CDTF">2026-09-03T10:02:04Z</dcterms:modified>
  <cp:category/>
  <dc:language>en-GB</dc:language>
</cp:coreProperties>
</file>