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38338" w14:textId="77777777" w:rsidR="00AB2A77" w:rsidRPr="00006369" w:rsidRDefault="00000000">
      <w:pPr>
        <w:pStyle w:val="Title"/>
        <w:spacing w:before="40" w:after="120" w:line="259" w:lineRule="auto"/>
        <w:rPr>
          <w:lang w:val="fr-FR"/>
        </w:rPr>
      </w:pPr>
      <w:r w:rsidRPr="00006369">
        <w:rPr>
          <w:lang w:val="fr-FR"/>
        </w:rPr>
        <w:t>Chapter 9 — Stomach</w:t>
      </w:r>
    </w:p>
    <w:p w14:paraId="3E0DCA52" w14:textId="77777777" w:rsidR="00AB2A77" w:rsidRPr="00006369" w:rsidRDefault="00000000">
      <w:pPr>
        <w:pStyle w:val="Heading1"/>
        <w:spacing w:before="40" w:after="120" w:line="259" w:lineRule="auto"/>
        <w:rPr>
          <w:lang w:val="fr-FR"/>
        </w:rPr>
      </w:pPr>
      <w:r w:rsidRPr="00006369">
        <w:rPr>
          <w:lang w:val="fr-FR"/>
        </w:rPr>
        <w:t>1. Overview</w:t>
      </w:r>
    </w:p>
    <w:p w14:paraId="32177080" w14:textId="77777777" w:rsidR="00AB2A77" w:rsidRPr="00006369" w:rsidRDefault="00000000">
      <w:pPr>
        <w:spacing w:after="70" w:line="259" w:lineRule="auto"/>
        <w:rPr>
          <w:lang w:val="fr-FR"/>
        </w:rPr>
      </w:pPr>
      <w:r w:rsidRPr="00006369">
        <w:rPr>
          <w:lang w:val="fr-FR"/>
        </w:rPr>
        <w:t>The stomach is the first dilated segment of the digestive tract.</w:t>
      </w:r>
    </w:p>
    <w:p w14:paraId="4843A7A1" w14:textId="77777777" w:rsidR="00AB2A77" w:rsidRPr="00006369" w:rsidRDefault="00000000">
      <w:pPr>
        <w:spacing w:after="70" w:line="259" w:lineRule="auto"/>
        <w:rPr>
          <w:lang w:val="fr-FR"/>
        </w:rPr>
      </w:pPr>
      <w:r w:rsidRPr="00006369">
        <w:rPr>
          <w:lang w:val="fr-FR"/>
        </w:rPr>
        <w:t>It follows the oesophagus.</w:t>
      </w:r>
    </w:p>
    <w:p w14:paraId="6682B01D" w14:textId="77777777" w:rsidR="00AB2A77" w:rsidRPr="00006369" w:rsidRDefault="00000000">
      <w:pPr>
        <w:spacing w:after="70" w:line="259" w:lineRule="auto"/>
        <w:rPr>
          <w:lang w:val="fr-FR"/>
        </w:rPr>
      </w:pPr>
      <w:r>
        <w:t>It stores, churns and mixes food and initiates an initial chemical phase of digestion in a highly acidic environment before the contents pass into the duodenum.</w:t>
      </w:r>
    </w:p>
    <w:p w14:paraId="3EAB4691" w14:textId="77777777" w:rsidR="00AB2A77" w:rsidRPr="00006369" w:rsidRDefault="00000000">
      <w:pPr>
        <w:pStyle w:val="Heading1"/>
        <w:spacing w:before="40" w:after="120" w:line="259" w:lineRule="auto"/>
        <w:rPr>
          <w:lang w:val="fr-FR"/>
        </w:rPr>
      </w:pPr>
      <w:r w:rsidRPr="00006369">
        <w:rPr>
          <w:lang w:val="fr-FR"/>
        </w:rPr>
        <w:t>2. Location</w:t>
      </w:r>
    </w:p>
    <w:p w14:paraId="4BBEF015" w14:textId="77777777" w:rsidR="00AB2A77" w:rsidRPr="00006369" w:rsidRDefault="00000000">
      <w:pPr>
        <w:spacing w:after="70" w:line="259" w:lineRule="auto"/>
        <w:rPr>
          <w:lang w:val="fr-FR"/>
        </w:rPr>
      </w:pPr>
      <w:r w:rsidRPr="00006369">
        <w:rPr>
          <w:lang w:val="fr-FR"/>
        </w:rPr>
        <w:t>The stomach is located in the left hypochondriac and epigastric regions, beneath the left hemidiaphragm.</w:t>
      </w:r>
    </w:p>
    <w:p w14:paraId="770D3370" w14:textId="77777777" w:rsidR="00AB2A77" w:rsidRPr="00006369" w:rsidRDefault="00000000">
      <w:pPr>
        <w:spacing w:after="70" w:line="259" w:lineRule="auto"/>
        <w:rPr>
          <w:lang w:val="fr-FR"/>
        </w:rPr>
      </w:pPr>
      <w:r w:rsidRPr="00006369">
        <w:rPr>
          <w:lang w:val="fr-FR"/>
        </w:rPr>
        <w:t>It extends approximately from T11 to L2 within the supramesocolic compartment of the abdomen.</w:t>
      </w:r>
    </w:p>
    <w:p w14:paraId="507B3969" w14:textId="77777777" w:rsidR="00AB2A77" w:rsidRPr="00006369" w:rsidRDefault="00000000">
      <w:pPr>
        <w:spacing w:after="70" w:line="259" w:lineRule="auto"/>
        <w:rPr>
          <w:lang w:val="fr-FR"/>
        </w:rPr>
      </w:pPr>
      <w:r w:rsidRPr="00006369">
        <w:rPr>
          <w:lang w:val="fr-FR"/>
        </w:rPr>
        <w:t>Its anterior surface is partly protected superiorly by the left costal margin and is also related to the posterior surface of the left hepatic lobe.</w:t>
      </w:r>
    </w:p>
    <w:p w14:paraId="22565660" w14:textId="77777777" w:rsidR="00AB2A77" w:rsidRPr="00006369" w:rsidRDefault="00000000">
      <w:pPr>
        <w:spacing w:after="70" w:line="259" w:lineRule="auto"/>
        <w:rPr>
          <w:lang w:val="fr-FR"/>
        </w:rPr>
      </w:pPr>
      <w:r w:rsidRPr="00006369">
        <w:rPr>
          <w:lang w:val="fr-FR"/>
        </w:rPr>
        <w:t>Its inferior part is related to the abdominal wall.</w:t>
      </w:r>
    </w:p>
    <w:p w14:paraId="653C638F" w14:textId="0D130947" w:rsidR="00AB2A77" w:rsidRPr="00006369" w:rsidRDefault="00000000">
      <w:pPr>
        <w:spacing w:after="70" w:line="259" w:lineRule="auto"/>
        <w:rPr>
          <w:lang w:val="fr-FR"/>
        </w:rPr>
      </w:pPr>
      <w:r>
        <w:t>Its posterior surface is related to the omental bursa (lesser sac).</w:t>
      </w:r>
    </w:p>
    <w:p w14:paraId="58C4581D" w14:textId="77777777" w:rsidR="00AB2A77" w:rsidRPr="00006369" w:rsidRDefault="00000000">
      <w:pPr>
        <w:spacing w:after="70" w:line="259" w:lineRule="auto"/>
        <w:rPr>
          <w:lang w:val="fr-FR"/>
        </w:rPr>
      </w:pPr>
      <w:r w:rsidRPr="00006369">
        <w:rPr>
          <w:lang w:val="fr-FR"/>
        </w:rPr>
        <w:t>The stomach is an intraperitoneal organ.</w:t>
      </w:r>
    </w:p>
    <w:p w14:paraId="7F753157" w14:textId="77777777" w:rsidR="00AB2A77" w:rsidRPr="00006369" w:rsidRDefault="00000000">
      <w:pPr>
        <w:pStyle w:val="Heading1"/>
        <w:spacing w:before="40" w:after="120" w:line="259" w:lineRule="auto"/>
        <w:rPr>
          <w:lang w:val="fr-FR"/>
        </w:rPr>
      </w:pPr>
      <w:r w:rsidRPr="00006369">
        <w:rPr>
          <w:lang w:val="fr-FR"/>
        </w:rPr>
        <w:t>3. Anatomy</w:t>
      </w:r>
    </w:p>
    <w:p w14:paraId="4DF2CA85" w14:textId="77777777" w:rsidR="00AB2A77" w:rsidRPr="00006369" w:rsidRDefault="00000000">
      <w:pPr>
        <w:spacing w:after="70" w:line="259" w:lineRule="auto"/>
        <w:rPr>
          <w:lang w:val="fr-FR"/>
        </w:rPr>
      </w:pPr>
      <w:r w:rsidRPr="00006369">
        <w:rPr>
          <w:lang w:val="fr-FR"/>
        </w:rPr>
        <w:t>Overall, the stomach is J-shaped and comprises four segments and two sphincteric regions.</w:t>
      </w:r>
    </w:p>
    <w:p w14:paraId="76502A27" w14:textId="77777777" w:rsidR="00AB2A77" w:rsidRPr="00006369" w:rsidRDefault="00000000">
      <w:pPr>
        <w:pStyle w:val="Heading2"/>
        <w:spacing w:before="40" w:after="120" w:line="259" w:lineRule="auto"/>
        <w:rPr>
          <w:lang w:val="fr-FR"/>
        </w:rPr>
      </w:pPr>
      <w:r w:rsidRPr="00006369">
        <w:rPr>
          <w:lang w:val="fr-FR"/>
        </w:rPr>
        <w:t>3.1. Lower oesophageal sphincter (LOS)</w:t>
      </w:r>
    </w:p>
    <w:p w14:paraId="7C6E1233" w14:textId="2E5794ED" w:rsidR="00AB2A77" w:rsidRPr="00006369" w:rsidRDefault="00000000">
      <w:pPr>
        <w:spacing w:after="70" w:line="259" w:lineRule="auto"/>
        <w:rPr>
          <w:lang w:val="fr-FR"/>
        </w:rPr>
      </w:pPr>
      <w:r w:rsidRPr="00006369">
        <w:rPr>
          <w:lang w:val="fr-FR"/>
        </w:rPr>
        <w:t>After passing through the oesophageal hiatus of the diaphragm at T10, the abdominal oesophagus has a functional high-pressure zone corresponding to the LOS.</w:t>
      </w:r>
    </w:p>
    <w:p w14:paraId="25BD2E6F" w14:textId="77777777" w:rsidR="00AB2A77" w:rsidRPr="00006369" w:rsidRDefault="00000000">
      <w:pPr>
        <w:spacing w:after="70" w:line="259" w:lineRule="auto"/>
        <w:rPr>
          <w:lang w:val="fr-FR"/>
        </w:rPr>
      </w:pPr>
      <w:r w:rsidRPr="00006369">
        <w:rPr>
          <w:lang w:val="fr-FR"/>
        </w:rPr>
        <w:t>The LOS is not a discrete anatomical structure but a physiological entity that functions as a sphincter.</w:t>
      </w:r>
    </w:p>
    <w:p w14:paraId="65AB0E32" w14:textId="77777777" w:rsidR="00AB2A77" w:rsidRPr="00006369" w:rsidRDefault="00000000">
      <w:pPr>
        <w:spacing w:after="70" w:line="259" w:lineRule="auto"/>
        <w:rPr>
          <w:lang w:val="fr-FR"/>
        </w:rPr>
      </w:pPr>
      <w:r>
        <w:t>It contributes to the competence of the gastro-oesophageal junction.</w:t>
      </w:r>
    </w:p>
    <w:p w14:paraId="6E4C8501" w14:textId="77777777" w:rsidR="00AB2A77" w:rsidRPr="00006369" w:rsidRDefault="00000000">
      <w:pPr>
        <w:spacing w:after="70" w:line="259" w:lineRule="auto"/>
        <w:rPr>
          <w:lang w:val="fr-FR"/>
        </w:rPr>
      </w:pPr>
      <w:r w:rsidRPr="00006369">
        <w:rPr>
          <w:lang w:val="fr-FR"/>
        </w:rPr>
        <w:t>Its surface projection lies posterior and slightly to the left of the xiphoid process.</w:t>
      </w:r>
    </w:p>
    <w:p w14:paraId="08976656" w14:textId="77777777" w:rsidR="00AB2A77" w:rsidRPr="00006369" w:rsidRDefault="00000000">
      <w:pPr>
        <w:pStyle w:val="Heading2"/>
        <w:spacing w:before="40" w:after="120" w:line="259" w:lineRule="auto"/>
        <w:rPr>
          <w:lang w:val="fr-FR"/>
        </w:rPr>
      </w:pPr>
      <w:r w:rsidRPr="00006369">
        <w:rPr>
          <w:lang w:val="fr-FR"/>
        </w:rPr>
        <w:t>3.2. Cardia</w:t>
      </w:r>
    </w:p>
    <w:p w14:paraId="333DA52B" w14:textId="77777777" w:rsidR="00AB2A77" w:rsidRPr="00006369" w:rsidRDefault="00000000">
      <w:pPr>
        <w:spacing w:after="70" w:line="259" w:lineRule="auto"/>
        <w:rPr>
          <w:lang w:val="fr-FR"/>
        </w:rPr>
      </w:pPr>
      <w:r w:rsidRPr="00006369">
        <w:rPr>
          <w:lang w:val="fr-FR"/>
        </w:rPr>
        <w:t>The cardia is the junctional opening between the distal oesophagus and the stomach.</w:t>
      </w:r>
    </w:p>
    <w:p w14:paraId="5EF637BD" w14:textId="77777777" w:rsidR="00AB2A77" w:rsidRPr="00006369" w:rsidRDefault="00000000">
      <w:pPr>
        <w:spacing w:after="70" w:line="259" w:lineRule="auto"/>
        <w:rPr>
          <w:lang w:val="fr-FR"/>
        </w:rPr>
      </w:pPr>
      <w:r w:rsidRPr="00006369">
        <w:rPr>
          <w:lang w:val="fr-FR"/>
        </w:rPr>
        <w:t>It projects approximately 2–4 cm to the left of the xiphoid process, opposite the sixth costal cartilage.</w:t>
      </w:r>
    </w:p>
    <w:p w14:paraId="26C534B0" w14:textId="77777777" w:rsidR="00AB2A77" w:rsidRPr="00006369" w:rsidRDefault="00000000">
      <w:pPr>
        <w:spacing w:after="70" w:line="259" w:lineRule="auto"/>
        <w:rPr>
          <w:lang w:val="fr-FR"/>
        </w:rPr>
      </w:pPr>
      <w:r w:rsidRPr="00006369">
        <w:rPr>
          <w:lang w:val="fr-FR"/>
        </w:rPr>
        <w:t>Together with the fundus, it forms the cardiac notch, or angle of His.</w:t>
      </w:r>
    </w:p>
    <w:p w14:paraId="76831468" w14:textId="77777777" w:rsidR="00AB2A77" w:rsidRPr="00006369" w:rsidRDefault="00000000">
      <w:pPr>
        <w:pStyle w:val="Heading2"/>
        <w:spacing w:before="40" w:after="120" w:line="259" w:lineRule="auto"/>
        <w:rPr>
          <w:lang w:val="fr-FR"/>
        </w:rPr>
      </w:pPr>
      <w:r w:rsidRPr="00006369">
        <w:rPr>
          <w:lang w:val="fr-FR"/>
        </w:rPr>
        <w:t>3.3. Fundus</w:t>
      </w:r>
    </w:p>
    <w:p w14:paraId="1DB2DD22" w14:textId="77777777" w:rsidR="00AB2A77" w:rsidRPr="00006369" w:rsidRDefault="00000000">
      <w:pPr>
        <w:spacing w:after="70" w:line="259" w:lineRule="auto"/>
        <w:rPr>
          <w:lang w:val="fr-FR"/>
        </w:rPr>
      </w:pPr>
      <w:r w:rsidRPr="00006369">
        <w:rPr>
          <w:lang w:val="fr-FR"/>
        </w:rPr>
        <w:t>The fundus is the upper part of the stomach.</w:t>
      </w:r>
    </w:p>
    <w:p w14:paraId="71DA24DC" w14:textId="77777777" w:rsidR="00AB2A77" w:rsidRPr="00006369" w:rsidRDefault="00000000">
      <w:pPr>
        <w:spacing w:after="70" w:line="259" w:lineRule="auto"/>
        <w:rPr>
          <w:lang w:val="fr-FR"/>
        </w:rPr>
      </w:pPr>
      <w:r w:rsidRPr="00006369">
        <w:rPr>
          <w:lang w:val="fr-FR"/>
        </w:rPr>
        <w:t>It lies above the cardia and is primarily involved in gastric accommodation.</w:t>
      </w:r>
    </w:p>
    <w:p w14:paraId="58C4FF03" w14:textId="77777777" w:rsidR="00AB2A77" w:rsidRPr="00006369" w:rsidRDefault="00000000">
      <w:pPr>
        <w:spacing w:after="70" w:line="259" w:lineRule="auto"/>
        <w:rPr>
          <w:lang w:val="fr-FR"/>
        </w:rPr>
      </w:pPr>
      <w:r w:rsidRPr="00006369">
        <w:rPr>
          <w:lang w:val="fr-FR"/>
        </w:rPr>
        <w:t>On plain radiographs, it frequently contains a visible gastric air bubble.</w:t>
      </w:r>
    </w:p>
    <w:p w14:paraId="1877EFEE" w14:textId="77777777" w:rsidR="00AB2A77" w:rsidRPr="00006369" w:rsidRDefault="00000000">
      <w:pPr>
        <w:pStyle w:val="Heading2"/>
        <w:spacing w:before="40" w:after="120" w:line="259" w:lineRule="auto"/>
        <w:rPr>
          <w:lang w:val="fr-FR"/>
        </w:rPr>
      </w:pPr>
      <w:r w:rsidRPr="00006369">
        <w:rPr>
          <w:lang w:val="fr-FR"/>
        </w:rPr>
        <w:t>3.4. Gastric body</w:t>
      </w:r>
    </w:p>
    <w:p w14:paraId="4C3C4F22" w14:textId="77777777" w:rsidR="00AB2A77" w:rsidRPr="00006369" w:rsidRDefault="00000000">
      <w:pPr>
        <w:spacing w:after="70" w:line="259" w:lineRule="auto"/>
        <w:rPr>
          <w:lang w:val="fr-FR"/>
        </w:rPr>
      </w:pPr>
      <w:r w:rsidRPr="00006369">
        <w:rPr>
          <w:lang w:val="fr-FR"/>
        </w:rPr>
        <w:t>The gastric body extends downwards from the fundus.</w:t>
      </w:r>
    </w:p>
    <w:p w14:paraId="40B4A4BE" w14:textId="77777777" w:rsidR="00AB2A77" w:rsidRPr="00006369" w:rsidRDefault="00000000">
      <w:pPr>
        <w:spacing w:after="70" w:line="259" w:lineRule="auto"/>
        <w:rPr>
          <w:lang w:val="fr-FR"/>
        </w:rPr>
      </w:pPr>
      <w:r w:rsidRPr="00006369">
        <w:rPr>
          <w:lang w:val="fr-FR"/>
        </w:rPr>
        <w:t>Most of the churning and mixing of food takes place in this region through the action of the muscular gastric wall.</w:t>
      </w:r>
    </w:p>
    <w:p w14:paraId="6D20DB3F" w14:textId="77777777" w:rsidR="00AB2A77" w:rsidRPr="00006369" w:rsidRDefault="00000000">
      <w:pPr>
        <w:spacing w:after="70" w:line="259" w:lineRule="auto"/>
        <w:rPr>
          <w:lang w:val="fr-FR"/>
        </w:rPr>
      </w:pPr>
      <w:r w:rsidRPr="00006369">
        <w:rPr>
          <w:lang w:val="fr-FR"/>
        </w:rPr>
        <w:t>It has two curvatures.</w:t>
      </w:r>
    </w:p>
    <w:p w14:paraId="2087F201" w14:textId="77777777" w:rsidR="00AB2A77" w:rsidRPr="00006369" w:rsidRDefault="00000000">
      <w:pPr>
        <w:pStyle w:val="Heading3"/>
        <w:spacing w:before="40" w:after="120" w:line="259" w:lineRule="auto"/>
        <w:rPr>
          <w:lang w:val="fr-FR"/>
        </w:rPr>
      </w:pPr>
      <w:r w:rsidRPr="00006369">
        <w:rPr>
          <w:lang w:val="fr-FR"/>
        </w:rPr>
        <w:t>3.4.1. Greater curvature</w:t>
      </w:r>
    </w:p>
    <w:p w14:paraId="1A5BDC6B" w14:textId="77777777" w:rsidR="00AB2A77" w:rsidRPr="00006369" w:rsidRDefault="00000000">
      <w:pPr>
        <w:spacing w:after="70" w:line="259" w:lineRule="auto"/>
        <w:rPr>
          <w:lang w:val="fr-FR"/>
        </w:rPr>
      </w:pPr>
      <w:r w:rsidRPr="00006369">
        <w:rPr>
          <w:lang w:val="fr-FR"/>
        </w:rPr>
        <w:t>The greater curvature follows a lateral line extending approximately from the ninth and tenth costal cartilages towards the umbilicus, which lies around L3.</w:t>
      </w:r>
    </w:p>
    <w:p w14:paraId="5123B65C" w14:textId="77777777" w:rsidR="00AB2A77" w:rsidRPr="00006369" w:rsidRDefault="00000000">
      <w:pPr>
        <w:pStyle w:val="Heading3"/>
        <w:spacing w:before="40" w:after="120" w:line="259" w:lineRule="auto"/>
        <w:rPr>
          <w:lang w:val="fr-FR"/>
        </w:rPr>
      </w:pPr>
      <w:r w:rsidRPr="00006369">
        <w:rPr>
          <w:lang w:val="fr-FR"/>
        </w:rPr>
        <w:t>3.4.2. Lesser curvature</w:t>
      </w:r>
    </w:p>
    <w:p w14:paraId="6217B7D1" w14:textId="77777777" w:rsidR="00AB2A77" w:rsidRPr="00006369" w:rsidRDefault="00000000">
      <w:pPr>
        <w:spacing w:after="70" w:line="259" w:lineRule="auto"/>
        <w:rPr>
          <w:lang w:val="fr-FR"/>
        </w:rPr>
      </w:pPr>
      <w:r w:rsidRPr="00006369">
        <w:rPr>
          <w:lang w:val="fr-FR"/>
        </w:rPr>
        <w:t>The lesser curvature lies medially, between the cardia and the antropyloric region.</w:t>
      </w:r>
    </w:p>
    <w:p w14:paraId="42F3C94F" w14:textId="77777777" w:rsidR="00AB2A77" w:rsidRPr="00006369" w:rsidRDefault="00000000">
      <w:pPr>
        <w:spacing w:after="70" w:line="259" w:lineRule="auto"/>
        <w:rPr>
          <w:lang w:val="fr-FR"/>
        </w:rPr>
      </w:pPr>
      <w:r w:rsidRPr="00006369">
        <w:rPr>
          <w:lang w:val="fr-FR"/>
        </w:rPr>
        <w:t>It is deeper than the greater curvature and closer to the vertebral plane between T10 and L1.</w:t>
      </w:r>
    </w:p>
    <w:p w14:paraId="1D7EA342" w14:textId="77777777" w:rsidR="00AB2A77" w:rsidRPr="00006369" w:rsidRDefault="00000000">
      <w:pPr>
        <w:spacing w:after="70" w:line="259" w:lineRule="auto"/>
        <w:rPr>
          <w:lang w:val="fr-FR"/>
        </w:rPr>
      </w:pPr>
      <w:r w:rsidRPr="00006369">
        <w:rPr>
          <w:lang w:val="fr-FR"/>
        </w:rPr>
        <w:t>The lesser omentum attaches to it.</w:t>
      </w:r>
    </w:p>
    <w:p w14:paraId="1E49E05D" w14:textId="77777777" w:rsidR="00AB2A77" w:rsidRPr="00006369" w:rsidRDefault="00000000">
      <w:pPr>
        <w:spacing w:after="70" w:line="259" w:lineRule="auto"/>
        <w:rPr>
          <w:lang w:val="fr-FR"/>
        </w:rPr>
      </w:pPr>
      <w:r w:rsidRPr="00006369">
        <w:rPr>
          <w:lang w:val="fr-FR"/>
        </w:rPr>
        <w:t>This region has a rich vascular and nerve supply, notably from vagal and sympathetic branches.</w:t>
      </w:r>
    </w:p>
    <w:p w14:paraId="13310AE8" w14:textId="77777777" w:rsidR="00AB2A77" w:rsidRPr="00006369" w:rsidRDefault="00000000">
      <w:pPr>
        <w:spacing w:after="70" w:line="259" w:lineRule="auto"/>
        <w:rPr>
          <w:lang w:val="fr-FR"/>
        </w:rPr>
      </w:pPr>
      <w:r w:rsidRPr="00006369">
        <w:rPr>
          <w:lang w:val="fr-FR"/>
        </w:rPr>
        <w:t>It also contains numerous mechanoreceptors.</w:t>
      </w:r>
    </w:p>
    <w:p w14:paraId="5B7C25D2" w14:textId="77777777" w:rsidR="00AB2A77" w:rsidRPr="00006369" w:rsidRDefault="00000000">
      <w:pPr>
        <w:pStyle w:val="Heading2"/>
        <w:spacing w:before="40" w:after="120" w:line="259" w:lineRule="auto"/>
        <w:rPr>
          <w:lang w:val="fr-FR"/>
        </w:rPr>
      </w:pPr>
      <w:r w:rsidRPr="00006369">
        <w:rPr>
          <w:lang w:val="fr-FR"/>
        </w:rPr>
        <w:t>Relevance to ROP</w:t>
      </w:r>
    </w:p>
    <w:p w14:paraId="44C3C454" w14:textId="77777777" w:rsidR="00AB2A77" w:rsidRPr="00006369" w:rsidRDefault="00000000">
      <w:pPr>
        <w:spacing w:after="70" w:line="259" w:lineRule="auto"/>
        <w:rPr>
          <w:lang w:val="fr-FR"/>
        </w:rPr>
      </w:pPr>
      <w:r w:rsidRPr="00006369">
        <w:rPr>
          <w:lang w:val="fr-FR"/>
        </w:rPr>
        <w:t>Within the ROP framework, particular attention is paid to the lesser curvature because of its rich innervation and vascular supply, and its role in certain clinically described gastric fixations.</w:t>
      </w:r>
    </w:p>
    <w:p w14:paraId="254F9898" w14:textId="77777777" w:rsidR="00AB2A77" w:rsidRPr="00006369" w:rsidRDefault="00000000">
      <w:pPr>
        <w:spacing w:after="70" w:line="259" w:lineRule="auto"/>
        <w:rPr>
          <w:lang w:val="fr-FR"/>
        </w:rPr>
      </w:pPr>
      <w:r w:rsidRPr="00006369">
        <w:rPr>
          <w:lang w:val="fr-FR"/>
        </w:rPr>
        <w:t>It is also a common site of ulceration.</w:t>
      </w:r>
    </w:p>
    <w:p w14:paraId="799DBD08" w14:textId="77777777" w:rsidR="00AB2A77" w:rsidRPr="00006369" w:rsidRDefault="00000000">
      <w:pPr>
        <w:pStyle w:val="Heading2"/>
        <w:spacing w:before="40" w:after="120" w:line="259" w:lineRule="auto"/>
        <w:rPr>
          <w:lang w:val="fr-FR"/>
        </w:rPr>
      </w:pPr>
      <w:r w:rsidRPr="00006369">
        <w:rPr>
          <w:lang w:val="fr-FR"/>
        </w:rPr>
        <w:t>3.5. Inferior part of the stomach</w:t>
      </w:r>
    </w:p>
    <w:p w14:paraId="3369D67D" w14:textId="77777777" w:rsidR="00AB2A77" w:rsidRPr="00006369" w:rsidRDefault="00000000">
      <w:pPr>
        <w:spacing w:after="70" w:line="259" w:lineRule="auto"/>
        <w:rPr>
          <w:lang w:val="fr-FR"/>
        </w:rPr>
      </w:pPr>
      <w:r w:rsidRPr="00006369">
        <w:rPr>
          <w:lang w:val="fr-FR"/>
        </w:rPr>
        <w:t>The inferior part corresponds to the lowermost portion of the stomach.</w:t>
      </w:r>
    </w:p>
    <w:p w14:paraId="7E56598A" w14:textId="77777777" w:rsidR="00AB2A77" w:rsidRPr="00006369" w:rsidRDefault="00000000">
      <w:pPr>
        <w:spacing w:after="70" w:line="259" w:lineRule="auto"/>
        <w:rPr>
          <w:lang w:val="fr-FR"/>
        </w:rPr>
      </w:pPr>
      <w:r w:rsidRPr="00006369">
        <w:rPr>
          <w:lang w:val="fr-FR"/>
        </w:rPr>
        <w:t>Its position varies according to gastric filling and individual body habitus.</w:t>
      </w:r>
    </w:p>
    <w:p w14:paraId="51B6050F" w14:textId="77777777" w:rsidR="00AB2A77" w:rsidRPr="00006369" w:rsidRDefault="00000000">
      <w:pPr>
        <w:spacing w:after="70" w:line="259" w:lineRule="auto"/>
        <w:rPr>
          <w:lang w:val="fr-FR"/>
        </w:rPr>
      </w:pPr>
      <w:r w:rsidRPr="00006369">
        <w:rPr>
          <w:lang w:val="fr-FR"/>
        </w:rPr>
        <w:t>In some tall, slender individuals with reduced muscle tone, its surface projection may lie lower.</w:t>
      </w:r>
    </w:p>
    <w:p w14:paraId="4EECE917" w14:textId="77777777" w:rsidR="00AB2A77" w:rsidRPr="00006369" w:rsidRDefault="00000000">
      <w:pPr>
        <w:pStyle w:val="Heading2"/>
        <w:spacing w:before="40" w:after="120" w:line="259" w:lineRule="auto"/>
        <w:rPr>
          <w:lang w:val="fr-FR"/>
        </w:rPr>
      </w:pPr>
      <w:r w:rsidRPr="00006369">
        <w:rPr>
          <w:lang w:val="fr-FR"/>
        </w:rPr>
        <w:t>3.6. Pyloric antrum</w:t>
      </w:r>
    </w:p>
    <w:p w14:paraId="71B6EC9F" w14:textId="77777777" w:rsidR="00AB2A77" w:rsidRPr="00006369" w:rsidRDefault="00000000">
      <w:pPr>
        <w:spacing w:after="70" w:line="259" w:lineRule="auto"/>
        <w:rPr>
          <w:lang w:val="fr-FR"/>
        </w:rPr>
      </w:pPr>
      <w:r w:rsidRPr="00006369">
        <w:rPr>
          <w:lang w:val="fr-FR"/>
        </w:rPr>
        <w:t>The pyloric antrum lies between the inferior part of the stomach and the pylorus.</w:t>
      </w:r>
    </w:p>
    <w:p w14:paraId="11A084BA" w14:textId="77777777" w:rsidR="00AB2A77" w:rsidRPr="00006369" w:rsidRDefault="00000000">
      <w:pPr>
        <w:spacing w:after="70" w:line="259" w:lineRule="auto"/>
        <w:rPr>
          <w:lang w:val="fr-FR"/>
        </w:rPr>
      </w:pPr>
      <w:r w:rsidRPr="00006369">
        <w:rPr>
          <w:lang w:val="fr-FR"/>
        </w:rPr>
        <w:t>It plays a major role in the mechanical preparation of gastric emptying and in certain neurohormonal regulatory processes.</w:t>
      </w:r>
    </w:p>
    <w:p w14:paraId="56109BE0" w14:textId="77777777" w:rsidR="00AB2A77" w:rsidRPr="00006369" w:rsidRDefault="00000000">
      <w:pPr>
        <w:pStyle w:val="Heading2"/>
        <w:spacing w:before="40" w:after="120" w:line="259" w:lineRule="auto"/>
        <w:rPr>
          <w:lang w:val="fr-FR"/>
        </w:rPr>
      </w:pPr>
      <w:r w:rsidRPr="00006369">
        <w:rPr>
          <w:lang w:val="fr-FR"/>
        </w:rPr>
        <w:t>3.7. Pylorus</w:t>
      </w:r>
    </w:p>
    <w:p w14:paraId="5638C514" w14:textId="77777777" w:rsidR="00AB2A77" w:rsidRPr="00006369" w:rsidRDefault="00000000">
      <w:pPr>
        <w:spacing w:after="70" w:line="259" w:lineRule="auto"/>
        <w:rPr>
          <w:lang w:val="fr-FR"/>
        </w:rPr>
      </w:pPr>
      <w:r w:rsidRPr="00006369">
        <w:rPr>
          <w:lang w:val="fr-FR"/>
        </w:rPr>
        <w:t>The pylorus comprises two parts.</w:t>
      </w:r>
    </w:p>
    <w:p w14:paraId="5AED6EE6" w14:textId="77777777" w:rsidR="00AB2A77" w:rsidRPr="00006369" w:rsidRDefault="00000000">
      <w:pPr>
        <w:pStyle w:val="Heading3"/>
        <w:spacing w:before="40" w:after="120" w:line="259" w:lineRule="auto"/>
        <w:rPr>
          <w:lang w:val="fr-FR"/>
        </w:rPr>
      </w:pPr>
      <w:r w:rsidRPr="00006369">
        <w:rPr>
          <w:lang w:val="fr-FR"/>
        </w:rPr>
        <w:t>3.7.1. Pyloric canal</w:t>
      </w:r>
    </w:p>
    <w:p w14:paraId="61C45734" w14:textId="77777777" w:rsidR="00AB2A77" w:rsidRPr="00006369" w:rsidRDefault="00000000">
      <w:pPr>
        <w:spacing w:after="70" w:line="259" w:lineRule="auto"/>
        <w:rPr>
          <w:lang w:val="fr-FR"/>
        </w:rPr>
      </w:pPr>
      <w:r w:rsidRPr="00006369">
        <w:rPr>
          <w:lang w:val="fr-FR"/>
        </w:rPr>
        <w:t>The pyloric canal is the narrowed segment that follows the antrum.</w:t>
      </w:r>
    </w:p>
    <w:p w14:paraId="44524413" w14:textId="77777777" w:rsidR="00AB2A77" w:rsidRPr="00006369" w:rsidRDefault="00000000">
      <w:pPr>
        <w:pStyle w:val="Heading3"/>
        <w:spacing w:before="40" w:after="120" w:line="259" w:lineRule="auto"/>
        <w:rPr>
          <w:lang w:val="fr-FR"/>
        </w:rPr>
      </w:pPr>
      <w:r w:rsidRPr="00006369">
        <w:rPr>
          <w:lang w:val="fr-FR"/>
        </w:rPr>
        <w:t>3.7.2. Pyloric sphincter</w:t>
      </w:r>
    </w:p>
    <w:p w14:paraId="230A731B" w14:textId="77777777" w:rsidR="00AB2A77" w:rsidRPr="00006369" w:rsidRDefault="00000000">
      <w:pPr>
        <w:spacing w:after="70" w:line="259" w:lineRule="auto"/>
        <w:rPr>
          <w:lang w:val="fr-FR"/>
        </w:rPr>
      </w:pPr>
      <w:r w:rsidRPr="00006369">
        <w:rPr>
          <w:lang w:val="fr-FR"/>
        </w:rPr>
        <w:t>The pyloric sphincter projects midway along a line joining the jugular notch to the pubis—approximately five fingerbreadths above the umbilicus—at about L1.</w:t>
      </w:r>
    </w:p>
    <w:p w14:paraId="62EEA35B" w14:textId="77777777" w:rsidR="00AB2A77" w:rsidRPr="00006369" w:rsidRDefault="00000000">
      <w:pPr>
        <w:spacing w:after="70" w:line="259" w:lineRule="auto"/>
        <w:rPr>
          <w:lang w:val="fr-FR"/>
        </w:rPr>
      </w:pPr>
      <w:r w:rsidRPr="00006369">
        <w:rPr>
          <w:lang w:val="fr-FR"/>
        </w:rPr>
        <w:t>It regulates gastric emptying into the duodenum.</w:t>
      </w:r>
    </w:p>
    <w:p w14:paraId="77FDBE03" w14:textId="77777777" w:rsidR="00AB2A77" w:rsidRPr="00006369" w:rsidRDefault="00000000">
      <w:pPr>
        <w:spacing w:after="70" w:line="259" w:lineRule="auto"/>
        <w:rPr>
          <w:lang w:val="fr-FR"/>
        </w:rPr>
      </w:pPr>
      <w:r w:rsidRPr="00006369">
        <w:rPr>
          <w:lang w:val="fr-FR"/>
        </w:rPr>
        <w:t>It alternates between phases of opening and resistance to passage, thereby selecting sufficiently small particles and liquids.</w:t>
      </w:r>
    </w:p>
    <w:p w14:paraId="5C6F5EC4" w14:textId="77777777" w:rsidR="00AB2A77" w:rsidRPr="00006369" w:rsidRDefault="00000000">
      <w:pPr>
        <w:spacing w:after="70" w:line="259" w:lineRule="auto"/>
        <w:rPr>
          <w:lang w:val="fr-FR"/>
        </w:rPr>
      </w:pPr>
      <w:r w:rsidRPr="00006369">
        <w:rPr>
          <w:lang w:val="fr-FR"/>
        </w:rPr>
        <w:t>In clinical practice, its projection may appear to move to either side of the xiphopubic line according to its activity.</w:t>
      </w:r>
    </w:p>
    <w:p w14:paraId="379371C6" w14:textId="77777777" w:rsidR="00AB2A77" w:rsidRPr="00006369" w:rsidRDefault="00000000">
      <w:pPr>
        <w:spacing w:after="70" w:line="259" w:lineRule="auto"/>
        <w:rPr>
          <w:lang w:val="fr-FR"/>
        </w:rPr>
      </w:pPr>
      <w:r w:rsidRPr="00006369">
        <w:rPr>
          <w:lang w:val="fr-FR"/>
        </w:rPr>
        <w:t>In the same clinical context, it may appear farther to the right in some individuals under stress.</w:t>
      </w:r>
    </w:p>
    <w:p w14:paraId="2E809A56" w14:textId="77777777" w:rsidR="00AB2A77" w:rsidRPr="00006369" w:rsidRDefault="00000000">
      <w:pPr>
        <w:pStyle w:val="Heading2"/>
        <w:spacing w:before="40" w:after="120" w:line="259" w:lineRule="auto"/>
        <w:rPr>
          <w:lang w:val="fr-FR"/>
        </w:rPr>
      </w:pPr>
      <w:r>
        <w:t>3.8. Angular notch (incisura angularis)</w:t>
      </w:r>
    </w:p>
    <w:p w14:paraId="16ADB42E" w14:textId="77777777" w:rsidR="00AB2A77" w:rsidRPr="00006369" w:rsidRDefault="00000000">
      <w:pPr>
        <w:spacing w:after="70" w:line="259" w:lineRule="auto"/>
        <w:rPr>
          <w:lang w:val="fr-FR"/>
        </w:rPr>
      </w:pPr>
      <w:r>
        <w:t>The angular notch is formed by the lesser curvature and the pyloric antrum.</w:t>
      </w:r>
    </w:p>
    <w:p w14:paraId="20E60182" w14:textId="77777777" w:rsidR="00AB2A77" w:rsidRPr="00006369" w:rsidRDefault="00000000">
      <w:pPr>
        <w:spacing w:after="70" w:line="259" w:lineRule="auto"/>
        <w:rPr>
          <w:lang w:val="fr-FR"/>
        </w:rPr>
      </w:pPr>
      <w:r w:rsidRPr="00006369">
        <w:rPr>
          <w:lang w:val="fr-FR"/>
        </w:rPr>
        <w:t>It lies cranial to the pylorus.</w:t>
      </w:r>
    </w:p>
    <w:p w14:paraId="32D4A5EE" w14:textId="77777777" w:rsidR="00AB2A77" w:rsidRPr="00006369" w:rsidRDefault="00000000">
      <w:pPr>
        <w:pStyle w:val="Heading1"/>
        <w:spacing w:before="40" w:after="120" w:line="259" w:lineRule="auto"/>
        <w:rPr>
          <w:lang w:val="fr-FR"/>
        </w:rPr>
      </w:pPr>
      <w:r w:rsidRPr="00006369">
        <w:rPr>
          <w:lang w:val="fr-FR"/>
        </w:rPr>
        <w:t>4. Anatomical relationships</w:t>
      </w:r>
    </w:p>
    <w:p w14:paraId="22EE5CCD" w14:textId="77777777" w:rsidR="00AB2A77" w:rsidRPr="00006369" w:rsidRDefault="00000000">
      <w:pPr>
        <w:pStyle w:val="ListBullet"/>
        <w:spacing w:after="70" w:line="259" w:lineRule="auto"/>
        <w:ind w:left="259" w:hanging="259"/>
        <w:rPr>
          <w:lang w:val="fr-FR"/>
        </w:rPr>
      </w:pPr>
      <w:r>
        <w:t>Superiorly: the stomach is related to the diaphragm, to which it is connected notably by the gastrophrenic ligament.</w:t>
      </w:r>
    </w:p>
    <w:p w14:paraId="2D6AE6EF" w14:textId="77777777" w:rsidR="00AB2A77" w:rsidRPr="00006369" w:rsidRDefault="00000000">
      <w:pPr>
        <w:pStyle w:val="ListBullet"/>
        <w:spacing w:after="70" w:line="259" w:lineRule="auto"/>
        <w:ind w:left="259" w:hanging="259"/>
        <w:rPr>
          <w:lang w:val="fr-FR"/>
        </w:rPr>
      </w:pPr>
      <w:r>
        <w:t>Inferiorly: it is related to the transverse colon, to which it is connected by the greater omentum.</w:t>
      </w:r>
    </w:p>
    <w:p w14:paraId="792A3D15" w14:textId="77777777" w:rsidR="00AB2A77" w:rsidRPr="00006369" w:rsidRDefault="00000000">
      <w:pPr>
        <w:pStyle w:val="ListBullet"/>
        <w:spacing w:after="70" w:line="259" w:lineRule="auto"/>
        <w:ind w:left="259" w:hanging="259"/>
        <w:rPr>
          <w:lang w:val="fr-FR"/>
        </w:rPr>
      </w:pPr>
      <w:r>
        <w:t>Anteriorly: it is related to the left hepatic lobe, the costal margin and the abdominal wall.</w:t>
      </w:r>
    </w:p>
    <w:p w14:paraId="64763BCC" w14:textId="77777777" w:rsidR="00AB2A77" w:rsidRPr="00006369" w:rsidRDefault="00000000">
      <w:pPr>
        <w:pStyle w:val="ListBullet"/>
        <w:spacing w:after="70" w:line="259" w:lineRule="auto"/>
        <w:ind w:left="259" w:hanging="259"/>
        <w:rPr>
          <w:lang w:val="fr-FR"/>
        </w:rPr>
      </w:pPr>
      <w:r>
        <w:t>Posteriorly: it is related to the omental bursa, pancreas and fourth part of the duodenum.</w:t>
      </w:r>
    </w:p>
    <w:p w14:paraId="26E0F3FA" w14:textId="77777777" w:rsidR="00AB2A77" w:rsidRPr="00006369" w:rsidRDefault="00000000">
      <w:pPr>
        <w:pStyle w:val="ListBullet"/>
        <w:spacing w:after="70" w:line="259" w:lineRule="auto"/>
        <w:ind w:left="259" w:hanging="259"/>
        <w:rPr>
          <w:lang w:val="fr-FR"/>
        </w:rPr>
      </w:pPr>
      <w:r>
        <w:t>Laterally: it is related to the spleen, to which it is connected by the gastrosplenic ligament.</w:t>
      </w:r>
    </w:p>
    <w:p w14:paraId="1EFC82C2" w14:textId="77777777" w:rsidR="00AB2A77" w:rsidRPr="00006369" w:rsidRDefault="00000000">
      <w:pPr>
        <w:pStyle w:val="ListBullet"/>
        <w:spacing w:after="70" w:line="259" w:lineRule="auto"/>
        <w:ind w:left="259" w:hanging="259"/>
        <w:rPr>
          <w:lang w:val="fr-FR"/>
        </w:rPr>
      </w:pPr>
      <w:r>
        <w:t>Medially: the lesser omentum connects the lesser curvature to the first part of the duodenum and the porta hepatis.</w:t>
      </w:r>
    </w:p>
    <w:p w14:paraId="58310426" w14:textId="77777777" w:rsidR="00AB2A77" w:rsidRPr="00006369" w:rsidRDefault="00000000">
      <w:pPr>
        <w:pStyle w:val="Heading1"/>
        <w:spacing w:before="40" w:after="120" w:line="259" w:lineRule="auto"/>
        <w:rPr>
          <w:lang w:val="fr-FR"/>
        </w:rPr>
      </w:pPr>
      <w:r w:rsidRPr="00006369">
        <w:rPr>
          <w:lang w:val="fr-FR"/>
        </w:rPr>
        <w:t>5. Vascular supply</w:t>
      </w:r>
    </w:p>
    <w:p w14:paraId="6B78FE11" w14:textId="77777777" w:rsidR="00AB2A77" w:rsidRPr="00006369" w:rsidRDefault="00000000">
      <w:pPr>
        <w:pStyle w:val="Heading2"/>
        <w:spacing w:before="40" w:after="120" w:line="259" w:lineRule="auto"/>
        <w:rPr>
          <w:lang w:val="fr-FR"/>
        </w:rPr>
      </w:pPr>
      <w:r w:rsidRPr="00006369">
        <w:rPr>
          <w:lang w:val="fr-FR"/>
        </w:rPr>
        <w:t>5.1. Arterial supply</w:t>
      </w:r>
    </w:p>
    <w:p w14:paraId="1BB7D155" w14:textId="77777777" w:rsidR="00AB2A77" w:rsidRPr="00006369" w:rsidRDefault="00000000">
      <w:pPr>
        <w:spacing w:after="70" w:line="259" w:lineRule="auto"/>
        <w:rPr>
          <w:lang w:val="fr-FR"/>
        </w:rPr>
      </w:pPr>
      <w:r>
        <w:t>The stomach is supplied by branches of the coeliac trunk, which arises from the abdominal aorta at approximately T12.</w:t>
      </w:r>
    </w:p>
    <w:p w14:paraId="75E666CB" w14:textId="77777777" w:rsidR="00AB2A77" w:rsidRPr="00006369" w:rsidRDefault="00000000">
      <w:pPr>
        <w:spacing w:after="70" w:line="259" w:lineRule="auto"/>
        <w:rPr>
          <w:lang w:val="fr-FR"/>
        </w:rPr>
      </w:pPr>
      <w:r w:rsidRPr="00006369">
        <w:rPr>
          <w:lang w:val="fr-FR"/>
        </w:rPr>
        <w:t>These branches include the splenic artery, left gastric artery and, via the proper hepatic artery arising from the common hepatic artery, the right gastric artery.</w:t>
      </w:r>
    </w:p>
    <w:p w14:paraId="23026D70" w14:textId="77777777" w:rsidR="00AB2A77" w:rsidRPr="00006369" w:rsidRDefault="00000000">
      <w:pPr>
        <w:spacing w:after="70" w:line="259" w:lineRule="auto"/>
        <w:rPr>
          <w:lang w:val="fr-FR"/>
        </w:rPr>
      </w:pPr>
      <w:r w:rsidRPr="00006369">
        <w:rPr>
          <w:lang w:val="fr-FR"/>
        </w:rPr>
        <w:t>Collateral branches of these arteries contribute to the arterial arcades along the lesser and greater curvatures.</w:t>
      </w:r>
    </w:p>
    <w:p w14:paraId="2F2D268C" w14:textId="77777777" w:rsidR="00AB2A77" w:rsidRPr="00006369" w:rsidRDefault="00000000">
      <w:pPr>
        <w:pStyle w:val="Heading2"/>
        <w:spacing w:before="40" w:after="120" w:line="259" w:lineRule="auto"/>
        <w:rPr>
          <w:lang w:val="fr-FR"/>
        </w:rPr>
      </w:pPr>
      <w:r w:rsidRPr="00006369">
        <w:rPr>
          <w:lang w:val="fr-FR"/>
        </w:rPr>
        <w:t>5.2. Venous drainage</w:t>
      </w:r>
    </w:p>
    <w:p w14:paraId="722C9FEC" w14:textId="77777777" w:rsidR="00AB2A77" w:rsidRPr="00006369" w:rsidRDefault="00000000">
      <w:pPr>
        <w:spacing w:after="70" w:line="259" w:lineRule="auto"/>
        <w:rPr>
          <w:lang w:val="fr-FR"/>
        </w:rPr>
      </w:pPr>
      <w:r>
        <w:t>The gastric veins generally accompany the arteries and drain into the portal venous system (see Chapter 11 — Liver).</w:t>
      </w:r>
    </w:p>
    <w:p w14:paraId="3500237C" w14:textId="77777777" w:rsidR="00AB2A77" w:rsidRPr="00006369" w:rsidRDefault="00000000">
      <w:pPr>
        <w:pStyle w:val="Heading1"/>
        <w:spacing w:before="40" w:after="120" w:line="259" w:lineRule="auto"/>
        <w:rPr>
          <w:lang w:val="fr-FR"/>
        </w:rPr>
      </w:pPr>
      <w:r w:rsidRPr="00006369">
        <w:rPr>
          <w:lang w:val="fr-FR"/>
        </w:rPr>
        <w:t>6. Innervation</w:t>
      </w:r>
    </w:p>
    <w:p w14:paraId="615E2489" w14:textId="77777777" w:rsidR="00AB2A77" w:rsidRPr="00006369" w:rsidRDefault="00000000">
      <w:pPr>
        <w:pStyle w:val="Heading2"/>
        <w:spacing w:before="40" w:after="120" w:line="259" w:lineRule="auto"/>
        <w:rPr>
          <w:lang w:val="fr-FR"/>
        </w:rPr>
      </w:pPr>
      <w:r w:rsidRPr="00006369">
        <w:rPr>
          <w:lang w:val="fr-FR"/>
        </w:rPr>
        <w:t>6.1. Parasympathetic innervation</w:t>
      </w:r>
    </w:p>
    <w:p w14:paraId="73AC8976" w14:textId="77777777" w:rsidR="00AB2A77" w:rsidRPr="00006369" w:rsidRDefault="00000000">
      <w:pPr>
        <w:spacing w:after="70" w:line="259" w:lineRule="auto"/>
        <w:rPr>
          <w:lang w:val="fr-FR"/>
        </w:rPr>
      </w:pPr>
      <w:r w:rsidRPr="00006369">
        <w:rPr>
          <w:lang w:val="fr-FR"/>
        </w:rPr>
        <w:t>The right and left vagus nerves play a major role in the mechanical and secretory functions of the stomach.</w:t>
      </w:r>
    </w:p>
    <w:p w14:paraId="3D227113" w14:textId="77777777" w:rsidR="00AB2A77" w:rsidRPr="00006369" w:rsidRDefault="00000000">
      <w:pPr>
        <w:spacing w:after="70" w:line="259" w:lineRule="auto"/>
        <w:rPr>
          <w:lang w:val="fr-FR"/>
        </w:rPr>
      </w:pPr>
      <w:r w:rsidRPr="00006369">
        <w:rPr>
          <w:lang w:val="fr-FR"/>
        </w:rPr>
        <w:t>In particular, they stimulate gastric secretion and contribute to the regulation of gastric motility.</w:t>
      </w:r>
    </w:p>
    <w:p w14:paraId="6D58AD75" w14:textId="77777777" w:rsidR="00AB2A77" w:rsidRPr="00006369" w:rsidRDefault="00000000">
      <w:pPr>
        <w:pStyle w:val="Heading2"/>
        <w:spacing w:before="40" w:after="120" w:line="259" w:lineRule="auto"/>
        <w:rPr>
          <w:lang w:val="fr-FR"/>
        </w:rPr>
      </w:pPr>
      <w:r w:rsidRPr="00006369">
        <w:rPr>
          <w:lang w:val="fr-FR"/>
        </w:rPr>
        <w:t>6.2. Sympathetic innervation</w:t>
      </w:r>
    </w:p>
    <w:p w14:paraId="7E034D3F" w14:textId="77777777" w:rsidR="00AB2A77" w:rsidRPr="00006369" w:rsidRDefault="00000000">
      <w:pPr>
        <w:spacing w:after="70" w:line="259" w:lineRule="auto"/>
        <w:rPr>
          <w:lang w:val="fr-FR"/>
        </w:rPr>
      </w:pPr>
      <w:r w:rsidRPr="00006369">
        <w:rPr>
          <w:lang w:val="fr-FR"/>
        </w:rPr>
        <w:t>Sympathetic innervation is derived notably from the greater splanchnic nerve, arising from the mid-thoracic levels.</w:t>
      </w:r>
    </w:p>
    <w:p w14:paraId="5FB771E1" w14:textId="77777777" w:rsidR="00AB2A77" w:rsidRPr="00006369" w:rsidRDefault="00000000">
      <w:pPr>
        <w:spacing w:after="70" w:line="259" w:lineRule="auto"/>
        <w:rPr>
          <w:lang w:val="fr-FR"/>
        </w:rPr>
      </w:pPr>
      <w:r w:rsidRPr="00006369">
        <w:rPr>
          <w:lang w:val="fr-FR"/>
        </w:rPr>
        <w:t>Overall, it acts in opposition to vagal activity on motility and secretion.</w:t>
      </w:r>
    </w:p>
    <w:p w14:paraId="1B98B8A8" w14:textId="77777777" w:rsidR="00AB2A77" w:rsidRPr="00006369" w:rsidRDefault="00000000">
      <w:pPr>
        <w:pStyle w:val="Heading2"/>
        <w:spacing w:before="40" w:after="120" w:line="259" w:lineRule="auto"/>
        <w:rPr>
          <w:lang w:val="fr-FR"/>
        </w:rPr>
      </w:pPr>
      <w:r w:rsidRPr="00006369">
        <w:rPr>
          <w:lang w:val="fr-FR"/>
        </w:rPr>
        <w:t>Relevance to ROP</w:t>
      </w:r>
    </w:p>
    <w:p w14:paraId="4CF0B86E" w14:textId="77777777" w:rsidR="00AB2A77" w:rsidRPr="00006369" w:rsidRDefault="00000000">
      <w:pPr>
        <w:spacing w:after="70" w:line="259" w:lineRule="auto"/>
        <w:rPr>
          <w:lang w:val="fr-FR"/>
        </w:rPr>
      </w:pPr>
      <w:r w:rsidRPr="00006369">
        <w:rPr>
          <w:lang w:val="fr-FR"/>
        </w:rPr>
        <w:t>Within the ROP framework, gastric dysfunction may be accompanied by referred tension in the upper thoracic region, particularly around T6.</w:t>
      </w:r>
    </w:p>
    <w:p w14:paraId="49E04507" w14:textId="77777777" w:rsidR="00AB2A77" w:rsidRPr="00006369" w:rsidRDefault="00000000">
      <w:pPr>
        <w:pStyle w:val="Heading2"/>
        <w:spacing w:before="40" w:after="120" w:line="259" w:lineRule="auto"/>
        <w:rPr>
          <w:lang w:val="fr-FR"/>
        </w:rPr>
      </w:pPr>
      <w:r w:rsidRPr="00006369">
        <w:rPr>
          <w:lang w:val="fr-FR"/>
        </w:rPr>
        <w:t>6.3. Gastric pacemaker</w:t>
      </w:r>
    </w:p>
    <w:p w14:paraId="3BC4FB0E" w14:textId="77777777" w:rsidR="00AB2A77" w:rsidRPr="00006369" w:rsidRDefault="00000000">
      <w:pPr>
        <w:spacing w:after="70" w:line="259" w:lineRule="auto"/>
        <w:rPr>
          <w:lang w:val="fr-FR"/>
        </w:rPr>
      </w:pPr>
      <w:r w:rsidRPr="00006369">
        <w:rPr>
          <w:lang w:val="fr-FR"/>
        </w:rPr>
        <w:t>The stomach has intrinsic rhythmic activity that contributes to its baseline contractions.</w:t>
      </w:r>
    </w:p>
    <w:p w14:paraId="0EE015F1" w14:textId="77777777" w:rsidR="00AB2A77" w:rsidRPr="00006369" w:rsidRDefault="00000000">
      <w:pPr>
        <w:spacing w:after="70" w:line="259" w:lineRule="auto"/>
        <w:rPr>
          <w:lang w:val="fr-FR"/>
        </w:rPr>
      </w:pPr>
      <w:r w:rsidRPr="00006369">
        <w:rPr>
          <w:lang w:val="fr-FR"/>
        </w:rPr>
        <w:t>This activity is associated with specialised interstitial cells, commonly known as interstitial cells of Cajal, located near the greater curvature at the junction between the fundus and body.</w:t>
      </w:r>
    </w:p>
    <w:p w14:paraId="45B66776" w14:textId="77777777" w:rsidR="00AB2A77" w:rsidRPr="00006369" w:rsidRDefault="00000000">
      <w:pPr>
        <w:spacing w:after="70" w:line="259" w:lineRule="auto"/>
        <w:rPr>
          <w:lang w:val="fr-FR"/>
        </w:rPr>
      </w:pPr>
      <w:r>
        <w:t>The slow waves then propagate towards the pyloric antrum and pylorus at intervals of a few tens of seconds.</w:t>
      </w:r>
    </w:p>
    <w:p w14:paraId="01ABFA74" w14:textId="77777777" w:rsidR="00AB2A77" w:rsidRPr="00006369" w:rsidRDefault="00000000">
      <w:pPr>
        <w:spacing w:after="70" w:line="259" w:lineRule="auto"/>
        <w:rPr>
          <w:lang w:val="fr-FR"/>
        </w:rPr>
      </w:pPr>
      <w:r w:rsidRPr="00006369">
        <w:rPr>
          <w:lang w:val="fr-FR"/>
        </w:rPr>
        <w:t>The fundus primarily serves as a reservoir and accommodates gastric contents.</w:t>
      </w:r>
    </w:p>
    <w:p w14:paraId="3DB3ECC9" w14:textId="77777777" w:rsidR="00AB2A77" w:rsidRPr="00006369" w:rsidRDefault="00000000">
      <w:pPr>
        <w:pStyle w:val="Heading1"/>
        <w:spacing w:before="40" w:after="120" w:line="259" w:lineRule="auto"/>
        <w:rPr>
          <w:lang w:val="fr-FR"/>
        </w:rPr>
      </w:pPr>
      <w:r w:rsidRPr="00006369">
        <w:rPr>
          <w:lang w:val="fr-FR"/>
        </w:rPr>
        <w:t>7. Physiology</w:t>
      </w:r>
    </w:p>
    <w:p w14:paraId="3A8FC126" w14:textId="77777777" w:rsidR="00AB2A77" w:rsidRPr="00006369" w:rsidRDefault="00000000">
      <w:pPr>
        <w:spacing w:after="70" w:line="259" w:lineRule="auto"/>
        <w:rPr>
          <w:lang w:val="fr-FR"/>
        </w:rPr>
      </w:pPr>
      <w:r w:rsidRPr="00006369">
        <w:rPr>
          <w:lang w:val="fr-FR"/>
        </w:rPr>
        <w:t>The stomach performs mechanical and neurohormonal functions in the digestion of food.</w:t>
      </w:r>
    </w:p>
    <w:p w14:paraId="37F1AF63" w14:textId="77777777" w:rsidR="00AB2A77" w:rsidRPr="00006369" w:rsidRDefault="00000000">
      <w:pPr>
        <w:pStyle w:val="Heading2"/>
        <w:spacing w:before="40" w:after="120" w:line="259" w:lineRule="auto"/>
        <w:rPr>
          <w:lang w:val="fr-FR"/>
        </w:rPr>
      </w:pPr>
      <w:r w:rsidRPr="00006369">
        <w:rPr>
          <w:lang w:val="fr-FR"/>
        </w:rPr>
        <w:t>7.1. Mechanical function</w:t>
      </w:r>
    </w:p>
    <w:p w14:paraId="4DE247F9" w14:textId="77777777" w:rsidR="00AB2A77" w:rsidRPr="00006369" w:rsidRDefault="00000000">
      <w:pPr>
        <w:spacing w:after="70" w:line="259" w:lineRule="auto"/>
        <w:rPr>
          <w:lang w:val="fr-FR"/>
        </w:rPr>
      </w:pPr>
      <w:r w:rsidRPr="00006369">
        <w:rPr>
          <w:lang w:val="fr-FR"/>
        </w:rPr>
        <w:t>Through the combined action of vagal pathways and food-induced distension, the gastric wall actively relaxes to accommodate filling.</w:t>
      </w:r>
    </w:p>
    <w:p w14:paraId="7CF00195" w14:textId="77777777" w:rsidR="00AB2A77" w:rsidRPr="00006369" w:rsidRDefault="00000000">
      <w:pPr>
        <w:spacing w:after="70" w:line="259" w:lineRule="auto"/>
        <w:rPr>
          <w:lang w:val="fr-FR"/>
        </w:rPr>
      </w:pPr>
      <w:r w:rsidRPr="00006369">
        <w:rPr>
          <w:lang w:val="fr-FR"/>
        </w:rPr>
        <w:t>Then, through the muscular layer of the gastric body, food is broken down, churned, mixed and homogenised before being blended with gastric secretions.</w:t>
      </w:r>
    </w:p>
    <w:p w14:paraId="1E79A113" w14:textId="77777777" w:rsidR="00AB2A77" w:rsidRPr="00006369" w:rsidRDefault="00000000">
      <w:pPr>
        <w:pStyle w:val="Heading2"/>
        <w:spacing w:before="40" w:after="120" w:line="259" w:lineRule="auto"/>
        <w:rPr>
          <w:lang w:val="fr-FR"/>
        </w:rPr>
      </w:pPr>
      <w:r w:rsidRPr="00006369">
        <w:rPr>
          <w:lang w:val="fr-FR"/>
        </w:rPr>
        <w:t>7.2. Secretory and neurohormonal functions</w:t>
      </w:r>
    </w:p>
    <w:p w14:paraId="3B2517C4" w14:textId="77777777" w:rsidR="00AB2A77" w:rsidRPr="00006369" w:rsidRDefault="00000000">
      <w:pPr>
        <w:spacing w:after="70" w:line="259" w:lineRule="auto"/>
        <w:rPr>
          <w:lang w:val="fr-FR"/>
        </w:rPr>
      </w:pPr>
      <w:r w:rsidRPr="00006369">
        <w:rPr>
          <w:lang w:val="fr-FR"/>
        </w:rPr>
        <w:t>Gastric distension, the presence of food and vagal stimulation trigger the production of gastric juice by the mucosa, in an approximate volume of 1.5 litres per 24 hours.</w:t>
      </w:r>
    </w:p>
    <w:p w14:paraId="190D8715" w14:textId="77777777" w:rsidR="00AB2A77" w:rsidRPr="00006369" w:rsidRDefault="00000000">
      <w:pPr>
        <w:pStyle w:val="Heading3"/>
        <w:spacing w:before="40" w:after="120" w:line="259" w:lineRule="auto"/>
        <w:rPr>
          <w:lang w:val="fr-FR"/>
        </w:rPr>
      </w:pPr>
      <w:r w:rsidRPr="00006369">
        <w:rPr>
          <w:lang w:val="fr-FR"/>
        </w:rPr>
        <w:t>7.2.1. Hydrochloric acid (HCl)</w:t>
      </w:r>
    </w:p>
    <w:p w14:paraId="3703F20B" w14:textId="77777777" w:rsidR="00AB2A77" w:rsidRPr="00006369" w:rsidRDefault="00000000">
      <w:pPr>
        <w:spacing w:after="70" w:line="259" w:lineRule="auto"/>
        <w:rPr>
          <w:lang w:val="fr-FR"/>
        </w:rPr>
      </w:pPr>
      <w:r w:rsidRPr="00006369">
        <w:rPr>
          <w:lang w:val="fr-FR"/>
        </w:rPr>
        <w:t>Hydrochloric acid is secreted by the parietal cells of the gastric mucosa.</w:t>
      </w:r>
    </w:p>
    <w:p w14:paraId="2D69596D" w14:textId="77777777" w:rsidR="00AB2A77" w:rsidRPr="00006369" w:rsidRDefault="00000000">
      <w:pPr>
        <w:spacing w:after="70" w:line="259" w:lineRule="auto"/>
        <w:rPr>
          <w:lang w:val="fr-FR"/>
        </w:rPr>
      </w:pPr>
      <w:r w:rsidRPr="00006369">
        <w:rPr>
          <w:lang w:val="fr-FR"/>
        </w:rPr>
        <w:t>It contributes to intragastric acidity, the antibacterial effect of gastric contents and certain stages of iron absorption.</w:t>
      </w:r>
    </w:p>
    <w:p w14:paraId="3D9884BD" w14:textId="77777777" w:rsidR="00AB2A77" w:rsidRPr="00006369" w:rsidRDefault="00000000">
      <w:pPr>
        <w:pStyle w:val="Heading3"/>
        <w:spacing w:before="40" w:after="120" w:line="259" w:lineRule="auto"/>
        <w:rPr>
          <w:lang w:val="fr-FR"/>
        </w:rPr>
      </w:pPr>
      <w:r w:rsidRPr="00006369">
        <w:rPr>
          <w:lang w:val="fr-FR"/>
        </w:rPr>
        <w:t>7.2.2. Gastric proton pump</w:t>
      </w:r>
    </w:p>
    <w:p w14:paraId="1F290DD8" w14:textId="77777777" w:rsidR="00AB2A77" w:rsidRPr="00006369" w:rsidRDefault="00000000">
      <w:pPr>
        <w:spacing w:after="70" w:line="259" w:lineRule="auto"/>
        <w:rPr>
          <w:lang w:val="fr-FR"/>
        </w:rPr>
      </w:pPr>
      <w:r w:rsidRPr="00006369">
        <w:rPr>
          <w:lang w:val="fr-FR"/>
        </w:rPr>
        <w:t>The proton pump enables the gastric epithelium to secrete H+ ions.</w:t>
      </w:r>
    </w:p>
    <w:p w14:paraId="0504E061" w14:textId="77777777" w:rsidR="00AB2A77" w:rsidRPr="00006369" w:rsidRDefault="00000000">
      <w:pPr>
        <w:spacing w:after="70" w:line="259" w:lineRule="auto"/>
        <w:rPr>
          <w:lang w:val="fr-FR"/>
        </w:rPr>
      </w:pPr>
      <w:r w:rsidRPr="00006369">
        <w:rPr>
          <w:lang w:val="fr-FR"/>
        </w:rPr>
        <w:t>It is responsible for the very low pH of gastric contents, creating a favourable environment for pepsin activation and protein digestion.</w:t>
      </w:r>
    </w:p>
    <w:p w14:paraId="2720929A" w14:textId="77777777" w:rsidR="00AB2A77" w:rsidRPr="00006369" w:rsidRDefault="00000000">
      <w:pPr>
        <w:pStyle w:val="Heading3"/>
        <w:spacing w:before="40" w:after="120" w:line="259" w:lineRule="auto"/>
        <w:rPr>
          <w:lang w:val="fr-FR"/>
        </w:rPr>
      </w:pPr>
      <w:r w:rsidRPr="00006369">
        <w:rPr>
          <w:lang w:val="fr-FR"/>
        </w:rPr>
        <w:t>7.2.3. Mucus</w:t>
      </w:r>
    </w:p>
    <w:p w14:paraId="27A4DB9D" w14:textId="77777777" w:rsidR="00AB2A77" w:rsidRPr="00006369" w:rsidRDefault="00000000">
      <w:pPr>
        <w:spacing w:after="70" w:line="259" w:lineRule="auto"/>
        <w:rPr>
          <w:lang w:val="fr-FR"/>
        </w:rPr>
      </w:pPr>
      <w:r w:rsidRPr="00006369">
        <w:rPr>
          <w:lang w:val="fr-FR"/>
        </w:rPr>
        <w:t>Mucus protects the gastric mucosa against luminal acidity and facilitates the passage of the food bolus along the wall.</w:t>
      </w:r>
    </w:p>
    <w:p w14:paraId="7A89DC51" w14:textId="77777777" w:rsidR="00AB2A77" w:rsidRPr="00006369" w:rsidRDefault="00000000">
      <w:pPr>
        <w:pStyle w:val="Heading3"/>
        <w:spacing w:before="40" w:after="120" w:line="259" w:lineRule="auto"/>
        <w:rPr>
          <w:lang w:val="fr-FR"/>
        </w:rPr>
      </w:pPr>
      <w:r w:rsidRPr="00006369">
        <w:rPr>
          <w:lang w:val="fr-FR"/>
        </w:rPr>
        <w:t>7.2.4. Pepsinogen</w:t>
      </w:r>
    </w:p>
    <w:p w14:paraId="15D5F7CE" w14:textId="77777777" w:rsidR="00AB2A77" w:rsidRPr="00006369" w:rsidRDefault="00000000">
      <w:pPr>
        <w:spacing w:after="70" w:line="259" w:lineRule="auto"/>
        <w:rPr>
          <w:lang w:val="fr-FR"/>
        </w:rPr>
      </w:pPr>
      <w:r w:rsidRPr="00006369">
        <w:rPr>
          <w:lang w:val="fr-FR"/>
        </w:rPr>
        <w:t>Pepsinogen is the precursor of pepsin, which is involved in protein digestion.</w:t>
      </w:r>
    </w:p>
    <w:p w14:paraId="4C904E5C" w14:textId="77777777" w:rsidR="00AB2A77" w:rsidRPr="00006369" w:rsidRDefault="00000000">
      <w:pPr>
        <w:pStyle w:val="Heading3"/>
        <w:spacing w:before="40" w:after="120" w:line="259" w:lineRule="auto"/>
        <w:rPr>
          <w:lang w:val="fr-FR"/>
        </w:rPr>
      </w:pPr>
      <w:r w:rsidRPr="00006369">
        <w:rPr>
          <w:lang w:val="fr-FR"/>
        </w:rPr>
        <w:t>7.2.5. Enzymes</w:t>
      </w:r>
    </w:p>
    <w:p w14:paraId="571B05EC" w14:textId="77777777" w:rsidR="00AB2A77" w:rsidRPr="00006369" w:rsidRDefault="00000000">
      <w:pPr>
        <w:spacing w:after="70" w:line="259" w:lineRule="auto"/>
        <w:rPr>
          <w:lang w:val="fr-FR"/>
        </w:rPr>
      </w:pPr>
      <w:r w:rsidRPr="00006369">
        <w:rPr>
          <w:lang w:val="fr-FR"/>
        </w:rPr>
        <w:t>Several enzymes are secreted by the gastric mucosa.</w:t>
      </w:r>
    </w:p>
    <w:p w14:paraId="42BF1B28" w14:textId="77777777" w:rsidR="00AB2A77" w:rsidRPr="00006369" w:rsidRDefault="00000000">
      <w:pPr>
        <w:pStyle w:val="Heading3"/>
        <w:spacing w:before="40" w:after="120" w:line="259" w:lineRule="auto"/>
        <w:rPr>
          <w:lang w:val="fr-FR"/>
        </w:rPr>
      </w:pPr>
      <w:r w:rsidRPr="00006369">
        <w:rPr>
          <w:lang w:val="fr-FR"/>
        </w:rPr>
        <w:t>7.2.6. Gastrin</w:t>
      </w:r>
    </w:p>
    <w:p w14:paraId="3881A101" w14:textId="77777777" w:rsidR="00AB2A77" w:rsidRPr="00006369" w:rsidRDefault="00000000">
      <w:pPr>
        <w:spacing w:after="70" w:line="259" w:lineRule="auto"/>
        <w:rPr>
          <w:lang w:val="fr-FR"/>
        </w:rPr>
      </w:pPr>
      <w:r w:rsidRPr="00006369">
        <w:rPr>
          <w:lang w:val="fr-FR"/>
        </w:rPr>
        <w:t>G cells, concentrated in the antropyloric region, secrete gastrin under the influence of vagal stimulation, among other factors.</w:t>
      </w:r>
    </w:p>
    <w:p w14:paraId="600A642D" w14:textId="77777777" w:rsidR="00AB2A77" w:rsidRPr="00006369" w:rsidRDefault="00000000">
      <w:pPr>
        <w:spacing w:after="70" w:line="259" w:lineRule="auto"/>
        <w:rPr>
          <w:lang w:val="fr-FR"/>
        </w:rPr>
      </w:pPr>
      <w:r w:rsidRPr="00006369">
        <w:rPr>
          <w:lang w:val="fr-FR"/>
        </w:rPr>
        <w:t>Gastrin is released into the bloodstream.</w:t>
      </w:r>
    </w:p>
    <w:p w14:paraId="09B1F0C3" w14:textId="77777777" w:rsidR="00AB2A77" w:rsidRPr="00006369" w:rsidRDefault="00000000">
      <w:pPr>
        <w:spacing w:after="70" w:line="259" w:lineRule="auto"/>
        <w:rPr>
          <w:lang w:val="fr-FR"/>
        </w:rPr>
      </w:pPr>
      <w:r w:rsidRPr="00006369">
        <w:rPr>
          <w:lang w:val="fr-FR"/>
        </w:rPr>
        <w:t>It stimulates acid secretion and contributes to increased gastric contractile activity, particularly in the pyloric antrum.</w:t>
      </w:r>
    </w:p>
    <w:p w14:paraId="0A6E1739" w14:textId="77777777" w:rsidR="00AB2A77" w:rsidRPr="00006369" w:rsidRDefault="00000000">
      <w:pPr>
        <w:pStyle w:val="Heading2"/>
        <w:spacing w:before="40" w:after="120" w:line="259" w:lineRule="auto"/>
        <w:rPr>
          <w:lang w:val="fr-FR"/>
        </w:rPr>
      </w:pPr>
      <w:r w:rsidRPr="00006369">
        <w:rPr>
          <w:lang w:val="fr-FR"/>
        </w:rPr>
        <w:t>7.3. Gastric emptying</w:t>
      </w:r>
    </w:p>
    <w:p w14:paraId="3C7DA9E4" w14:textId="77777777" w:rsidR="00AB2A77" w:rsidRPr="00006369" w:rsidRDefault="00000000">
      <w:pPr>
        <w:spacing w:after="70" w:line="259" w:lineRule="auto"/>
        <w:rPr>
          <w:lang w:val="fr-FR"/>
        </w:rPr>
      </w:pPr>
      <w:r w:rsidRPr="00006369">
        <w:rPr>
          <w:lang w:val="fr-FR"/>
        </w:rPr>
        <w:t>Antral contraction combined with pyloric relaxation allows gastric contents to pass incrementally into the duodenum.</w:t>
      </w:r>
    </w:p>
    <w:p w14:paraId="3BEB74E8" w14:textId="77777777" w:rsidR="00AB2A77" w:rsidRPr="00006369" w:rsidRDefault="00000000">
      <w:pPr>
        <w:spacing w:after="70" w:line="259" w:lineRule="auto"/>
        <w:rPr>
          <w:lang w:val="fr-FR"/>
        </w:rPr>
      </w:pPr>
      <w:r w:rsidRPr="00006369">
        <w:rPr>
          <w:lang w:val="fr-FR"/>
        </w:rPr>
        <w:t>Emptying is regulated by several duodenal and hormonal signals, notably secretin, which helps slow emptying when the duodenal contents are highly acidic and promotes pancreatic bicarbonate secretion.</w:t>
      </w:r>
    </w:p>
    <w:p w14:paraId="52F0C365" w14:textId="77777777" w:rsidR="00AB2A77" w:rsidRPr="00006369" w:rsidRDefault="00000000">
      <w:pPr>
        <w:spacing w:after="70" w:line="259" w:lineRule="auto"/>
        <w:rPr>
          <w:lang w:val="fr-FR"/>
        </w:rPr>
      </w:pPr>
      <w:r w:rsidRPr="00006369">
        <w:rPr>
          <w:lang w:val="fr-FR"/>
        </w:rPr>
        <w:t>The regulation of gastric emptying therefore depends on the processing capacity of the duodenum and small intestine.</w:t>
      </w:r>
    </w:p>
    <w:p w14:paraId="7984CEBB" w14:textId="77777777" w:rsidR="00AB2A77" w:rsidRPr="00006369" w:rsidRDefault="00000000">
      <w:pPr>
        <w:pStyle w:val="Heading3"/>
        <w:spacing w:before="0" w:after="70" w:line="259" w:lineRule="auto"/>
        <w:rPr>
          <w:lang w:val="fr-FR"/>
        </w:rPr>
      </w:pPr>
      <w:r w:rsidRPr="00006369">
        <w:rPr>
          <w:lang w:val="fr-FR"/>
        </w:rPr>
        <w:t>7.3.1. Liquid phase</w:t>
      </w:r>
    </w:p>
    <w:p w14:paraId="76FBE25A" w14:textId="77777777" w:rsidR="00AB2A77" w:rsidRPr="00006369" w:rsidRDefault="00000000">
      <w:pPr>
        <w:spacing w:after="70" w:line="259" w:lineRule="auto"/>
        <w:rPr>
          <w:lang w:val="fr-FR"/>
        </w:rPr>
      </w:pPr>
      <w:r w:rsidRPr="00006369">
        <w:rPr>
          <w:lang w:val="fr-FR"/>
        </w:rPr>
        <w:t>The liquid phase is generally rapid, often lasting less than 30 minutes.</w:t>
      </w:r>
    </w:p>
    <w:p w14:paraId="382791CE" w14:textId="77777777" w:rsidR="00AB2A77" w:rsidRPr="00006369" w:rsidRDefault="00000000">
      <w:pPr>
        <w:pStyle w:val="Heading3"/>
        <w:spacing w:before="0" w:after="70" w:line="259" w:lineRule="auto"/>
        <w:rPr>
          <w:lang w:val="fr-FR"/>
        </w:rPr>
      </w:pPr>
      <w:r w:rsidRPr="00006369">
        <w:rPr>
          <w:lang w:val="fr-FR"/>
        </w:rPr>
        <w:t>7.3.2. Digestible solid phase</w:t>
      </w:r>
    </w:p>
    <w:p w14:paraId="61115018" w14:textId="77777777" w:rsidR="00AB2A77" w:rsidRPr="00006369" w:rsidRDefault="00000000">
      <w:pPr>
        <w:spacing w:after="70" w:line="259" w:lineRule="auto"/>
        <w:rPr>
          <w:lang w:val="fr-FR"/>
        </w:rPr>
      </w:pPr>
      <w:r w:rsidRPr="00006369">
        <w:rPr>
          <w:lang w:val="fr-FR"/>
        </w:rPr>
        <w:t>The duration of the digestible solid phase varies according to the nature of the food ingested.</w:t>
      </w:r>
    </w:p>
    <w:p w14:paraId="703A94C3" w14:textId="77777777" w:rsidR="00AB2A77" w:rsidRPr="00006369" w:rsidRDefault="00000000">
      <w:pPr>
        <w:pStyle w:val="Heading3"/>
        <w:spacing w:before="0" w:after="70" w:line="259" w:lineRule="auto"/>
        <w:rPr>
          <w:lang w:val="fr-FR"/>
        </w:rPr>
      </w:pPr>
      <w:r w:rsidRPr="00006369">
        <w:rPr>
          <w:lang w:val="fr-FR"/>
        </w:rPr>
        <w:t>7.3.3. Indigestible solid phase</w:t>
      </w:r>
    </w:p>
    <w:p w14:paraId="1269FA33" w14:textId="77777777" w:rsidR="00AB2A77" w:rsidRPr="00006369" w:rsidRDefault="00000000">
      <w:pPr>
        <w:spacing w:after="70" w:line="259" w:lineRule="auto"/>
        <w:rPr>
          <w:lang w:val="fr-FR"/>
        </w:rPr>
      </w:pPr>
      <w:r w:rsidRPr="00006369">
        <w:rPr>
          <w:lang w:val="fr-FR"/>
        </w:rPr>
        <w:t>At a later stage, particles that are more difficult to digest undergo further mixing until they reach a size compatible with pyloric passage.</w:t>
      </w:r>
    </w:p>
    <w:p w14:paraId="06B025A9" w14:textId="77777777" w:rsidR="00AB2A77" w:rsidRPr="00006369" w:rsidRDefault="00000000">
      <w:pPr>
        <w:pStyle w:val="Heading2"/>
        <w:spacing w:before="40" w:after="120" w:line="259" w:lineRule="auto"/>
        <w:rPr>
          <w:lang w:val="fr-FR"/>
        </w:rPr>
      </w:pPr>
      <w:r w:rsidRPr="00006369">
        <w:rPr>
          <w:lang w:val="fr-FR"/>
        </w:rPr>
        <w:t>Relevance to ROP</w:t>
      </w:r>
    </w:p>
    <w:p w14:paraId="2EA1818A" w14:textId="77777777" w:rsidR="00AB2A77" w:rsidRPr="00006369" w:rsidRDefault="00000000">
      <w:pPr>
        <w:spacing w:after="70" w:line="259" w:lineRule="auto"/>
        <w:rPr>
          <w:lang w:val="fr-FR"/>
        </w:rPr>
      </w:pPr>
      <w:r w:rsidRPr="00006369">
        <w:rPr>
          <w:lang w:val="fr-FR"/>
        </w:rPr>
        <w:t>The combined mechanical and neurohormonal actions lead the ROP framework to give priority to the vagus nerve in reflex treatment, in accordance with the principle of ‘nerve first’.</w:t>
      </w:r>
    </w:p>
    <w:p w14:paraId="04F34701" w14:textId="77777777" w:rsidR="00AB2A77" w:rsidRPr="00006369" w:rsidRDefault="00000000">
      <w:pPr>
        <w:pStyle w:val="Heading1"/>
        <w:spacing w:before="40" w:after="120" w:line="259" w:lineRule="auto"/>
        <w:rPr>
          <w:lang w:val="fr-FR"/>
        </w:rPr>
      </w:pPr>
      <w:r w:rsidRPr="00006369">
        <w:rPr>
          <w:lang w:val="fr-FR"/>
        </w:rPr>
        <w:t>8. Common disorders</w:t>
      </w:r>
    </w:p>
    <w:p w14:paraId="03F7A9DD" w14:textId="77777777" w:rsidR="00AB2A77" w:rsidRPr="00006369" w:rsidRDefault="00000000">
      <w:pPr>
        <w:spacing w:after="70" w:line="259" w:lineRule="auto"/>
        <w:rPr>
          <w:lang w:val="fr-FR"/>
        </w:rPr>
      </w:pPr>
      <w:r w:rsidRPr="00006369">
        <w:rPr>
          <w:lang w:val="fr-FR"/>
        </w:rPr>
        <w:t>The term ‘gastritis’ encompasses a range of clinical entities, from functional disturbance to objectively demonstrable inflammation, and should therefore be used with appropriate qualification.</w:t>
      </w:r>
    </w:p>
    <w:p w14:paraId="4F3C351D" w14:textId="77777777" w:rsidR="00AB2A77" w:rsidRPr="00006369" w:rsidRDefault="00000000">
      <w:pPr>
        <w:spacing w:after="70" w:line="259" w:lineRule="auto"/>
        <w:rPr>
          <w:lang w:val="fr-FR"/>
        </w:rPr>
      </w:pPr>
      <w:r w:rsidRPr="00006369">
        <w:rPr>
          <w:lang w:val="fr-FR"/>
        </w:rPr>
        <w:t>There is no straightforward correlation between pain intensity and the severity of gastric disease.</w:t>
      </w:r>
    </w:p>
    <w:p w14:paraId="53CE6B5B" w14:textId="77777777" w:rsidR="00AB2A77" w:rsidRPr="00006369" w:rsidRDefault="00000000">
      <w:pPr>
        <w:spacing w:after="70" w:line="259" w:lineRule="auto"/>
        <w:rPr>
          <w:lang w:val="fr-FR"/>
        </w:rPr>
      </w:pPr>
      <w:r w:rsidRPr="00006369">
        <w:rPr>
          <w:lang w:val="fr-FR"/>
        </w:rPr>
        <w:t>As with other organs, functional disorders may share certain symptoms with early organic disease.</w:t>
      </w:r>
    </w:p>
    <w:p w14:paraId="30F96963" w14:textId="77777777" w:rsidR="00AB2A77" w:rsidRPr="00006369" w:rsidRDefault="00000000">
      <w:pPr>
        <w:spacing w:after="70" w:line="259" w:lineRule="auto"/>
        <w:rPr>
          <w:lang w:val="fr-FR"/>
        </w:rPr>
      </w:pPr>
      <w:r w:rsidRPr="00006369">
        <w:rPr>
          <w:lang w:val="fr-FR"/>
        </w:rPr>
        <w:t>Some gastric dysfunctions may be accompanied by hypochlorhydria, which can promote fermentation, heaviness, bloating, reflux, belching, nausea, dyspepsia or delayed emptying.</w:t>
      </w:r>
    </w:p>
    <w:p w14:paraId="6B4CC0F2" w14:textId="77777777" w:rsidR="00AB2A77" w:rsidRPr="00006369" w:rsidRDefault="00000000">
      <w:pPr>
        <w:spacing w:after="70" w:line="259" w:lineRule="auto"/>
        <w:rPr>
          <w:lang w:val="fr-FR"/>
        </w:rPr>
      </w:pPr>
      <w:r w:rsidRPr="00006369">
        <w:rPr>
          <w:lang w:val="fr-FR"/>
        </w:rPr>
        <w:t>These signs alone do not indicate ulceration or severe disease.</w:t>
      </w:r>
    </w:p>
    <w:p w14:paraId="7A92F6C7" w14:textId="77777777" w:rsidR="00AB2A77" w:rsidRPr="00006369" w:rsidRDefault="00000000">
      <w:pPr>
        <w:spacing w:after="70" w:line="259" w:lineRule="auto"/>
        <w:rPr>
          <w:lang w:val="fr-FR"/>
        </w:rPr>
      </w:pPr>
      <w:r w:rsidRPr="00006369">
        <w:rPr>
          <w:lang w:val="fr-FR"/>
        </w:rPr>
        <w:t>Back pain, often in the left interscapular region around T6–T9, may be osteoarticular in origin or occur in association with gastric symptoms.</w:t>
      </w:r>
    </w:p>
    <w:p w14:paraId="73121BAA" w14:textId="77777777" w:rsidR="00AB2A77" w:rsidRPr="00006369" w:rsidRDefault="00000000">
      <w:pPr>
        <w:spacing w:after="70" w:line="259" w:lineRule="auto"/>
        <w:rPr>
          <w:lang w:val="fr-FR"/>
        </w:rPr>
      </w:pPr>
      <w:r w:rsidRPr="00006369">
        <w:rPr>
          <w:lang w:val="fr-FR"/>
        </w:rPr>
        <w:t>An isolated symptom is not diagnostic.</w:t>
      </w:r>
    </w:p>
    <w:p w14:paraId="18BC2DD7" w14:textId="77777777" w:rsidR="00AB2A77" w:rsidRPr="00006369" w:rsidRDefault="00000000">
      <w:pPr>
        <w:spacing w:after="70" w:line="259" w:lineRule="auto"/>
        <w:rPr>
          <w:lang w:val="fr-FR"/>
        </w:rPr>
      </w:pPr>
      <w:r w:rsidRPr="00006369">
        <w:rPr>
          <w:lang w:val="fr-FR"/>
        </w:rPr>
        <w:t>Diagnosis is based on clinical examination and, where necessary, further investigations.</w:t>
      </w:r>
    </w:p>
    <w:p w14:paraId="063745EF" w14:textId="77777777" w:rsidR="00AB2A77" w:rsidRPr="00006369" w:rsidRDefault="00000000">
      <w:pPr>
        <w:spacing w:after="70" w:line="259" w:lineRule="auto"/>
        <w:rPr>
          <w:lang w:val="fr-FR"/>
        </w:rPr>
      </w:pPr>
      <w:r w:rsidRPr="00006369">
        <w:rPr>
          <w:lang w:val="fr-FR"/>
        </w:rPr>
        <w:t>It is essential to recognise red-flag features.</w:t>
      </w:r>
    </w:p>
    <w:p w14:paraId="1182977A" w14:textId="77777777" w:rsidR="00AB2A77" w:rsidRPr="00006369" w:rsidRDefault="00000000">
      <w:pPr>
        <w:pStyle w:val="Heading2"/>
        <w:spacing w:before="40" w:after="120" w:line="259" w:lineRule="auto"/>
        <w:rPr>
          <w:lang w:val="fr-FR"/>
        </w:rPr>
      </w:pPr>
      <w:r w:rsidRPr="00006369">
        <w:rPr>
          <w:lang w:val="fr-FR"/>
        </w:rPr>
        <w:t>8.1. Red flags requiring medical evaluation</w:t>
      </w:r>
    </w:p>
    <w:p w14:paraId="59F9D8E5" w14:textId="77777777" w:rsidR="00AB2A77" w:rsidRPr="00006369" w:rsidRDefault="00000000">
      <w:pPr>
        <w:pStyle w:val="ListBullet"/>
        <w:spacing w:after="70" w:line="259" w:lineRule="auto"/>
        <w:ind w:left="259" w:hanging="259"/>
        <w:rPr>
          <w:lang w:val="fr-FR"/>
        </w:rPr>
      </w:pPr>
      <w:r>
        <w:t>Rapid, unexplained weight loss.</w:t>
      </w:r>
    </w:p>
    <w:p w14:paraId="61029E29" w14:textId="77777777" w:rsidR="00AB2A77" w:rsidRPr="00006369" w:rsidRDefault="00000000">
      <w:pPr>
        <w:pStyle w:val="ListBullet"/>
        <w:spacing w:after="70" w:line="259" w:lineRule="auto"/>
        <w:ind w:left="259" w:hanging="259"/>
        <w:rPr>
          <w:lang w:val="fr-FR"/>
        </w:rPr>
      </w:pPr>
      <w:r>
        <w:t>Presence of an enlarged left supraclavicular (Troisier's) lymph node.</w:t>
      </w:r>
    </w:p>
    <w:p w14:paraId="3C7A63FC" w14:textId="77777777" w:rsidR="00AB2A77" w:rsidRPr="00006369" w:rsidRDefault="00000000">
      <w:pPr>
        <w:pStyle w:val="ListBullet"/>
        <w:spacing w:after="70" w:line="259" w:lineRule="auto"/>
        <w:ind w:left="259" w:hanging="259"/>
        <w:rPr>
          <w:lang w:val="fr-FR"/>
        </w:rPr>
      </w:pPr>
      <w:r>
        <w:t>Deep thoracoabdominal pain.</w:t>
      </w:r>
    </w:p>
    <w:p w14:paraId="3E5A9343" w14:textId="77777777" w:rsidR="00AB2A77" w:rsidRPr="00006369" w:rsidRDefault="00000000">
      <w:pPr>
        <w:pStyle w:val="ListBullet"/>
        <w:spacing w:after="70" w:line="259" w:lineRule="auto"/>
        <w:ind w:left="259" w:hanging="259"/>
        <w:rPr>
          <w:lang w:val="fr-FR"/>
        </w:rPr>
      </w:pPr>
      <w:r>
        <w:t>Fever.</w:t>
      </w:r>
    </w:p>
    <w:p w14:paraId="33D04D94" w14:textId="77777777" w:rsidR="00AB2A77" w:rsidRPr="00006369" w:rsidRDefault="00000000">
      <w:pPr>
        <w:pStyle w:val="ListBullet"/>
        <w:spacing w:after="70" w:line="259" w:lineRule="auto"/>
        <w:ind w:left="259" w:hanging="259"/>
        <w:rPr>
          <w:lang w:val="fr-FR"/>
        </w:rPr>
      </w:pPr>
      <w:r>
        <w:t>Haematemesis: vomiting of fresh red blood.</w:t>
      </w:r>
    </w:p>
    <w:p w14:paraId="593CF13E" w14:textId="77777777" w:rsidR="00AB2A77" w:rsidRPr="00006369" w:rsidRDefault="00000000">
      <w:pPr>
        <w:pStyle w:val="ListBullet"/>
        <w:spacing w:after="70" w:line="259" w:lineRule="auto"/>
        <w:ind w:left="259" w:hanging="259"/>
        <w:rPr>
          <w:lang w:val="fr-FR"/>
        </w:rPr>
      </w:pPr>
      <w:r>
        <w:t>Melaena: passage of black, digested blood with tarry stools, consistent with upper gastrointestinal bleeding.</w:t>
      </w:r>
    </w:p>
    <w:p w14:paraId="11FFC67F" w14:textId="77777777" w:rsidR="00AB2A77" w:rsidRPr="00006369" w:rsidRDefault="00000000">
      <w:pPr>
        <w:pStyle w:val="ListBullet"/>
        <w:spacing w:after="70" w:line="259" w:lineRule="auto"/>
        <w:ind w:left="259" w:hanging="259"/>
        <w:rPr>
          <w:lang w:val="fr-FR"/>
        </w:rPr>
      </w:pPr>
      <w:r>
        <w:t>Nocturnal or early-morning pain.</w:t>
      </w:r>
    </w:p>
    <w:p w14:paraId="1C6EA9FD" w14:textId="77777777" w:rsidR="00AB2A77" w:rsidRPr="00006369" w:rsidRDefault="00000000">
      <w:pPr>
        <w:pStyle w:val="Heading1"/>
        <w:spacing w:before="40" w:after="120" w:line="259" w:lineRule="auto"/>
        <w:rPr>
          <w:lang w:val="fr-FR"/>
        </w:rPr>
      </w:pPr>
      <w:r w:rsidRPr="00006369">
        <w:rPr>
          <w:lang w:val="fr-FR"/>
        </w:rPr>
        <w:t>9. Indications: functional disorders</w:t>
      </w:r>
    </w:p>
    <w:p w14:paraId="5C7C1D0F" w14:textId="77777777" w:rsidR="00AB2A77" w:rsidRPr="00006369" w:rsidRDefault="00000000">
      <w:pPr>
        <w:pStyle w:val="Heading2"/>
        <w:spacing w:before="40" w:after="120" w:line="259" w:lineRule="auto"/>
        <w:rPr>
          <w:lang w:val="fr-FR"/>
        </w:rPr>
      </w:pPr>
      <w:r w:rsidRPr="00006369">
        <w:rPr>
          <w:lang w:val="fr-FR"/>
        </w:rPr>
        <w:t>9.1. Uncomplicated gastralgia</w:t>
      </w:r>
    </w:p>
    <w:p w14:paraId="2073B399" w14:textId="77777777" w:rsidR="00AB2A77" w:rsidRPr="00006369" w:rsidRDefault="00000000">
      <w:pPr>
        <w:spacing w:after="70" w:line="259" w:lineRule="auto"/>
        <w:rPr>
          <w:lang w:val="fr-FR"/>
        </w:rPr>
      </w:pPr>
      <w:r w:rsidRPr="00006369">
        <w:rPr>
          <w:lang w:val="fr-FR"/>
        </w:rPr>
        <w:t>Uncomplicated gastralgia refers to gastric pain that is often associated with stress.</w:t>
      </w:r>
    </w:p>
    <w:p w14:paraId="11BDC4AF" w14:textId="77777777" w:rsidR="00AB2A77" w:rsidRPr="00006369" w:rsidRDefault="00000000">
      <w:pPr>
        <w:spacing w:after="70" w:line="259" w:lineRule="auto"/>
        <w:rPr>
          <w:lang w:val="fr-FR"/>
        </w:rPr>
      </w:pPr>
      <w:r w:rsidRPr="00006369">
        <w:rPr>
          <w:lang w:val="fr-FR"/>
        </w:rPr>
        <w:t>It may be accompanied by epigastric pain, difficult or slow digestion, bloating, heartburn, belching, dyspepsia or back pain.</w:t>
      </w:r>
    </w:p>
    <w:p w14:paraId="382F27B8" w14:textId="77777777" w:rsidR="00AB2A77" w:rsidRPr="00006369" w:rsidRDefault="00000000">
      <w:pPr>
        <w:pStyle w:val="Heading2"/>
        <w:spacing w:before="40" w:after="120" w:line="259" w:lineRule="auto"/>
        <w:rPr>
          <w:lang w:val="fr-FR"/>
        </w:rPr>
      </w:pPr>
      <w:r w:rsidRPr="00006369">
        <w:rPr>
          <w:lang w:val="fr-FR"/>
        </w:rPr>
        <w:t>9.2. Gastroparesis or gastric atony</w:t>
      </w:r>
    </w:p>
    <w:p w14:paraId="041395E3" w14:textId="77777777" w:rsidR="00AB2A77" w:rsidRPr="00006369" w:rsidRDefault="00000000">
      <w:pPr>
        <w:spacing w:after="70" w:line="259" w:lineRule="auto"/>
        <w:rPr>
          <w:lang w:val="fr-FR"/>
        </w:rPr>
      </w:pPr>
      <w:r w:rsidRPr="00006369">
        <w:rPr>
          <w:lang w:val="fr-FR"/>
        </w:rPr>
        <w:t>Gastroparesis is delayed gastric emptying.</w:t>
      </w:r>
    </w:p>
    <w:p w14:paraId="7E69E959" w14:textId="77777777" w:rsidR="00AB2A77" w:rsidRPr="00006369" w:rsidRDefault="00000000">
      <w:pPr>
        <w:spacing w:after="70" w:line="259" w:lineRule="auto"/>
        <w:rPr>
          <w:lang w:val="fr-FR"/>
        </w:rPr>
      </w:pPr>
      <w:r w:rsidRPr="00006369">
        <w:rPr>
          <w:lang w:val="fr-FR"/>
        </w:rPr>
        <w:t>In some cases, it may be related to impaired vagal control.</w:t>
      </w:r>
    </w:p>
    <w:p w14:paraId="4029EAE7" w14:textId="77777777" w:rsidR="00AB2A77" w:rsidRPr="00006369" w:rsidRDefault="00000000">
      <w:pPr>
        <w:spacing w:after="70" w:line="259" w:lineRule="auto"/>
        <w:rPr>
          <w:lang w:val="fr-FR"/>
        </w:rPr>
      </w:pPr>
      <w:r w:rsidRPr="00006369">
        <w:rPr>
          <w:lang w:val="fr-FR"/>
        </w:rPr>
        <w:t>Prolonged food stasis may promote microbial overgrowth and poor digestive tolerance.</w:t>
      </w:r>
    </w:p>
    <w:p w14:paraId="2325653B" w14:textId="77777777" w:rsidR="00AB2A77" w:rsidRPr="00006369" w:rsidRDefault="00000000">
      <w:pPr>
        <w:spacing w:after="70" w:line="259" w:lineRule="auto"/>
        <w:rPr>
          <w:lang w:val="fr-FR"/>
        </w:rPr>
      </w:pPr>
      <w:r w:rsidRPr="00006369">
        <w:rPr>
          <w:lang w:val="fr-FR"/>
        </w:rPr>
        <w:t>It may be aggravated by certain medications, notably anti-inflammatory drugs and antibiotics.</w:t>
      </w:r>
    </w:p>
    <w:p w14:paraId="6CA93C95" w14:textId="77777777" w:rsidR="00AB2A77" w:rsidRPr="00006369" w:rsidRDefault="00000000">
      <w:pPr>
        <w:spacing w:after="70" w:line="259" w:lineRule="auto"/>
        <w:rPr>
          <w:lang w:val="fr-FR"/>
        </w:rPr>
      </w:pPr>
      <w:r w:rsidRPr="00006369">
        <w:rPr>
          <w:lang w:val="fr-FR"/>
        </w:rPr>
        <w:t>The symptoms resemble those of uncomplicated gastralgia, with a sensation of fullness, abdominal heaviness and poor tolerance of tight clothing.</w:t>
      </w:r>
    </w:p>
    <w:p w14:paraId="33860A27" w14:textId="77777777" w:rsidR="00AB2A77" w:rsidRPr="00006369" w:rsidRDefault="00000000">
      <w:pPr>
        <w:pStyle w:val="Heading2"/>
        <w:spacing w:before="40" w:after="120" w:line="259" w:lineRule="auto"/>
        <w:rPr>
          <w:lang w:val="fr-FR"/>
        </w:rPr>
      </w:pPr>
      <w:r w:rsidRPr="00006369">
        <w:rPr>
          <w:lang w:val="fr-FR"/>
        </w:rPr>
        <w:t>9.3. Gastritis</w:t>
      </w:r>
    </w:p>
    <w:p w14:paraId="384054E8" w14:textId="77777777" w:rsidR="00AB2A77" w:rsidRPr="00006369" w:rsidRDefault="00000000">
      <w:pPr>
        <w:spacing w:after="70" w:line="259" w:lineRule="auto"/>
        <w:rPr>
          <w:lang w:val="fr-FR"/>
        </w:rPr>
      </w:pPr>
      <w:r w:rsidRPr="00006369">
        <w:rPr>
          <w:lang w:val="fr-FR"/>
        </w:rPr>
        <w:t>Gastritis is an inflammatory disorder of the gastric mucosa.</w:t>
      </w:r>
    </w:p>
    <w:p w14:paraId="170620D9" w14:textId="77777777" w:rsidR="00AB2A77" w:rsidRPr="00006369" w:rsidRDefault="00000000">
      <w:pPr>
        <w:spacing w:after="70" w:line="259" w:lineRule="auto"/>
        <w:rPr>
          <w:lang w:val="fr-FR"/>
        </w:rPr>
      </w:pPr>
      <w:r w:rsidRPr="00006369">
        <w:rPr>
          <w:lang w:val="fr-FR"/>
        </w:rPr>
        <w:t>Depending on the case, it may be accompanied by oedema, epithelial damage and glandular changes.</w:t>
      </w:r>
    </w:p>
    <w:p w14:paraId="6126F321" w14:textId="77777777" w:rsidR="00AB2A77" w:rsidRPr="00006369" w:rsidRDefault="00000000">
      <w:pPr>
        <w:pStyle w:val="Heading3"/>
        <w:spacing w:before="40" w:after="120" w:line="259" w:lineRule="auto"/>
        <w:rPr>
          <w:lang w:val="fr-FR"/>
        </w:rPr>
      </w:pPr>
      <w:r w:rsidRPr="00006369">
        <w:rPr>
          <w:lang w:val="fr-FR"/>
        </w:rPr>
        <w:t>9.3.1. Aetiology</w:t>
      </w:r>
    </w:p>
    <w:p w14:paraId="2E4A3213" w14:textId="77777777" w:rsidR="00AB2A77" w:rsidRPr="00006369" w:rsidRDefault="00000000">
      <w:pPr>
        <w:pStyle w:val="ListBullet"/>
        <w:spacing w:after="70" w:line="259" w:lineRule="auto"/>
        <w:ind w:left="259" w:hanging="259"/>
        <w:rPr>
          <w:lang w:val="fr-FR"/>
        </w:rPr>
      </w:pPr>
      <w:r>
        <w:t>Excessive alcohol consumption.</w:t>
      </w:r>
    </w:p>
    <w:p w14:paraId="6F6FCAC2" w14:textId="77777777" w:rsidR="00AB2A77" w:rsidRPr="00006369" w:rsidRDefault="00000000">
      <w:pPr>
        <w:pStyle w:val="ListBullet"/>
        <w:spacing w:after="70" w:line="259" w:lineRule="auto"/>
        <w:ind w:left="259" w:hanging="259"/>
        <w:rPr>
          <w:lang w:val="fr-FR"/>
        </w:rPr>
      </w:pPr>
      <w:r>
        <w:t>Prolonged use of anti-inflammatory drugs, including aspirin.</w:t>
      </w:r>
    </w:p>
    <w:p w14:paraId="2EC255BC" w14:textId="77777777" w:rsidR="00AB2A77" w:rsidRPr="00006369" w:rsidRDefault="00000000">
      <w:pPr>
        <w:pStyle w:val="ListBullet"/>
        <w:spacing w:after="70" w:line="259" w:lineRule="auto"/>
        <w:ind w:left="259" w:hanging="259"/>
        <w:rPr>
          <w:lang w:val="fr-FR"/>
        </w:rPr>
      </w:pPr>
      <w:r>
        <w:t>Initial infection with Helicobacter pylori.</w:t>
      </w:r>
    </w:p>
    <w:p w14:paraId="705FDE71" w14:textId="77777777" w:rsidR="00AB2A77" w:rsidRPr="00006369" w:rsidRDefault="00000000">
      <w:pPr>
        <w:pStyle w:val="ListBullet"/>
        <w:spacing w:after="70" w:line="259" w:lineRule="auto"/>
        <w:ind w:left="259" w:hanging="259"/>
        <w:rPr>
          <w:lang w:val="fr-FR"/>
        </w:rPr>
      </w:pPr>
      <w:r>
        <w:t>Bacterial gingival or dental infection.</w:t>
      </w:r>
    </w:p>
    <w:p w14:paraId="28E58A64" w14:textId="77777777" w:rsidR="00AB2A77" w:rsidRPr="00006369" w:rsidRDefault="00000000">
      <w:pPr>
        <w:pStyle w:val="ListBullet"/>
        <w:spacing w:after="70" w:line="259" w:lineRule="auto"/>
        <w:ind w:left="259" w:hanging="259"/>
        <w:rPr>
          <w:lang w:val="fr-FR"/>
        </w:rPr>
      </w:pPr>
      <w:r>
        <w:t>Food allergies or intolerances.</w:t>
      </w:r>
    </w:p>
    <w:p w14:paraId="08FAE331" w14:textId="77777777" w:rsidR="00AB2A77" w:rsidRPr="00006369" w:rsidRDefault="00000000">
      <w:pPr>
        <w:pStyle w:val="ListBullet"/>
        <w:spacing w:after="70" w:line="259" w:lineRule="auto"/>
        <w:ind w:left="259" w:hanging="259"/>
        <w:rPr>
          <w:lang w:val="fr-FR"/>
        </w:rPr>
      </w:pPr>
      <w:r>
        <w:t>Autoimmune diseases.</w:t>
      </w:r>
    </w:p>
    <w:p w14:paraId="1BEA7F82" w14:textId="77777777" w:rsidR="00AB2A77" w:rsidRPr="00006369" w:rsidRDefault="00000000">
      <w:pPr>
        <w:pStyle w:val="ListBullet"/>
        <w:spacing w:after="70" w:line="259" w:lineRule="auto"/>
        <w:ind w:left="259" w:hanging="259"/>
        <w:rPr>
          <w:lang w:val="fr-FR"/>
        </w:rPr>
      </w:pPr>
      <w:r>
        <w:t>Vitamin deficiencies or other nutritional deficiencies.</w:t>
      </w:r>
    </w:p>
    <w:p w14:paraId="0E2A5441" w14:textId="77777777" w:rsidR="00AB2A77" w:rsidRPr="00006369" w:rsidRDefault="00000000">
      <w:pPr>
        <w:pStyle w:val="Heading2"/>
        <w:spacing w:before="40" w:after="120" w:line="259" w:lineRule="auto"/>
        <w:rPr>
          <w:lang w:val="fr-FR"/>
        </w:rPr>
      </w:pPr>
      <w:r w:rsidRPr="00006369">
        <w:rPr>
          <w:lang w:val="fr-FR"/>
        </w:rPr>
        <w:t>9.4. Gastro-oesophageal reflux and hiatal hernia</w:t>
      </w:r>
    </w:p>
    <w:p w14:paraId="08EEF3AB" w14:textId="77777777" w:rsidR="00AB2A77" w:rsidRPr="00006369" w:rsidRDefault="00000000">
      <w:pPr>
        <w:spacing w:after="70" w:line="259" w:lineRule="auto"/>
        <w:rPr>
          <w:lang w:val="fr-FR"/>
        </w:rPr>
      </w:pPr>
      <w:r>
        <w:t>See Chapter 8 — Diaphragm.</w:t>
      </w:r>
    </w:p>
    <w:p w14:paraId="5206A77C" w14:textId="77777777" w:rsidR="00AB2A77" w:rsidRPr="00006369" w:rsidRDefault="00000000">
      <w:pPr>
        <w:pStyle w:val="Heading2"/>
        <w:spacing w:before="40" w:after="120" w:line="259" w:lineRule="auto"/>
        <w:rPr>
          <w:lang w:val="fr-FR"/>
        </w:rPr>
      </w:pPr>
      <w:r w:rsidRPr="00006369">
        <w:rPr>
          <w:lang w:val="fr-FR"/>
        </w:rPr>
        <w:t>9.5. Iron deficiency</w:t>
      </w:r>
    </w:p>
    <w:p w14:paraId="64541B02" w14:textId="77777777" w:rsidR="00AB2A77" w:rsidRPr="00006369" w:rsidRDefault="00000000">
      <w:pPr>
        <w:spacing w:after="70" w:line="259" w:lineRule="auto"/>
        <w:rPr>
          <w:lang w:val="fr-FR"/>
        </w:rPr>
      </w:pPr>
      <w:r w:rsidRPr="00006369">
        <w:rPr>
          <w:lang w:val="fr-FR"/>
        </w:rPr>
        <w:t>Iron deficiency denotes insufficient iron stores.</w:t>
      </w:r>
    </w:p>
    <w:p w14:paraId="099D0933" w14:textId="77777777" w:rsidR="00AB2A77" w:rsidRPr="00006369" w:rsidRDefault="00000000">
      <w:pPr>
        <w:spacing w:after="70" w:line="259" w:lineRule="auto"/>
        <w:rPr>
          <w:lang w:val="fr-FR"/>
        </w:rPr>
      </w:pPr>
      <w:r w:rsidRPr="00006369">
        <w:rPr>
          <w:lang w:val="fr-FR"/>
        </w:rPr>
        <w:t>Gastric acidity promotes the solubilisation and absorption of dietary iron.</w:t>
      </w:r>
    </w:p>
    <w:p w14:paraId="6876AB76" w14:textId="77777777" w:rsidR="00AB2A77" w:rsidRPr="00006369" w:rsidRDefault="00000000">
      <w:pPr>
        <w:spacing w:after="70" w:line="259" w:lineRule="auto"/>
        <w:rPr>
          <w:lang w:val="fr-FR"/>
        </w:rPr>
      </w:pPr>
      <w:r w:rsidRPr="00006369">
        <w:rPr>
          <w:lang w:val="fr-FR"/>
        </w:rPr>
        <w:t>Hypochlorhydria, sometimes encountered in certain forms of gastritis or gastroparesis, may impair this absorption.</w:t>
      </w:r>
    </w:p>
    <w:p w14:paraId="2B9CC814" w14:textId="77777777" w:rsidR="00AB2A77" w:rsidRPr="00006369" w:rsidRDefault="00000000">
      <w:pPr>
        <w:spacing w:after="70" w:line="259" w:lineRule="auto"/>
        <w:rPr>
          <w:lang w:val="fr-FR"/>
        </w:rPr>
      </w:pPr>
      <w:r w:rsidRPr="00006369">
        <w:rPr>
          <w:lang w:val="fr-FR"/>
        </w:rPr>
        <w:t>Iron deficiency has multiple causes.</w:t>
      </w:r>
    </w:p>
    <w:p w14:paraId="38B4648F" w14:textId="77777777" w:rsidR="00AB2A77" w:rsidRPr="00006369" w:rsidRDefault="00000000">
      <w:pPr>
        <w:pStyle w:val="ListBullet"/>
        <w:spacing w:after="70" w:line="259" w:lineRule="auto"/>
        <w:ind w:left="259" w:hanging="259"/>
        <w:rPr>
          <w:lang w:val="fr-FR"/>
        </w:rPr>
      </w:pPr>
      <w:r>
        <w:t>Abnormal uterine bleeding.</w:t>
      </w:r>
    </w:p>
    <w:p w14:paraId="38B4648F" w14:textId="77777777" w:rsidR="00AB2A77" w:rsidRPr="00006369" w:rsidRDefault="00000000">
      <w:pPr>
        <w:pStyle w:val="ListBullet"/>
        <w:spacing w:after="70" w:line="259" w:lineRule="auto"/>
        <w:ind w:left="259" w:hanging="259"/>
        <w:rPr>
          <w:lang w:val="fr-FR"/>
        </w:rPr>
      </w:pPr>
      <w:r>
        <w:t>Heavy or prolonged menstrual bleeding.</w:t>
      </w:r>
    </w:p>
    <w:p w14:paraId="5A3841BB" w14:textId="77777777" w:rsidR="00AB2A77" w:rsidRPr="00006369" w:rsidRDefault="00000000">
      <w:pPr>
        <w:pStyle w:val="ListBullet"/>
        <w:spacing w:after="70" w:line="259" w:lineRule="auto"/>
        <w:ind w:left="259" w:hanging="259"/>
        <w:rPr>
          <w:lang w:val="fr-FR"/>
        </w:rPr>
      </w:pPr>
      <w:r>
        <w:t>Gastrointestinal bleeding.</w:t>
      </w:r>
    </w:p>
    <w:p w14:paraId="3B3E7BE0" w14:textId="77777777" w:rsidR="00AB2A77" w:rsidRPr="00006369" w:rsidRDefault="00000000">
      <w:pPr>
        <w:pStyle w:val="ListBullet"/>
        <w:spacing w:after="70" w:line="259" w:lineRule="auto"/>
        <w:ind w:left="259" w:hanging="259"/>
        <w:rPr>
          <w:lang w:val="fr-FR"/>
        </w:rPr>
      </w:pPr>
      <w:r>
        <w:t>Inadequate dietary iron intake.</w:t>
      </w:r>
    </w:p>
    <w:p w14:paraId="67230B27" w14:textId="77777777" w:rsidR="00AB2A77" w:rsidRPr="00006369" w:rsidRDefault="00000000">
      <w:pPr>
        <w:pStyle w:val="ListBullet"/>
        <w:spacing w:after="70" w:line="259" w:lineRule="auto"/>
        <w:ind w:left="259" w:hanging="259"/>
        <w:rPr>
          <w:lang w:val="fr-FR"/>
        </w:rPr>
      </w:pPr>
      <w:r>
        <w:t>Pregnancy.</w:t>
      </w:r>
    </w:p>
    <w:p w14:paraId="466FBBA6" w14:textId="77777777" w:rsidR="00AB2A77" w:rsidRPr="00006369" w:rsidRDefault="00000000">
      <w:pPr>
        <w:pStyle w:val="ListBullet"/>
        <w:spacing w:after="70" w:line="259" w:lineRule="auto"/>
        <w:ind w:left="259" w:hanging="259"/>
        <w:rPr>
          <w:lang w:val="fr-FR"/>
        </w:rPr>
      </w:pPr>
      <w:r>
        <w:t>Intense physical activity.</w:t>
      </w:r>
    </w:p>
    <w:p w14:paraId="477E9909" w14:textId="77777777" w:rsidR="00AB2A77" w:rsidRPr="00006369" w:rsidRDefault="00000000">
      <w:pPr>
        <w:spacing w:after="70" w:line="259" w:lineRule="auto"/>
        <w:rPr>
          <w:lang w:val="fr-FR"/>
        </w:rPr>
      </w:pPr>
      <w:r w:rsidRPr="00006369">
        <w:rPr>
          <w:lang w:val="fr-FR"/>
        </w:rPr>
        <w:t>Iron requirements are particularly high in children, adolescents and pregnant women.</w:t>
      </w:r>
    </w:p>
    <w:p w14:paraId="5EC1BDEB" w14:textId="77777777" w:rsidR="00AB2A77" w:rsidRPr="00006369" w:rsidRDefault="00000000">
      <w:pPr>
        <w:pStyle w:val="Heading2"/>
        <w:spacing w:before="40" w:after="120" w:line="259" w:lineRule="auto"/>
        <w:rPr>
          <w:lang w:val="fr-FR"/>
        </w:rPr>
      </w:pPr>
      <w:r w:rsidRPr="00006369">
        <w:rPr>
          <w:lang w:val="fr-FR"/>
        </w:rPr>
        <w:t>Relevance to ROP</w:t>
      </w:r>
    </w:p>
    <w:p w14:paraId="499FBD6F" w14:textId="77777777" w:rsidR="00AB2A77" w:rsidRPr="00006369" w:rsidRDefault="00000000">
      <w:pPr>
        <w:spacing w:after="70" w:line="259" w:lineRule="auto"/>
        <w:rPr>
          <w:lang w:val="fr-FR"/>
        </w:rPr>
      </w:pPr>
      <w:r w:rsidRPr="00006369">
        <w:rPr>
          <w:lang w:val="fr-FR"/>
        </w:rPr>
        <w:t>In the absence of contraindications, ROP treatment of iron-deficiency anaemia targets the stomach, notably to support the absorption of dietary iron, as well as the liver and spleen because of their roles in iron storage and handling.</w:t>
      </w:r>
    </w:p>
    <w:p w14:paraId="103315BB" w14:textId="77777777" w:rsidR="00AB2A77" w:rsidRPr="00006369" w:rsidRDefault="00000000">
      <w:pPr>
        <w:pStyle w:val="Heading2"/>
        <w:spacing w:before="40" w:after="120" w:line="259" w:lineRule="auto"/>
        <w:rPr>
          <w:lang w:val="fr-FR"/>
        </w:rPr>
      </w:pPr>
      <w:r w:rsidRPr="00006369">
        <w:rPr>
          <w:lang w:val="fr-FR"/>
        </w:rPr>
        <w:t>9.6. Pylorospasm</w:t>
      </w:r>
    </w:p>
    <w:p w14:paraId="12D56893" w14:textId="77777777" w:rsidR="00AB2A77" w:rsidRPr="00006369" w:rsidRDefault="00000000">
      <w:pPr>
        <w:spacing w:after="70" w:line="259" w:lineRule="auto"/>
        <w:rPr>
          <w:lang w:val="fr-FR"/>
        </w:rPr>
      </w:pPr>
      <w:r w:rsidRPr="00006369">
        <w:rPr>
          <w:lang w:val="fr-FR"/>
        </w:rPr>
        <w:t>Pylorospasm must be distinguished from pyloric stenosis, which requires surgical management.</w:t>
      </w:r>
    </w:p>
    <w:p w14:paraId="20198760" w14:textId="77777777" w:rsidR="00AB2A77" w:rsidRPr="00006369" w:rsidRDefault="00000000">
      <w:pPr>
        <w:spacing w:after="70" w:line="259" w:lineRule="auto"/>
        <w:rPr>
          <w:lang w:val="fr-FR"/>
        </w:rPr>
      </w:pPr>
      <w:r w:rsidRPr="00006369">
        <w:rPr>
          <w:lang w:val="fr-FR"/>
        </w:rPr>
        <w:t>It is a functional difficulty in pyloric relaxation that may impede gastric emptying.</w:t>
      </w:r>
    </w:p>
    <w:p w14:paraId="0E6B3BA7" w14:textId="77777777" w:rsidR="00AB2A77" w:rsidRPr="00006369" w:rsidRDefault="00000000">
      <w:pPr>
        <w:spacing w:after="70" w:line="259" w:lineRule="auto"/>
        <w:rPr>
          <w:lang w:val="fr-FR"/>
        </w:rPr>
      </w:pPr>
      <w:r w:rsidRPr="00006369">
        <w:rPr>
          <w:lang w:val="fr-FR"/>
        </w:rPr>
        <w:t>In infants, it may be accompanied by postprandial vomiting or regurgitation, discomfort, crying and persistent hunger.</w:t>
      </w:r>
    </w:p>
    <w:p w14:paraId="42DC3DF9" w14:textId="77777777" w:rsidR="00AB2A77" w:rsidRPr="00006369" w:rsidRDefault="00000000">
      <w:pPr>
        <w:spacing w:after="70" w:line="259" w:lineRule="auto"/>
        <w:rPr>
          <w:lang w:val="fr-FR"/>
        </w:rPr>
      </w:pPr>
      <w:r w:rsidRPr="00006369">
        <w:rPr>
          <w:lang w:val="fr-FR"/>
        </w:rPr>
        <w:t>Its aetiology remains debated.</w:t>
      </w:r>
    </w:p>
    <w:p w14:paraId="16425E2A" w14:textId="77777777" w:rsidR="00AB2A77" w:rsidRPr="00006369" w:rsidRDefault="00000000">
      <w:pPr>
        <w:spacing w:after="70" w:line="259" w:lineRule="auto"/>
        <w:rPr>
          <w:lang w:val="fr-FR"/>
        </w:rPr>
      </w:pPr>
      <w:r w:rsidRPr="00006369">
        <w:rPr>
          <w:lang w:val="fr-FR"/>
        </w:rPr>
        <w:t>Immaturity of vagal regulation is sometimes proposed.</w:t>
      </w:r>
    </w:p>
    <w:p w14:paraId="0B232988" w14:textId="77777777" w:rsidR="00AB2A77" w:rsidRPr="00006369" w:rsidRDefault="00000000">
      <w:pPr>
        <w:pStyle w:val="Heading1"/>
        <w:keepNext/>
        <w:spacing w:before="40" w:after="120" w:line="259" w:lineRule="auto"/>
        <w:rPr>
          <w:lang w:val="fr-FR"/>
        </w:rPr>
      </w:pPr>
      <w:r w:rsidRPr="00006369">
        <w:rPr>
          <w:lang w:val="fr-FR"/>
        </w:rPr>
        <w:t>10. Viscerosomatic relationships</w:t>
      </w:r>
    </w:p>
    <w:p w14:paraId="5EFD09B1" w14:textId="77777777" w:rsidR="00AB2A77" w:rsidRPr="00006369" w:rsidRDefault="00000000">
      <w:pPr>
        <w:pStyle w:val="ListBullet"/>
        <w:keepNext/>
        <w:spacing w:after="70" w:line="259" w:lineRule="auto"/>
        <w:ind w:left="259" w:hanging="259"/>
        <w:rPr>
          <w:lang w:val="fr-FR"/>
        </w:rPr>
      </w:pPr>
      <w:r>
        <w:t>Costovertebral back pain at the left sixth and seventh thoracic vertebrae.</w:t>
      </w:r>
    </w:p>
    <w:p w14:paraId="2C69A97D" w14:textId="77777777" w:rsidR="00AB2A77" w:rsidRPr="00006369" w:rsidRDefault="00000000">
      <w:pPr>
        <w:pStyle w:val="ListBullet"/>
        <w:keepNext/>
        <w:spacing w:after="70" w:line="259" w:lineRule="auto"/>
        <w:ind w:left="259" w:hanging="259"/>
        <w:rPr>
          <w:lang w:val="fr-FR"/>
        </w:rPr>
      </w:pPr>
      <w:r>
        <w:t>Left-sided neck pain and left cervicobrachial neuralgia.</w:t>
      </w:r>
    </w:p>
    <w:p w14:paraId="6C97E03F" w14:textId="77777777" w:rsidR="00AB2A77" w:rsidRPr="00006369" w:rsidRDefault="00000000">
      <w:pPr>
        <w:pStyle w:val="ListBullet"/>
        <w:keepNext/>
        <w:spacing w:after="70" w:line="259" w:lineRule="auto"/>
        <w:ind w:left="259" w:hanging="259"/>
        <w:rPr>
          <w:lang w:val="fr-FR"/>
        </w:rPr>
      </w:pPr>
      <w:r>
        <w:t>Left shoulder pain.</w:t>
      </w:r>
    </w:p>
    <w:p w14:paraId="1982C7CD" w14:textId="77777777" w:rsidR="00AB2A77" w:rsidRPr="00006369" w:rsidRDefault="00000000">
      <w:pPr>
        <w:pStyle w:val="ListBullet"/>
        <w:keepNext w:val="0"/>
        <w:spacing w:after="70" w:line="259" w:lineRule="auto"/>
        <w:ind w:left="259" w:hanging="259"/>
        <w:rPr>
          <w:lang w:val="fr-FR"/>
        </w:rPr>
      </w:pPr>
      <w:r>
        <w:t>Cervicobrachial neuralgias.</w:t>
      </w:r>
    </w:p>
    <w:p w14:paraId="4937C123" w14:textId="77777777" w:rsidR="00AB2A77" w:rsidRPr="00006369" w:rsidRDefault="00000000">
      <w:pPr>
        <w:pStyle w:val="Heading1"/>
        <w:spacing w:before="40" w:after="120" w:line="259" w:lineRule="auto"/>
        <w:rPr>
          <w:lang w:val="fr-FR"/>
        </w:rPr>
      </w:pPr>
      <w:r>
        <w:t>11. Visceral–emotional relationships</w:t>
      </w:r>
    </w:p>
    <w:p w14:paraId="7AF9485C" w14:textId="77777777" w:rsidR="00AB2A77" w:rsidRPr="00006369" w:rsidRDefault="00000000">
      <w:pPr>
        <w:rPr>
          <w:lang w:val="fr-FR"/>
        </w:rPr>
      </w:pPr>
      <w:r>
        <w:t>In the visceral–emotional interpretation specific to ROP, the stomach is associated with the ‘social self’: outward appearance and the place occupied within a group, family, workplace or hierarchy.</w:t>
      </w:r>
    </w:p>
    <w:p w14:paraId="4859D9CC" w14:textId="3ED5049D" w:rsidR="00AB2A77" w:rsidRPr="00006369" w:rsidRDefault="00000000">
      <w:pPr>
        <w:rPr>
          <w:lang w:val="fr-FR"/>
        </w:rPr>
      </w:pPr>
      <w:r w:rsidRPr="00006369">
        <w:rPr>
          <w:lang w:val="fr-FR"/>
        </w:rPr>
        <w:t>Within this symbolic framework, particular attention is given to issues of recognition, self-worth and social standing and, depending on the patient's history, the relationship with the father figure. The expression ‘to have the stomach for something’ symbolically evokes determination and courage.</w:t>
      </w:r>
      <w:r w:rsidR="00D56128">
        <w:rPr>
          <w:lang w:val="fr-FR"/>
        </w:rPr>
      </w:r>
      <w:r w:rsidRPr="00006369">
        <w:rPr>
          <w:lang w:val="fr-FR"/>
        </w:rPr>
      </w:r>
    </w:p>
    <w:p w14:paraId="76C1BA23" w14:textId="6928B7F2" w:rsidR="00AB2A77" w:rsidRPr="00006369" w:rsidRDefault="00000000">
      <w:pPr>
        <w:rPr>
          <w:lang w:val="fr-FR"/>
        </w:rPr>
      </w:pPr>
      <w:r w:rsidRPr="00006369">
        <w:rPr>
          <w:lang w:val="fr-FR"/>
        </w:rPr>
        <w:t>Two polarities are traditionally described within this framework:</w:t>
      </w:r>
      <w:r w:rsidR="00CE3AC7">
        <w:rPr>
          <w:lang w:val="fr-FR"/>
        </w:rPr>
      </w:r>
      <w:r w:rsidRPr="00006369">
        <w:rPr>
          <w:lang w:val="fr-FR"/>
        </w:rPr>
      </w:r>
    </w:p>
    <w:p w14:paraId="010EBD24" w14:textId="77777777" w:rsidR="00AB2A77" w:rsidRPr="00006369" w:rsidRDefault="00000000">
      <w:pPr>
        <w:rPr>
          <w:lang w:val="fr-FR"/>
        </w:rPr>
      </w:pPr>
      <w:r w:rsidRPr="00006369">
        <w:rPr>
          <w:b/>
          <w:lang w:val="fr-FR"/>
        </w:rPr>
        <w:t>Overvaluation. This may manifest as an overestimation of oneself, a strong need for recognition, poor tolerance of criticism, a demonstrative or domineering attitude, impulsive anger or fear of failure. In this polarity, the pursuit of success, seduction or social recognition may occupy an important place.</w:t>
      </w:r>
      <w:r w:rsidRPr="00006369">
        <w:rPr>
          <w:lang w:val="fr-FR"/>
        </w:rPr>
      </w:r>
    </w:p>
    <w:p w14:paraId="2D7ABB43" w14:textId="77777777" w:rsidR="00AB2A77" w:rsidRPr="00006369" w:rsidRDefault="00000000">
      <w:pPr>
        <w:rPr>
          <w:lang w:val="fr-FR"/>
        </w:rPr>
      </w:pPr>
      <w:r w:rsidRPr="00006369">
        <w:rPr>
          <w:b/>
          <w:lang w:val="fr-FR"/>
        </w:rPr>
        <w:t>Undervaluation. Conversely, this may be associated with low self-confidence, withdrawal, self-deprecation, frustrations that are difficult to express, unspoken resentment or repeated experiences of subordination.</w:t>
      </w:r>
      <w:r w:rsidRPr="00006369">
        <w:rPr>
          <w:lang w:val="fr-FR"/>
        </w:rPr>
      </w:r>
    </w:p>
    <w:p w14:paraId="2BF3A80E" w14:textId="77777777" w:rsidR="00AB2A77" w:rsidRPr="00006369" w:rsidRDefault="00000000">
      <w:pPr>
        <w:pStyle w:val="Heading1"/>
        <w:spacing w:before="40" w:after="120" w:line="259" w:lineRule="auto"/>
        <w:rPr>
          <w:lang w:val="fr-FR"/>
        </w:rPr>
      </w:pPr>
      <w:r w:rsidRPr="00006369">
        <w:rPr>
          <w:lang w:val="fr-FR"/>
        </w:rPr>
        <w:t>12. Advice</w:t>
      </w:r>
    </w:p>
    <w:p w14:paraId="3D82DE87" w14:textId="77777777" w:rsidR="00AB2A77" w:rsidRPr="00006369" w:rsidRDefault="00000000">
      <w:pPr>
        <w:spacing w:after="70" w:line="259" w:lineRule="auto"/>
        <w:rPr>
          <w:lang w:val="fr-FR"/>
        </w:rPr>
      </w:pPr>
      <w:r w:rsidRPr="00006369">
        <w:rPr>
          <w:lang w:val="fr-FR"/>
        </w:rPr>
        <w:t>Gastric acidity is necessary for digestion.</w:t>
      </w:r>
    </w:p>
    <w:p w14:paraId="609FB8C8" w14:textId="77777777" w:rsidR="00AB2A77" w:rsidRPr="00006369" w:rsidRDefault="00000000">
      <w:pPr>
        <w:spacing w:after="70" w:line="259" w:lineRule="auto"/>
        <w:rPr>
          <w:lang w:val="fr-FR"/>
        </w:rPr>
      </w:pPr>
      <w:r w:rsidRPr="00006369">
        <w:rPr>
          <w:lang w:val="fr-FR"/>
        </w:rPr>
        <w:t>Repeated consumption of foods or drinks intended to ‘soothe’ heartburn, such as milk, may provide temporary relief without addressing the underlying cause.</w:t>
      </w:r>
    </w:p>
    <w:p w14:paraId="6A80C564" w14:textId="77777777" w:rsidR="00AB2A77" w:rsidRPr="00006369" w:rsidRDefault="00000000">
      <w:pPr>
        <w:spacing w:after="70" w:line="259" w:lineRule="auto"/>
        <w:rPr>
          <w:lang w:val="fr-FR"/>
        </w:rPr>
      </w:pPr>
      <w:r w:rsidRPr="00006369">
        <w:rPr>
          <w:lang w:val="fr-FR"/>
        </w:rPr>
        <w:t>Longer-term effects on downstream digestive function cannot be generalised without considering the clinical context.</w:t>
      </w:r>
    </w:p>
    <w:p w14:paraId="69218D61" w14:textId="77777777" w:rsidR="00AB2A77" w:rsidRPr="00006369" w:rsidRDefault="00000000">
      <w:pPr>
        <w:spacing w:after="70" w:line="259" w:lineRule="auto"/>
        <w:rPr>
          <w:lang w:val="fr-FR"/>
        </w:rPr>
      </w:pPr>
      <w:r w:rsidRPr="00006369">
        <w:rPr>
          <w:lang w:val="fr-FR"/>
        </w:rPr>
        <w:t>Foods and drinks that may worsen symptoms in some patients include citrus fruits, high-sugar products, certain acidic beverages and alcohol.</w:t>
      </w:r>
    </w:p>
    <w:p w14:paraId="4739AC56" w14:textId="77777777" w:rsidR="00AB2A77" w:rsidRPr="00006369" w:rsidRDefault="00000000">
      <w:pPr>
        <w:spacing w:after="70" w:line="259" w:lineRule="auto"/>
        <w:rPr>
          <w:lang w:val="fr-FR"/>
        </w:rPr>
      </w:pPr>
      <w:r w:rsidRPr="00006369">
        <w:rPr>
          <w:lang w:val="fr-FR"/>
        </w:rPr>
        <w:t>Very cold drinks should generally be avoided if they exacerbate symptoms.</w:t>
      </w:r>
    </w:p>
    <w:p w14:paraId="0A9540E1" w14:textId="77777777" w:rsidR="00AB2A77" w:rsidRPr="00006369" w:rsidRDefault="00000000">
      <w:pPr>
        <w:spacing w:after="70" w:line="259" w:lineRule="auto"/>
        <w:rPr>
          <w:lang w:val="fr-FR"/>
        </w:rPr>
      </w:pPr>
      <w:r w:rsidRPr="00006369">
        <w:rPr>
          <w:lang w:val="fr-FR"/>
        </w:rPr>
        <w:t>Room-temperature water may be better tolerated.</w:t>
      </w:r>
    </w:p>
    <w:p w14:paraId="1AE69EDA" w14:textId="77777777" w:rsidR="00AB2A77" w:rsidRPr="00006369" w:rsidRDefault="00000000">
      <w:pPr>
        <w:spacing w:after="70" w:line="259" w:lineRule="auto"/>
        <w:rPr>
          <w:lang w:val="fr-FR"/>
        </w:rPr>
      </w:pPr>
      <w:r w:rsidRPr="00006369">
        <w:rPr>
          <w:lang w:val="fr-FR"/>
        </w:rPr>
        <w:t>The recommendation to drink water with added lemon juice is based more on empirical advice than on an established mechanism.</w:t>
      </w:r>
    </w:p>
    <w:p w14:paraId="1C68E3FE" w14:textId="77777777" w:rsidR="00AB2A77" w:rsidRPr="00006369" w:rsidRDefault="00000000">
      <w:pPr>
        <w:rPr>
          <w:lang w:val="fr-FR"/>
        </w:rPr>
      </w:pPr>
      <w:r w:rsidRPr="00006369">
        <w:rPr>
          <w:lang w:val="fr-FR"/>
        </w:rPr>
        <w:br/>
      </w:r>
    </w:p>
    <w:p w14:paraId="7EFF5618" w14:textId="62051733" w:rsidR="00AB2A77" w:rsidRPr="00006369" w:rsidRDefault="00000000">
      <w:pPr>
        <w:pStyle w:val="Heading1"/>
        <w:pageBreakBefore/>
        <w:rPr>
          <w:lang w:val="fr-FR"/>
        </w:rPr>
      </w:pPr>
      <w:r w:rsidRPr="00006369">
        <w:rPr>
          <w:lang w:val="fr-FR"/>
        </w:rPr>
        <w:t>13. ROP reflex zones</w:t>
      </w:r>
      <w:r w:rsidR="001768A4">
        <w:rPr>
          <w:lang w:val="fr-FR"/>
        </w:rPr>
      </w:r>
    </w:p>
    <w:p w14:paraId="4A3E67CA" w14:textId="77777777" w:rsidR="00AB2A77" w:rsidRDefault="00000000">
      <w:pPr>
        <w:pStyle w:val="Heading2"/>
        <w:rPr>
          <w:lang w:val="fr-FR"/>
        </w:rPr>
      </w:pPr>
      <w:r w:rsidRPr="00006369">
        <w:rPr>
          <w:lang w:val="fr-FR"/>
        </w:rPr>
        <w:t>13.1. Stomach-specific landmarks</w:t>
      </w:r>
    </w:p>
    <w:p w14:paraId="57209B3B" w14:textId="77777777" w:rsidR="005B7A6E" w:rsidRDefault="005B7A6E" w:rsidP="005B7A6E">
      <w:pPr>
        <w:rPr>
          <w:lang w:val="fr-FR"/>
        </w:rPr>
      </w:pPr>
    </w:p>
    <w:p w14:paraId="18F00106" w14:textId="77777777" w:rsidR="005B7A6E" w:rsidRPr="00006369" w:rsidRDefault="005B7A6E" w:rsidP="005B7A6E">
      <w:pPr>
        <w:rPr>
          <w:lang w:val="fr-FR"/>
        </w:rPr>
      </w:pPr>
      <w:r w:rsidRPr="00006369">
        <w:rPr>
          <w:lang w:val="fr-FR"/>
        </w:rPr>
        <w:t>The current map is retained and further specified according to the principal functional regions of the stomach.</w:t>
      </w:r>
    </w:p>
    <w:p w14:paraId="4A640DCF" w14:textId="77777777" w:rsidR="005B7A6E" w:rsidRPr="00006369" w:rsidRDefault="005B7A6E" w:rsidP="005B7A6E">
      <w:pPr>
        <w:pStyle w:val="ListBullet"/>
        <w:spacing w:after="32"/>
        <w:ind w:left="255" w:hanging="142"/>
        <w:rPr>
          <w:lang w:val="fr-FR"/>
        </w:rPr>
      </w:pPr>
      <w:r>
        <w:t>Stomach: general zone of the organ.</w:t>
      </w:r>
    </w:p>
    <w:p w14:paraId="7B7294BD" w14:textId="77777777" w:rsidR="005B7A6E" w:rsidRPr="00006369" w:rsidRDefault="005B7A6E" w:rsidP="005B7A6E">
      <w:pPr>
        <w:pStyle w:val="ListBullet"/>
        <w:spacing w:after="32"/>
        <w:ind w:left="255" w:hanging="142"/>
        <w:rPr>
          <w:lang w:val="fr-FR"/>
        </w:rPr>
      </w:pPr>
      <w:r>
        <w:t>Lower oesophageal sphincter (LOS): related to the oesophageal hiatus zone.</w:t>
      </w:r>
    </w:p>
    <w:p w14:paraId="75C10EFE" w14:textId="77777777" w:rsidR="005B7A6E" w:rsidRPr="00006369" w:rsidRDefault="005B7A6E" w:rsidP="005B7A6E">
      <w:pPr>
        <w:pStyle w:val="ListBullet"/>
        <w:spacing w:after="32"/>
        <w:ind w:left="255" w:hanging="142"/>
        <w:rPr>
          <w:lang w:val="fr-FR"/>
        </w:rPr>
      </w:pPr>
      <w:r>
        <w:t>Lesser curvature: curved line extending from the oesophageal hiatus to the pylorus.</w:t>
      </w:r>
    </w:p>
    <w:p w14:paraId="0A691BB1" w14:textId="77777777" w:rsidR="005B7A6E" w:rsidRPr="00006369" w:rsidRDefault="005B7A6E" w:rsidP="005B7A6E">
      <w:pPr>
        <w:pStyle w:val="ListBullet"/>
        <w:spacing w:after="32"/>
        <w:ind w:left="255" w:hanging="142"/>
        <w:rPr>
          <w:lang w:val="fr-FR"/>
        </w:rPr>
      </w:pPr>
      <w:r>
        <w:t>Greater curvature: a more lateral curved line, also extending from the oesophageal hiatus to the pylorus.</w:t>
      </w:r>
    </w:p>
    <w:p w14:paraId="7D57FAB0" w14:textId="77777777" w:rsidR="005B7A6E" w:rsidRPr="00006369" w:rsidRDefault="005B7A6E" w:rsidP="005B7A6E">
      <w:pPr>
        <w:pStyle w:val="ListBullet"/>
        <w:spacing w:after="32"/>
        <w:ind w:left="255" w:hanging="142"/>
        <w:rPr>
          <w:lang w:val="fr-FR"/>
        </w:rPr>
      </w:pPr>
      <w:r>
        <w:t>Pylorus: on the medial plantar border of both feet, generally more pronounced on the right.</w:t>
      </w:r>
    </w:p>
    <w:p w14:paraId="33392447" w14:textId="77777777" w:rsidR="005B7A6E" w:rsidRPr="00006369" w:rsidRDefault="005B7A6E" w:rsidP="005B7A6E">
      <w:pPr>
        <w:rPr>
          <w:lang w:val="fr-FR"/>
        </w:rPr>
      </w:pPr>
      <w:r w:rsidRPr="00006369">
        <w:rPr>
          <w:lang w:val="fr-FR"/>
        </w:rPr>
        <w:t>The fundus, gastric body and pyloric antrum may be used as secondary functional landmarks when individually identified within the method's map, without creating new plantar coordinates in the absence of previously validated landmarks.</w:t>
      </w:r>
    </w:p>
    <w:p w14:paraId="323198D4" w14:textId="77777777" w:rsidR="005B7A6E" w:rsidRPr="005B7A6E" w:rsidRDefault="005B7A6E" w:rsidP="005B7A6E">
      <w:pPr>
        <w:rPr>
          <w:lang w:val="fr-FR"/>
        </w:rPr>
      </w:pPr>
      <w:r w:rsidRPr="00CE3AC7">
        <w:rPr>
          <w:lang w:val="fr-FR"/>
        </w:rPr>
        <w:t>The stomach-specific zone remains the primary target; the LOS, curvatures and pylorus are specified according to the predominant functional disorder.</w:t>
      </w:r>
    </w:p>
    <w:p w14:paraId="33C0B91C" w14:textId="77777777" w:rsidR="00AB2A77" w:rsidRPr="00006369" w:rsidRDefault="00000000">
      <w:pPr>
        <w:pStyle w:val="Heading2"/>
        <w:rPr>
          <w:lang w:val="fr-FR"/>
        </w:rPr>
      </w:pPr>
      <w:r w:rsidRPr="00CE3AC7">
        <w:rPr>
          <w:lang w:val="fr-FR"/>
        </w:rPr>
        <w:t>13.2. Level 1 — Regulation of higher centres</w:t>
      </w:r>
    </w:p>
    <w:p w14:paraId="038A3494" w14:textId="77777777" w:rsidR="00AB2A77" w:rsidRPr="00006369" w:rsidRDefault="00000000">
      <w:pPr>
        <w:rPr>
          <w:lang w:val="fr-FR"/>
        </w:rPr>
      </w:pPr>
      <w:r w:rsidRPr="00006369">
        <w:rPr>
          <w:lang w:val="fr-FR"/>
        </w:rPr>
        <w:t>Level 1 remains brief and optional. It becomes more relevant when the presentation includes marked stress, digestive hypervigilance, context-related functional gastralgia, or sleep and adaptation disorders.</w:t>
      </w:r>
    </w:p>
    <w:p w14:paraId="680FB73A" w14:textId="77777777" w:rsidR="00AB2A77" w:rsidRPr="00006369" w:rsidRDefault="00000000">
      <w:pPr>
        <w:pStyle w:val="ListBullet"/>
        <w:spacing w:after="32"/>
        <w:ind w:left="255" w:hanging="142"/>
        <w:rPr>
          <w:lang w:val="fr-FR"/>
        </w:rPr>
      </w:pPr>
      <w:r>
        <w:t>Occipital reflex zones.</w:t>
      </w:r>
    </w:p>
    <w:p w14:paraId="3DF52561" w14:textId="77777777" w:rsidR="00AB2A77" w:rsidRPr="00006369" w:rsidRDefault="00000000">
      <w:pPr>
        <w:pStyle w:val="ListBullet"/>
        <w:spacing w:after="32"/>
        <w:ind w:left="255" w:hanging="142"/>
        <w:rPr>
          <w:lang w:val="fr-FR"/>
        </w:rPr>
      </w:pPr>
      <w:r>
        <w:t>Brainstem and integration centres.</w:t>
      </w:r>
    </w:p>
    <w:p w14:paraId="00A7D701" w14:textId="77777777" w:rsidR="00AB2A77" w:rsidRPr="00006369" w:rsidRDefault="00000000">
      <w:pPr>
        <w:pStyle w:val="ListBullet"/>
        <w:spacing w:after="32"/>
        <w:ind w:left="255" w:hanging="142"/>
        <w:rPr>
          <w:lang w:val="fr-FR"/>
        </w:rPr>
      </w:pPr>
      <w:r>
        <w:t>Hypothalamus.</w:t>
      </w:r>
    </w:p>
    <w:p w14:paraId="41EFEFE5" w14:textId="77777777" w:rsidR="00AB2A77" w:rsidRDefault="00000000">
      <w:pPr>
        <w:pStyle w:val="ListBullet"/>
        <w:spacing w:after="32"/>
        <w:ind w:left="255" w:hanging="142"/>
        <w:rPr>
          <w:lang w:val="fr-FR"/>
        </w:rPr>
      </w:pPr>
      <w:r>
        <w:t>Hypothalamic–pituitary axis.</w:t>
      </w:r>
    </w:p>
    <w:p w14:paraId="7EACFF2B" w14:textId="77777777" w:rsidR="00855ED3" w:rsidRPr="00006369" w:rsidRDefault="00855ED3">
      <w:pPr>
        <w:pStyle w:val="ListParagraph"/>
        <w:spacing w:after="32"/>
        <w:ind w:left="255" w:hanging="142"/>
        <w:rPr>
          <w:lang w:val="fr-FR"/>
        </w:rPr>
      </w:pPr>
    </w:p>
    <w:p w14:paraId="2CD2F651" w14:textId="77777777" w:rsidR="00AB2A77" w:rsidRPr="00006369" w:rsidRDefault="00000000">
      <w:pPr>
        <w:spacing w:after="80"/>
        <w:rPr>
          <w:lang w:val="fr-FR"/>
        </w:rPr>
      </w:pPr>
      <w:r w:rsidRPr="00006369">
        <w:rPr>
          <w:i/>
          <w:color w:val="5E666A"/>
          <w:lang w:val="fr-FR"/>
        </w:rPr>
        <w:t>See Chapter 3 — Central Nervous System.</w:t>
      </w:r>
    </w:p>
    <w:p w14:paraId="20651AA2" w14:textId="77777777" w:rsidR="00AB2A77" w:rsidRPr="00006369" w:rsidRDefault="00000000">
      <w:pPr>
        <w:pStyle w:val="Heading2"/>
        <w:rPr>
          <w:lang w:val="fr-FR"/>
        </w:rPr>
      </w:pPr>
      <w:r w:rsidRPr="00006369">
        <w:rPr>
          <w:lang w:val="fr-FR"/>
        </w:rPr>
        <w:t>13.3. Level 2 — Autonomic regulation and adaptation</w:t>
      </w:r>
    </w:p>
    <w:p w14:paraId="61BB7624" w14:textId="77777777" w:rsidR="00AB2A77" w:rsidRPr="00006369" w:rsidRDefault="00000000">
      <w:pPr>
        <w:rPr>
          <w:lang w:val="fr-FR"/>
        </w:rPr>
      </w:pPr>
      <w:r w:rsidRPr="00006369">
        <w:rPr>
          <w:lang w:val="fr-FR"/>
        </w:rPr>
        <w:t>Level 2 is the principal functional level for the stomach. It combines the vagal pathways, thoracic sympathetic system and prevertebral plexuses involved in gastric accommodation, motility and secretion.</w:t>
      </w:r>
    </w:p>
    <w:p w14:paraId="6FB0333E" w14:textId="77777777" w:rsidR="00AB2A77" w:rsidRPr="00006369" w:rsidRDefault="00000000">
      <w:pPr>
        <w:pStyle w:val="ListBullet"/>
        <w:spacing w:after="32"/>
        <w:ind w:left="255" w:hanging="142"/>
        <w:rPr>
          <w:lang w:val="fr-FR"/>
        </w:rPr>
      </w:pPr>
      <w:r>
        <w:t>Right and left vagus nerves.</w:t>
      </w:r>
    </w:p>
    <w:p w14:paraId="55AACE81" w14:textId="77777777" w:rsidR="00AB2A77" w:rsidRPr="00006369" w:rsidRDefault="00000000">
      <w:pPr>
        <w:pStyle w:val="ListBullet"/>
        <w:spacing w:after="32"/>
        <w:ind w:left="255" w:hanging="142"/>
        <w:rPr>
          <w:lang w:val="fr-FR"/>
        </w:rPr>
      </w:pPr>
      <w:r>
        <w:t>Thoracic sympathetic system, around T6–T9 in the clinical interpretation used in this chapter.</w:t>
      </w:r>
    </w:p>
    <w:p w14:paraId="14C103CE" w14:textId="77777777" w:rsidR="00AB2A77" w:rsidRPr="00006369" w:rsidRDefault="00000000">
      <w:pPr>
        <w:pStyle w:val="ListBullet"/>
        <w:spacing w:after="32"/>
        <w:ind w:left="255" w:hanging="142"/>
        <w:rPr>
          <w:lang w:val="fr-FR"/>
        </w:rPr>
      </w:pPr>
      <w:r>
        <w:t>Greater splanchnic nerve.</w:t>
      </w:r>
    </w:p>
    <w:p w14:paraId="4BBBC09D" w14:textId="77777777" w:rsidR="00AB2A77" w:rsidRPr="00006369" w:rsidRDefault="00000000">
      <w:pPr>
        <w:pStyle w:val="ListBullet"/>
        <w:spacing w:after="32"/>
        <w:ind w:left="255" w:hanging="142"/>
        <w:rPr>
          <w:lang w:val="fr-FR"/>
        </w:rPr>
      </w:pPr>
      <w:r>
        <w:t>Coeliac plexus.</w:t>
      </w:r>
    </w:p>
    <w:p w14:paraId="7CD92B83" w14:textId="77777777" w:rsidR="00AB2A77" w:rsidRPr="00006369" w:rsidRDefault="00000000">
      <w:pPr>
        <w:pStyle w:val="ListBullet"/>
        <w:spacing w:after="32"/>
        <w:ind w:left="255" w:hanging="142"/>
        <w:rPr>
          <w:lang w:val="fr-FR"/>
        </w:rPr>
      </w:pPr>
      <w:r>
        <w:t>Autonomic coordination of gastric accommodation, motility and secretion.</w:t>
      </w:r>
    </w:p>
    <w:p w14:paraId="326730AF" w14:textId="77777777" w:rsidR="00AB2A77" w:rsidRPr="00006369" w:rsidRDefault="00000000">
      <w:pPr>
        <w:rPr>
          <w:lang w:val="fr-FR"/>
        </w:rPr>
      </w:pPr>
      <w:r w:rsidRPr="00006369">
        <w:rPr>
          <w:lang w:val="fr-FR"/>
        </w:rPr>
        <w:t>The diaphragm and its crura remain associated with Level 2 as a functional interface, particularly around the oesophageal hiatus, gastro-oesophageal junction and thoracoabdominal dynamics.</w:t>
      </w:r>
    </w:p>
    <w:p w14:paraId="3BC37939" w14:textId="77777777" w:rsidR="00AB2A77" w:rsidRPr="00006369" w:rsidRDefault="00000000">
      <w:pPr>
        <w:spacing w:after="80"/>
        <w:rPr>
          <w:lang w:val="fr-FR"/>
        </w:rPr>
      </w:pPr>
      <w:r w:rsidRPr="00006369">
        <w:rPr>
          <w:i/>
          <w:color w:val="5E666A"/>
          <w:lang w:val="fr-FR"/>
        </w:rPr>
        <w:t>See Chapter 4 — Autonomic Nervous System; see Chapter 8 — Diaphragm.</w:t>
      </w:r>
    </w:p>
    <w:p w14:paraId="2309BBF9" w14:textId="77777777" w:rsidR="00AB2A77" w:rsidRPr="00006369" w:rsidRDefault="00000000">
      <w:pPr>
        <w:pStyle w:val="Heading2"/>
        <w:rPr>
          <w:lang w:val="fr-FR"/>
        </w:rPr>
      </w:pPr>
      <w:r w:rsidRPr="00006369">
        <w:rPr>
          <w:lang w:val="fr-FR"/>
        </w:rPr>
        <w:t>13.4. Level 3 — Local and regional visceral regulation</w:t>
      </w:r>
    </w:p>
    <w:p w14:paraId="477D0118" w14:textId="77777777" w:rsidR="00AF461A" w:rsidRPr="00CE3AC7" w:rsidRDefault="00000000">
      <w:pPr>
        <w:rPr>
          <w:lang w:val="fr-FR"/>
        </w:rPr>
      </w:pPr>
      <w:r w:rsidRPr="00CE3AC7">
        <w:rPr>
          <w:lang w:val="fr-FR"/>
        </w:rPr>
        <w:t>Level 3 forms the anatomical core of the gastric protocol.</w:t>
      </w:r>
    </w:p>
    <w:p w14:paraId="219FD40E" w14:textId="77777777" w:rsidR="00AB2A77" w:rsidRPr="00006369" w:rsidRDefault="00000000">
      <w:pPr>
        <w:spacing w:after="60"/>
        <w:rPr>
          <w:lang w:val="fr-FR"/>
        </w:rPr>
      </w:pPr>
      <w:r w:rsidRPr="00006369">
        <w:rPr>
          <w:b/>
          <w:lang w:val="fr-FR"/>
        </w:rPr>
        <w:t>Gastro-oesophageal junction. According to testing: LOS, cardia, oesophageal hiatus, fundus and gastrophrenic ligament.</w:t>
      </w:r>
      <w:proofErr w:type="spellStart"/>
      <w:r w:rsidRPr="00006369">
        <w:rPr>
          <w:b/>
          <w:lang w:val="fr-FR"/>
        </w:rPr>
      </w:r>
      <w:proofErr w:type="spellEnd"/>
      <w:r w:rsidRPr="00006369">
        <w:rPr>
          <w:b/>
          <w:lang w:val="fr-FR"/>
        </w:rPr>
      </w:r>
      <w:r w:rsidRPr="00006369">
        <w:rPr>
          <w:lang w:val="fr-FR"/>
        </w:rPr>
      </w:r>
    </w:p>
    <w:p w14:paraId="0B96EADD" w14:textId="77777777" w:rsidR="00AB2A77" w:rsidRPr="00006369" w:rsidRDefault="00000000">
      <w:pPr>
        <w:spacing w:after="60"/>
        <w:rPr>
          <w:lang w:val="fr-FR"/>
        </w:rPr>
      </w:pPr>
      <w:r w:rsidRPr="00006369">
        <w:rPr>
          <w:b/>
          <w:lang w:val="fr-FR"/>
        </w:rPr>
        <w:t>Gastric body. Fundus and body, lesser and greater curvatures, lesser omentum, greater omentum, and relationships with the liver, spleen and pancreas.</w:t>
      </w:r>
      <w:r w:rsidRPr="00006369">
        <w:rPr>
          <w:lang w:val="fr-FR"/>
        </w:rPr>
      </w:r>
    </w:p>
    <w:p w14:paraId="37BCE897" w14:textId="77777777" w:rsidR="00AB2A77" w:rsidRDefault="00000000">
      <w:pPr>
        <w:spacing w:after="60"/>
        <w:rPr>
          <w:lang w:val="fr-FR"/>
        </w:rPr>
      </w:pPr>
      <w:r w:rsidRPr="00006369">
        <w:rPr>
          <w:b/>
          <w:lang w:val="fr-FR"/>
        </w:rPr>
        <w:t>Antropyloric region. Antrum, pylorus, first part of the duodenum and continuity with gastric emptying.</w:t>
      </w:r>
      <w:r w:rsidRPr="00006369">
        <w:rPr>
          <w:lang w:val="fr-FR"/>
        </w:rPr>
      </w:r>
    </w:p>
    <w:p w14:paraId="6533CD8F" w14:textId="77777777" w:rsidR="00D338BA" w:rsidRPr="00006369" w:rsidRDefault="00D338BA">
      <w:pPr>
        <w:spacing w:after="60"/>
        <w:rPr>
          <w:lang w:val="fr-FR"/>
        </w:rPr>
      </w:pPr>
    </w:p>
    <w:p w14:paraId="0F61C596" w14:textId="77777777" w:rsidR="00AB2A77" w:rsidRPr="00006369" w:rsidRDefault="00000000">
      <w:pPr>
        <w:spacing w:after="80"/>
        <w:rPr>
          <w:lang w:val="fr-FR"/>
        </w:rPr>
      </w:pPr>
      <w:r w:rsidRPr="00006369">
        <w:rPr>
          <w:i/>
          <w:color w:val="5E666A"/>
          <w:lang w:val="fr-FR"/>
        </w:rPr>
        <w:t>See Chapter 7 — Regional Abdominal and Peritoneal Foundation; see Chapter 10 — Duodenum.</w:t>
      </w:r>
    </w:p>
    <w:p w14:paraId="6F3A867A" w14:textId="77777777" w:rsidR="00AB2A77" w:rsidRPr="00006369" w:rsidRDefault="00000000">
      <w:pPr>
        <w:pStyle w:val="Heading2"/>
        <w:rPr>
          <w:lang w:val="fr-FR"/>
        </w:rPr>
      </w:pPr>
      <w:r w:rsidRPr="00006369">
        <w:rPr>
          <w:lang w:val="fr-FR"/>
        </w:rPr>
        <w:t>13.5. Level 4 — Viscerosomatic integration and limbic brain–stomach balance</w:t>
      </w:r>
    </w:p>
    <w:p w14:paraId="3345DC86" w14:textId="77777777" w:rsidR="00AB2A77" w:rsidRPr="00006369" w:rsidRDefault="00000000">
      <w:pPr>
        <w:spacing w:after="60"/>
        <w:rPr>
          <w:lang w:val="fr-FR"/>
        </w:rPr>
      </w:pPr>
      <w:r w:rsidRPr="00006369">
        <w:rPr>
          <w:b/>
          <w:lang w:val="fr-FR"/>
        </w:rPr>
        <w:t>Viscerosomatic component. According to testing, the interpretation may include T6–T9, especially on the left, the corresponding costovertebral joints, the left interscapular region, the cervicobrachial territories and the left shoulder when clinically relevant. The left hemidiaphragm and upper thoracoabdominal wall may complete this assessment.</w:t>
      </w:r>
      <w:r w:rsidRPr="00006369">
        <w:rPr>
          <w:lang w:val="fr-FR"/>
        </w:rPr>
      </w:r>
    </w:p>
    <w:p w14:paraId="1A29D13B" w14:textId="77777777" w:rsidR="00AB2A77" w:rsidRPr="00006369" w:rsidRDefault="00000000">
      <w:pPr>
        <w:spacing w:after="60"/>
        <w:rPr>
          <w:lang w:val="fr-FR"/>
        </w:rPr>
      </w:pPr>
      <w:r>
        <w:t>Limbic brain–stomach balance. In ROP terminology, ‘listening–induction’ is performed with one thumb on the stomach zone and the other on the limbic brain zone.</w:t>
      </w:r>
    </w:p>
    <w:p w14:paraId="514C8206" w14:textId="77777777" w:rsidR="00AB2A77" w:rsidRPr="00006369" w:rsidRDefault="00000000">
      <w:pPr>
        <w:rPr>
          <w:lang w:val="fr-FR"/>
        </w:rPr>
      </w:pPr>
      <w:r w:rsidRPr="00006369">
        <w:rPr>
          <w:lang w:val="fr-FR"/>
        </w:rPr>
        <w:t>This ‘balance’ is a clinical integration technique specific to ROP. It does not describe a direct anatomical connection between the plantar zone, limbic networks and the stomach.</w:t>
      </w:r>
    </w:p>
    <w:p w14:paraId="7F2505DB" w14:textId="77777777" w:rsidR="00AB2A77" w:rsidRPr="00006369" w:rsidRDefault="00000000">
      <w:pPr>
        <w:spacing w:after="80"/>
        <w:rPr>
          <w:lang w:val="fr-FR"/>
        </w:rPr>
      </w:pPr>
      <w:r w:rsidRPr="00006369">
        <w:rPr>
          <w:i/>
          <w:color w:val="5E666A"/>
          <w:lang w:val="fr-FR"/>
        </w:rPr>
        <w:t>See Chapter 3 — Central Nervous System; see Chapter 5 — Stress Mechanism.</w:t>
      </w:r>
    </w:p>
    <w:p w14:paraId="28A2E687" w14:textId="77777777" w:rsidR="00AB2A77" w:rsidRPr="00006369" w:rsidRDefault="00000000">
      <w:pPr>
        <w:pStyle w:val="Heading2"/>
        <w:rPr>
          <w:lang w:val="fr-FR"/>
        </w:rPr>
      </w:pPr>
      <w:r w:rsidRPr="00006369">
        <w:rPr>
          <w:lang w:val="fr-FR"/>
        </w:rPr>
        <w:t>13.6. Associated support areas according to testing</w:t>
      </w:r>
    </w:p>
    <w:p w14:paraId="0C7285BD" w14:textId="77777777" w:rsidR="00AB2A77" w:rsidRPr="00006369" w:rsidRDefault="00000000">
      <w:pPr>
        <w:pStyle w:val="ListBullet"/>
        <w:spacing w:after="32"/>
        <w:ind w:left="255" w:hanging="142"/>
        <w:rPr>
          <w:lang w:val="fr-FR"/>
        </w:rPr>
      </w:pPr>
      <w:r>
        <w:t>Diaphragm: LOS, cardia and fundus.</w:t>
      </w:r>
    </w:p>
    <w:p w14:paraId="20815C15" w14:textId="77777777" w:rsidR="00AB2A77" w:rsidRPr="00006369" w:rsidRDefault="00000000">
      <w:pPr>
        <w:pStyle w:val="ListBullet"/>
        <w:spacing w:after="32"/>
        <w:ind w:left="255" w:hanging="142"/>
        <w:rPr>
          <w:lang w:val="fr-FR"/>
        </w:rPr>
      </w:pPr>
      <w:r>
        <w:t>Duodenum: pylorus and gastric emptying.</w:t>
      </w:r>
    </w:p>
    <w:p w14:paraId="1DB662DB" w14:textId="77777777" w:rsidR="00AB2A77" w:rsidRPr="00006369" w:rsidRDefault="00000000">
      <w:pPr>
        <w:pStyle w:val="ListBullet"/>
        <w:spacing w:after="32"/>
        <w:ind w:left="255" w:hanging="142"/>
        <w:rPr>
          <w:lang w:val="fr-FR"/>
        </w:rPr>
      </w:pPr>
      <w:r>
        <w:t>Liver: lesser omentum and left lobe.</w:t>
      </w:r>
    </w:p>
    <w:p w14:paraId="78FB1B23" w14:textId="77777777" w:rsidR="00AB2A77" w:rsidRPr="00006369" w:rsidRDefault="00000000">
      <w:pPr>
        <w:pStyle w:val="ListBullet"/>
        <w:spacing w:after="32"/>
        <w:ind w:left="255" w:hanging="142"/>
        <w:rPr>
          <w:lang w:val="fr-FR"/>
        </w:rPr>
      </w:pPr>
      <w:r>
        <w:t>Pancreas: posterior relationship.</w:t>
      </w:r>
    </w:p>
    <w:p w14:paraId="544CF4AA" w14:textId="77777777" w:rsidR="00AB2A77" w:rsidRPr="00006369" w:rsidRDefault="00000000">
      <w:pPr>
        <w:pStyle w:val="ListBullet"/>
        <w:spacing w:after="32"/>
        <w:ind w:left="255" w:hanging="142"/>
        <w:rPr>
          <w:lang w:val="fr-FR"/>
        </w:rPr>
      </w:pPr>
      <w:r>
        <w:t>Spleen: fundus and greater curvature.</w:t>
      </w:r>
    </w:p>
    <w:p w14:paraId="27530DC7" w14:textId="77777777" w:rsidR="00AB2A77" w:rsidRPr="00006369" w:rsidRDefault="00000000">
      <w:pPr>
        <w:pStyle w:val="ListBullet"/>
        <w:spacing w:after="32"/>
        <w:ind w:left="255" w:hanging="142"/>
        <w:rPr>
          <w:lang w:val="fr-FR"/>
        </w:rPr>
      </w:pPr>
      <w:r>
        <w:t>Transverse colon: greater omentum and inferior part of the stomach.</w:t>
      </w:r>
    </w:p>
    <w:p w14:paraId="384453F9" w14:textId="77777777" w:rsidR="00AB2A77" w:rsidRPr="00006369" w:rsidRDefault="00000000">
      <w:pPr>
        <w:rPr>
          <w:lang w:val="fr-FR"/>
        </w:rPr>
      </w:pPr>
      <w:r w:rsidRPr="00006369">
        <w:rPr>
          <w:lang w:val="fr-FR"/>
        </w:rPr>
        <w:t>These areas provide regional or functional support and do not constitute a systematic sequence.</w:t>
      </w:r>
    </w:p>
    <w:p w14:paraId="305658A4" w14:textId="77777777" w:rsidR="00AB2A77" w:rsidRPr="00006369" w:rsidRDefault="00000000">
      <w:pPr>
        <w:pStyle w:val="Heading2"/>
        <w:rPr>
          <w:lang w:val="fr-FR"/>
        </w:rPr>
      </w:pPr>
      <w:r w:rsidRPr="00006369">
        <w:rPr>
          <w:lang w:val="fr-FR"/>
        </w:rPr>
        <w:t>13.7. Clinical interpretation</w:t>
      </w:r>
    </w:p>
    <w:p w14:paraId="7B93559B" w14:textId="77777777" w:rsidR="00AB2A77" w:rsidRPr="00006369" w:rsidRDefault="00000000">
      <w:pPr>
        <w:pStyle w:val="ListBullet"/>
        <w:spacing w:after="32"/>
        <w:ind w:left="255" w:hanging="142"/>
        <w:rPr>
          <w:lang w:val="fr-FR"/>
        </w:rPr>
      </w:pPr>
      <w:r>
        <w:t>Functional gastralgia or stress: Level 2 + gastric zone + limbic brain–stomach balance according to testing.</w:t>
      </w:r>
    </w:p>
    <w:p w14:paraId="5E4806D4" w14:textId="77777777" w:rsidR="00AB2A77" w:rsidRPr="00006369" w:rsidRDefault="00000000">
      <w:pPr>
        <w:pStyle w:val="ListBullet"/>
        <w:spacing w:after="32"/>
        <w:ind w:left="255" w:hanging="142"/>
        <w:rPr>
          <w:lang w:val="fr-FR"/>
        </w:rPr>
      </w:pPr>
      <w:r>
        <w:t>Gastroparesis or delayed emptying: vagus nerve at Level 2 + body/antrum/pylorus at Level 3 + duodenum according to testing.</w:t>
      </w:r>
    </w:p>
    <w:p w14:paraId="0C3AE609" w14:textId="77777777" w:rsidR="00AB2A77" w:rsidRPr="00006369" w:rsidRDefault="00000000">
      <w:pPr>
        <w:pStyle w:val="ListBullet"/>
        <w:spacing w:after="32"/>
        <w:ind w:left="255" w:hanging="142"/>
        <w:rPr>
          <w:lang w:val="fr-FR"/>
        </w:rPr>
      </w:pPr>
      <w:r>
        <w:t>Gastro-oesophageal reflux or discomfort at the gastro-oesophageal junction: LOS + hiatus + diaphragm + proximal stomach; see Chapter 8.</w:t>
      </w:r>
    </w:p>
    <w:p w14:paraId="4A9793C7" w14:textId="77777777" w:rsidR="00AB2A77" w:rsidRPr="00006369" w:rsidRDefault="00000000">
      <w:pPr>
        <w:pStyle w:val="ListBullet"/>
        <w:spacing w:after="32"/>
        <w:ind w:left="255" w:hanging="142"/>
        <w:rPr>
          <w:lang w:val="fr-FR"/>
        </w:rPr>
      </w:pPr>
      <w:r>
        <w:t>Functional pylorospasm after relevant organic disease has been medically excluded: pylorus + antrum + proximal duodenum + autonomic regulation.</w:t>
      </w:r>
    </w:p>
    <w:p w14:paraId="340D0F16" w14:textId="77777777" w:rsidR="00AB2A77" w:rsidRPr="00006369" w:rsidRDefault="00000000">
      <w:pPr>
        <w:shd w:val="clear" w:color="auto" w:fill="F8E9E5"/>
        <w:spacing w:before="80" w:after="100"/>
        <w:ind w:left="142" w:right="142"/>
        <w:rPr>
          <w:lang w:val="fr-FR"/>
        </w:rPr>
      </w:pPr>
      <w:r w:rsidRPr="00006369">
        <w:rPr>
          <w:b/>
          <w:lang w:val="fr-FR"/>
        </w:rPr>
        <w:t>SAFETY PRINCIPLE — Haematemesis, melaena, unexplained weight loss, persistent nocturnal pain, recurrent vomiting, fever or deep thoracoabdominal pain require medical assessment.</w:t>
      </w:r>
      <w:r w:rsidRPr="00006369">
        <w:rPr>
          <w:lang w:val="fr-FR"/>
        </w:rPr>
      </w:r>
    </w:p>
    <w:sectPr w:rsidR="00AB2A77" w:rsidRPr="0000636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7342077">
    <w:abstractNumId w:val="8"/>
  </w:num>
  <w:num w:numId="2" w16cid:durableId="6757073">
    <w:abstractNumId w:val="6"/>
  </w:num>
  <w:num w:numId="3" w16cid:durableId="1930113993">
    <w:abstractNumId w:val="5"/>
  </w:num>
  <w:num w:numId="4" w16cid:durableId="1828938736">
    <w:abstractNumId w:val="4"/>
  </w:num>
  <w:num w:numId="5" w16cid:durableId="1476609537">
    <w:abstractNumId w:val="7"/>
  </w:num>
  <w:num w:numId="6" w16cid:durableId="1890795663">
    <w:abstractNumId w:val="3"/>
  </w:num>
  <w:num w:numId="7" w16cid:durableId="1324428476">
    <w:abstractNumId w:val="2"/>
  </w:num>
  <w:num w:numId="8" w16cid:durableId="799300078">
    <w:abstractNumId w:val="1"/>
  </w:num>
  <w:num w:numId="9" w16cid:durableId="571627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369"/>
    <w:rsid w:val="00034616"/>
    <w:rsid w:val="0006063C"/>
    <w:rsid w:val="0015074B"/>
    <w:rsid w:val="001768A4"/>
    <w:rsid w:val="0029639D"/>
    <w:rsid w:val="00326F90"/>
    <w:rsid w:val="00591B2C"/>
    <w:rsid w:val="005B7A6E"/>
    <w:rsid w:val="00855ED3"/>
    <w:rsid w:val="00923F39"/>
    <w:rsid w:val="009419B1"/>
    <w:rsid w:val="00AA1D8D"/>
    <w:rsid w:val="00AB2A77"/>
    <w:rsid w:val="00AF461A"/>
    <w:rsid w:val="00B47730"/>
    <w:rsid w:val="00CB0664"/>
    <w:rsid w:val="00CD77F4"/>
    <w:rsid w:val="00CE3AC7"/>
    <w:rsid w:val="00D338BA"/>
    <w:rsid w:val="00D56128"/>
    <w:rsid w:val="00EA6D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090D67"/>
  <w14:defaultImageDpi w14:val="300"/>
  <w15:docId w15:val="{FA077D65-5700-4D3F-9708-1E87EA6F2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60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9</Pages>
  <Words>3135</Words>
  <Characters>17873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Chapitre 9 — Estomac</vt:lpstr>
    </vt:vector>
  </TitlesOfParts>
  <Manager/>
  <Company/>
  <LinksUpToDate>false</LinksUpToDate>
  <CharactersWithSpaces>20967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 Stomach</dc:title>
  <dc:subject>ROP, Visceral Volume III — publication-ready English translation</dc:subject>
  <dc:creator/>
  <cp:keywords/>
  <dc:description>CodexTranslationV2; revised against the final French source.</dc:description>
  <cp:lastModifiedBy/>
  <cp:revision>5</cp:revision>
  <dcterms:created xsi:type="dcterms:W3CDTF">2013-12-23T23:15:00Z</dcterms:created>
  <dcterms:modified xsi:type="dcterms:W3CDTF">2026-08-15T10:13:00Z</dcterms:modified>
  <cp:category/>
</cp:coreProperties>
</file>