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Arial"/>
        </w:rPr>
        <w:t>Capitolo 5. Meccanismo dello stress</w:t>
      </w:r>
    </w:p>
    <w:p>
      <w:pPr>
        <w:pStyle w:val="Heading2"/>
      </w:pPr>
      <w:r>
        <w:rPr>
          <w:rFonts w:ascii="Arial" w:hAnsi="Arial" w:eastAsia="Arial"/>
        </w:rPr>
        <w:t>1. Presentazione</w:t>
      </w:r>
    </w:p>
    <w:p>
      <w:pPr>
        <w:spacing w:after="100" w:line="259" w:lineRule="auto"/>
      </w:pPr>
      <w:r>
        <w:rPr>
          <w:rFonts w:ascii="Arial" w:hAnsi="Arial" w:eastAsia="Arial"/>
        </w:rPr>
        <w:t>Lo stress è un termine utilizzato costantemente nelle società moderne. Competizione, concorrenza e ricerca della performance ci spingono ad andare sempre più in fretta, con il rischio, se non prestiamo attenzione, che lo stress ci sopraffaccia fino all’esaurimento.</w:t>
      </w:r>
    </w:p>
    <w:p>
      <w:pPr>
        <w:spacing w:after="100" w:line="259" w:lineRule="auto"/>
      </w:pPr>
      <w:r>
        <w:rPr>
          <w:rFonts w:ascii="Arial" w:hAnsi="Arial" w:eastAsia="Arial"/>
        </w:rPr>
        <w:t>La concezione moderna dello stress è stata sviluppata da Walter Cannon (1871-1945), che contribuì a formalizzare il concetto di omeostasi nel solco dei lavori di Claude Bernard.</w:t>
      </w:r>
    </w:p>
    <w:p>
      <w:pPr>
        <w:spacing w:after="100" w:line="259" w:lineRule="auto"/>
      </w:pPr>
      <w:r>
        <w:rPr>
          <w:rFonts w:ascii="Arial" w:hAnsi="Arial" w:eastAsia="Arial"/>
        </w:rPr>
        <w:t>Hans Selye (1907-1982) descrisse la sindrome generale di adattamento (SGA), intesa come l’insieme dei meccanismi fisiologici, neurologici, endocrini e immunitari mobilitati dall’organismo in risposta a stimoli stressogeni.</w:t>
      </w:r>
    </w:p>
    <w:p>
      <w:pPr>
        <w:spacing w:after="100" w:line="259" w:lineRule="auto"/>
      </w:pPr>
      <w:r>
        <w:rPr>
          <w:rFonts w:ascii="Arial" w:hAnsi="Arial" w:eastAsia="Arial"/>
        </w:rPr>
        <w:t>A questi tre sistemi è stato successivamente affiancato il sistema limbico, o emozionale, per la componente affettiva associata alla risposta allo stress.</w:t>
      </w:r>
    </w:p>
    <w:p>
      <w:pPr>
        <w:pStyle w:val="Heading2"/>
      </w:pPr>
      <w:r>
        <w:rPr>
          <w:rFonts w:ascii="Arial" w:hAnsi="Arial" w:eastAsia="Arial"/>
        </w:rPr>
        <w:t>2. Definizioni</w:t>
      </w:r>
    </w:p>
    <w:p>
      <w:pPr>
        <w:pStyle w:val="ListBullet"/>
        <w:spacing w:after="60" w:line="252" w:lineRule="auto"/>
      </w:pPr>
      <w:r>
        <w:rPr>
          <w:rFonts w:ascii="Arial" w:hAnsi="Arial" w:eastAsia="Arial"/>
        </w:rPr>
        <w:t>Stress: lo stress — o, più precisamente, la risposta a una situazione percepita come minacciosa — innesca una cascata di reazioni volte a proteggere il corpo da uno scostamento eccessivo rispetto ai valori omeostatici.</w:t>
      </w:r>
    </w:p>
    <w:p>
      <w:pPr>
        <w:pStyle w:val="ListBullet"/>
        <w:spacing w:after="60" w:line="252" w:lineRule="auto"/>
      </w:pPr>
      <w:r>
        <w:rPr>
          <w:rFonts w:ascii="Arial" w:hAnsi="Arial" w:eastAsia="Arial"/>
        </w:rPr>
        <w:t>Omeostasi: capacità dell’organismo di mantenere l’equilibrio del proprio ambiente interno: temperatura corporea, pH ematico, parametri ematochimici, glicemia, ecc.</w:t>
      </w:r>
    </w:p>
    <w:p>
      <w:pPr>
        <w:pStyle w:val="ListBullet"/>
        <w:spacing w:after="60" w:line="252" w:lineRule="auto"/>
      </w:pPr>
      <w:r>
        <w:rPr>
          <w:rFonts w:ascii="Arial" w:hAnsi="Arial" w:eastAsia="Arial"/>
        </w:rPr>
        <w:t>Allostasi: capacità adattativa dell’organismo in risposta a diversi stressori ambientali, al fine di mantenere l’omeostasi in un contesto mutevole.</w:t>
      </w:r>
    </w:p>
    <w:p>
      <w:pPr>
        <w:spacing w:after="100" w:line="259" w:lineRule="auto"/>
      </w:pPr>
      <w:r>
        <w:rPr>
          <w:rFonts w:ascii="Arial" w:hAnsi="Arial" w:eastAsia="Arial"/>
        </w:rPr>
        <w:t>In altri termini, la funzione della risposta allo stress è mantenere la stabilità (omeostasi) attraverso il cambiamento (allostasi).</w:t>
      </w:r>
    </w:p>
    <w:p>
      <w:pPr>
        <w:spacing w:after="100" w:line="259" w:lineRule="auto"/>
      </w:pPr>
      <w:r>
        <w:rPr>
          <w:rFonts w:ascii="Arial" w:hAnsi="Arial" w:eastAsia="Arial"/>
        </w:rPr>
        <w:t>Risposta allo stress, omeostasi e allostasi sono strettamente correlate. Poiché controlla le funzioni interne, il sistema nervoso autonomo (SNA) svolge un ruolo centrale nella risposta a una situazione di stress o di conflitto, con l’obiettivo di preservare l’omeostasi. Il presente capitolo è quindi dedicato al ruolo del SNA (cfr. Capitolo 4, Sistema nervoso autonomo, p. …) nella risposta allo stress e alle sue relazioni con il cervello limbico e la corteccia (cfr. Capitolo 3, Sistema nervoso centrale, p. …).</w:t>
      </w:r>
    </w:p>
    <w:p>
      <w:pPr>
        <w:spacing w:after="100" w:line="259" w:lineRule="auto"/>
      </w:pPr>
      <w:r>
        <w:rPr>
          <w:rFonts w:ascii="Arial" w:hAnsi="Arial" w:eastAsia="Arial"/>
        </w:rPr>
        <w:t>La risposta allo stress è un processo biologico protettivo fondamentale, al quale siamo tutti esposti e per il quale siamo biologicamente preparati. A breve termine è protettiva, perché favorisce il ritorno all’omeostasi. Quando diventa intensa, protratta e ripetuta, comporta tuttavia un costo energetico. Può incidere sulla vitalità e accompagnarsi a una riduzione delle capacità adattative. Il corpo può allora sviluppare progressivamente disturbi funzionali e, a seconda della costituzione e delle vulnerabilità individuali, evolvere verso malattie croniche o degenerative.</w:t>
      </w:r>
    </w:p>
    <w:p>
      <w:pPr>
        <w:pStyle w:val="Heading2"/>
      </w:pPr>
      <w:r>
        <w:rPr>
          <w:rFonts w:ascii="Arial" w:hAnsi="Arial" w:eastAsia="Arial"/>
        </w:rPr>
        <w:t>3. Stressori</w:t>
      </w:r>
    </w:p>
    <w:p>
      <w:pPr>
        <w:spacing w:after="100" w:line="259" w:lineRule="auto"/>
      </w:pPr>
      <w:r>
        <w:rPr>
          <w:rFonts w:ascii="Arial" w:hAnsi="Arial" w:eastAsia="Arial"/>
        </w:rPr>
        <w:t>Nel linguaggio comune si tende spesso a confondere lo stress con lo stressore. Lo stressore, o agente stressogeno, è ciò che innesca la risposta allo stress.</w:t>
      </w:r>
    </w:p>
    <w:p>
      <w:pPr>
        <w:pStyle w:val="ListBullet"/>
        <w:spacing w:after="60" w:line="252" w:lineRule="auto"/>
      </w:pPr>
      <w:r>
        <w:rPr>
          <w:rFonts w:ascii="Arial" w:hAnsi="Arial" w:eastAsia="Arial"/>
        </w:rPr>
        <w:t>Definizione: gli stressori sono stimoli che oltrepassano il funzionamento basale abituale di un individuo e attivano la risposta allo stress.</w:t>
      </w:r>
    </w:p>
    <w:p>
      <w:pPr>
        <w:pStyle w:val="ListBullet"/>
        <w:spacing w:after="60" w:line="252" w:lineRule="auto"/>
      </w:pPr>
      <w:r>
        <w:rPr>
          <w:rFonts w:ascii="Arial" w:hAnsi="Arial" w:eastAsia="Arial"/>
        </w:rPr>
        <w:t>Stress negativo: è definito distress e può manifestarsi con tristezza, senso di fallimento, dubbio, insicurezza, paura, collera, ecc. Si accompagna a una risposta neuroendocrina che coinvolge il cortisolo e può influenzare i tre grandi sistemi coinvolti nell’omeostasi: nervoso, endocrino e immunitario.</w:t>
      </w:r>
    </w:p>
    <w:p>
      <w:pPr>
        <w:pStyle w:val="ListBullet"/>
        <w:spacing w:after="60" w:line="252" w:lineRule="auto"/>
      </w:pPr>
      <w:r>
        <w:rPr>
          <w:rFonts w:ascii="Arial" w:hAnsi="Arial" w:eastAsia="Arial"/>
        </w:rPr>
        <w:t>Tutti i sistemi possono successivamente essere interessati, in funzione delle predisposizioni genetiche individuali e dello stile di vita: disturbi digestivi, asma, disturbi dell’apparato muscolo-scheletrico, infezioni, malattie cardiovascolari, ansia, depressione, malattie autoimmuni, malattie neurodegenerative, tumori, ecc.</w:t>
      </w:r>
    </w:p>
    <w:p>
      <w:pPr>
        <w:pStyle w:val="ListBullet"/>
        <w:spacing w:after="60" w:line="252" w:lineRule="auto"/>
      </w:pPr>
      <w:r>
        <w:rPr>
          <w:rFonts w:ascii="Arial" w:hAnsi="Arial" w:eastAsia="Arial"/>
        </w:rPr>
        <w:t>Stress positivo: è definito eustress e può manifestarsi con amore, gioia, entusiasmo, libertà, fiducia, sicurezza, ecc. Si accompagna all’attivazione di altri neuromediatori, tra cui l’adrenalina, che possono sostenere una risposta adattativa favorevole a breve termine.</w:t>
      </w:r>
    </w:p>
    <w:p>
      <w:pPr>
        <w:spacing w:before="80" w:after="80"/>
      </w:pPr>
      <w:r>
        <w:rPr>
          <w:rFonts w:ascii="Arial" w:hAnsi="Arial" w:eastAsia="Arial"/>
          <w:i/>
        </w:rPr>
        <w:t>Figura 5.1. I tre grandi tipi di stressori</w:t>
      </w:r>
    </w:p>
    <w:p>
      <w:pPr>
        <w:pStyle w:val="ListBullet"/>
        <w:spacing w:after="60" w:line="252" w:lineRule="auto"/>
      </w:pPr>
      <w:r>
        <w:rPr>
          <w:rFonts w:ascii="Arial" w:hAnsi="Arial" w:eastAsia="Arial"/>
        </w:rPr>
        <w:t>Tipi di stressori: alcuni sono facilmente identificabili, in particolare quelli fisici ed emozionali. Gli stressori biochimici, invece, agiscono molto spesso in modo silente e per questo non vengono presi in considerazione (figura 5.1).</w:t>
      </w:r>
    </w:p>
    <w:p>
      <w:pPr>
        <w:pStyle w:val="ListBullet"/>
        <w:spacing w:after="60" w:line="252" w:lineRule="auto"/>
      </w:pPr>
      <w:r>
        <w:rPr>
          <w:rFonts w:ascii="Arial" w:hAnsi="Arial" w:eastAsia="Arial"/>
        </w:rPr>
        <w:t>Stressori fisici: incidenti, colpi di frusta cervicali, eccesso di attività fisica o sportiva fino all’esaurimento o, al contrario, inattività, condizioni della nascita, ritmo di vita frenetico, mancanza di sonno, sovraccarichi sensoriali — rumore, odori, luce, dolore intenso o cronico, disgusto con nausea verso gli alimenti —, inquinamento atmosferico, climi estremi, ecc.</w:t>
      </w:r>
    </w:p>
    <w:p>
      <w:pPr>
        <w:pStyle w:val="ListBullet"/>
        <w:spacing w:after="60" w:line="252" w:lineRule="auto"/>
      </w:pPr>
      <w:r>
        <w:rPr>
          <w:rFonts w:ascii="Arial" w:hAnsi="Arial" w:eastAsia="Arial"/>
        </w:rPr>
        <w:t>Stressori emozionali, psicologici e sociali: rientrano tra gli stressori che possono avere un impatto importante sulla salute: rotture affettive, conflitti familiari, separazioni, rifiuto sociale o professionale, isolamento, molestie, insuccessi scolastici o professionali. Gli stressori emotivamente e psicologicamente più distruttivi sono gli abusi e le aggressioni sessuali, l’incesto e lo stupro.</w:t>
      </w:r>
    </w:p>
    <w:p>
      <w:pPr>
        <w:pStyle w:val="ListBullet"/>
        <w:spacing w:after="60" w:line="252" w:lineRule="auto"/>
      </w:pPr>
      <w:r>
        <w:rPr>
          <w:rFonts w:ascii="Arial" w:hAnsi="Arial" w:eastAsia="Arial"/>
        </w:rPr>
        <w:t>Stressori biochimici: squilibri alimentari e intolleranze, disbiosi (alterazione del microbiota intestinale), parassitosi, carica virale, esposizioni ambientali, metalli pesanti, interferenti endocrini, ecc. possono alterare in modo insidioso lo stato generale e contribuire al deterioramento della salute.</w:t>
      </w:r>
    </w:p>
    <w:p>
      <w:pPr>
        <w:pStyle w:val="ListBullet"/>
        <w:spacing w:after="60" w:line="252" w:lineRule="auto"/>
      </w:pPr>
      <w:r>
        <w:rPr>
          <w:rFonts w:ascii="Arial" w:hAnsi="Arial" w:eastAsia="Arial"/>
        </w:rPr>
        <w:t>Interpretazione: non conta soltanto la natura dello stressore, ma anche l’interpretazione che ne dà il soggetto “stressato”, cioè la rappresentazione che egli costruisce della minaccia reale o presunta. Ciò che conta è il modo in cui il cervello interpreta gli stressori e ne trasmette gli effetti ai grandi sistemi coinvolti nel mantenimento dell’omeostasi.</w:t>
      </w:r>
    </w:p>
    <w:p>
      <w:pPr>
        <w:pStyle w:val="ListBullet"/>
        <w:spacing w:after="60" w:line="252" w:lineRule="auto"/>
      </w:pPr>
      <w:r>
        <w:rPr>
          <w:rFonts w:ascii="Arial" w:hAnsi="Arial" w:eastAsia="Arial"/>
        </w:rPr>
        <w:t>Carico allostatico: finché la vitalità dell’individuo riesce a tollerare il carico di stress, o carico allostatico, il meccanismo adattativo regge.</w:t>
      </w:r>
    </w:p>
    <w:p>
      <w:pPr>
        <w:pStyle w:val="ListBullet"/>
        <w:spacing w:after="60" w:line="252" w:lineRule="auto"/>
      </w:pPr>
      <w:r>
        <w:rPr>
          <w:rFonts w:ascii="Arial" w:hAnsi="Arial" w:eastAsia="Arial"/>
        </w:rPr>
        <w:t>Quando intensità, durata, frequenza, urgenza e imprevedibilità degli stressori si accumulano, finiscono nel tempo per indebolire l’individuo e produrre effetti dannosi sulla salute. La vulnerabilità agli stressori aumenta. L’organismo può allora evolvere progressivamente verso una scompensazione dei meccanismi di risposta allo stress.</w:t>
      </w:r>
    </w:p>
    <w:p>
      <w:pPr>
        <w:pStyle w:val="ListBullet"/>
        <w:spacing w:after="60" w:line="252" w:lineRule="auto"/>
      </w:pPr>
      <w:r>
        <w:rPr>
          <w:rFonts w:ascii="Arial" w:hAnsi="Arial" w:eastAsia="Arial"/>
        </w:rPr>
        <w:t>Effetti cumulativi degli stressori: i tre tipi di stressori — fisici, emozionali e biochimici — interagiscono tra loro (figura 5.2). Lo stress emozionale può influenzare il tratto gastrointestinale, provocare dolore spinale, lombare o cervicale e incidere sulla vita quotidiana, professionale o sportiva. Le disfunzioni osteo-muscolo-articolari croniche dolorose, come quelle osservate nella fibromialgia, possono accompagnarsi a modificazioni psicologiche quali ansia o depressione e influenzare i processi di regolazione biologica. Questa triade di stressori può contribuire allo sviluppo di malattie croniche, la cui presa in carico trae beneficio da una prospettiva globale della salute.</w:t>
      </w:r>
    </w:p>
    <w:p>
      <w:pPr>
        <w:spacing w:before="120" w:after="80"/>
      </w:pPr>
      <w:r>
        <w:rPr>
          <w:rFonts w:ascii="Arial" w:hAnsi="Arial" w:eastAsia="Arial"/>
          <w:b/>
        </w:rPr>
        <w:t>Interesse in ROP</w:t>
      </w:r>
    </w:p>
    <w:p>
      <w:pPr>
        <w:spacing w:after="100" w:line="259" w:lineRule="auto"/>
      </w:pPr>
      <w:r>
        <w:rPr>
          <w:rFonts w:ascii="Arial" w:hAnsi="Arial" w:eastAsia="Arial"/>
        </w:rPr>
        <w:t>Il meccanismo dello stress si colloca a monte della malattia. In funzione delle vulnerabilità proprie dell’individuo — legate all’ereditarietà, agli antecedenti patologici e allo stile di vita — possono svilupparsi malattie per fallimento dei meccanismi di adattamento. In questa prospettiva, ci si ammala perché si perde salute, e non il contrario.</w:t>
      </w:r>
    </w:p>
    <w:p>
      <w:pPr>
        <w:spacing w:after="100" w:line="259" w:lineRule="auto"/>
      </w:pPr>
      <w:r>
        <w:rPr>
          <w:rFonts w:ascii="Arial" w:hAnsi="Arial" w:eastAsia="Arial"/>
        </w:rPr>
        <w:t>La ROP integra pienamente questa visione della salute e della malattia: un sintomo deve essere ricollocato nel proprio contesto, cioè nella sindrome generale di adattamento.</w:t>
      </w:r>
    </w:p>
    <w:p>
      <w:pPr>
        <w:spacing w:before="80" w:after="80"/>
      </w:pPr>
      <w:r>
        <w:rPr>
          <w:rFonts w:ascii="Arial" w:hAnsi="Arial" w:eastAsia="Arial"/>
          <w:i/>
        </w:rPr>
        <w:t>Figura 5.2. Effetto cumulativo degli stressori</w:t>
      </w:r>
    </w:p>
    <w:p>
      <w:pPr>
        <w:pStyle w:val="Heading2"/>
      </w:pPr>
      <w:r>
        <w:rPr>
          <w:rFonts w:ascii="Arial" w:hAnsi="Arial" w:eastAsia="Arial"/>
        </w:rPr>
        <w:t>4. Sindrome generale di adattamento (SGA)</w:t>
      </w:r>
    </w:p>
    <w:p>
      <w:pPr>
        <w:spacing w:after="100" w:line="259" w:lineRule="auto"/>
      </w:pPr>
      <w:r>
        <w:rPr>
          <w:rFonts w:ascii="Arial" w:hAnsi="Arial" w:eastAsia="Arial"/>
        </w:rPr>
        <w:t>Questo modello, proposto da Hans Selye, spiega l’impatto dello stress sull’organismo e il modo in cui quest’ultimo tenta di rispondervi. Si sviluppa in quattro fasi: allarme, recupero, adattamento-resistenza ed esaurimento (figura 5.3).</w:t>
      </w:r>
    </w:p>
    <w:p>
      <w:pPr>
        <w:spacing w:before="80" w:after="80"/>
      </w:pPr>
      <w:r>
        <w:rPr>
          <w:rFonts w:ascii="Arial" w:hAnsi="Arial" w:eastAsia="Arial"/>
          <w:i/>
        </w:rPr>
        <w:t>Figura 5.3. Le quattro fasi della sindrome da stress</w:t>
      </w:r>
    </w:p>
    <w:p>
      <w:pPr>
        <w:pStyle w:val="ListBullet"/>
        <w:spacing w:after="60" w:line="252" w:lineRule="auto"/>
      </w:pPr>
      <w:r>
        <w:rPr>
          <w:rFonts w:ascii="Arial" w:hAnsi="Arial" w:eastAsia="Arial"/>
        </w:rPr>
        <w:t>Fase di allarme: parole chiave: reazione immediata agli stressori, urgenza, mobilizzazione delle risorse energetiche, attivazione del simpatico.</w:t>
      </w:r>
    </w:p>
    <w:p>
      <w:pPr>
        <w:spacing w:after="100" w:line="259" w:lineRule="auto"/>
      </w:pPr>
      <w:r>
        <w:rPr>
          <w:rFonts w:ascii="Arial" w:hAnsi="Arial" w:eastAsia="Arial"/>
        </w:rPr>
        <w:t>Il modello dei tre livelli funzionali — rettiliano, limbico e corticale — è utilizzato qui come cornice pedagogica nell’ambito del modello presentato in quest’opera (cfr. Capitolo 3, Sistema nervoso centrale, p. …).</w:t>
      </w:r>
    </w:p>
    <w:p>
      <w:pPr>
        <w:pStyle w:val="ListBullet"/>
        <w:spacing w:after="60" w:line="252" w:lineRule="auto"/>
      </w:pPr>
      <w:r>
        <w:rPr>
          <w:rFonts w:ascii="Arial" w:hAnsi="Arial" w:eastAsia="Arial"/>
        </w:rPr>
        <w:t>Amigdala: allertata da una minaccia, reale o immaginaria, attiva l’ipotalamo, che avvia la risposta allo stress lungo due assi: dapprima l’asse neurologico, poi l’asse ormonale.</w:t>
      </w:r>
    </w:p>
    <w:p>
      <w:pPr>
        <w:spacing w:after="100" w:line="259" w:lineRule="auto"/>
      </w:pPr>
      <w:r>
        <w:rPr>
          <w:rFonts w:ascii="Arial" w:hAnsi="Arial" w:eastAsia="Arial"/>
        </w:rPr>
        <w:t>Contemporaneamente, l’ippocampo e i circuiti corticali partecipano alla modulazione della risposta emozionale prima che l’informazione raggiunga la corteccia prefrontale, dove viene analizzata e resa cosciente.</w:t>
      </w:r>
    </w:p>
    <w:p>
      <w:pPr>
        <w:spacing w:before="80" w:after="80"/>
      </w:pPr>
      <w:r>
        <w:rPr>
          <w:rFonts w:ascii="Arial" w:hAnsi="Arial" w:eastAsia="Arial"/>
          <w:i/>
        </w:rPr>
        <w:t>Figura 5.4. Asse neurologico SAM e asse ormonale HHS</w:t>
      </w:r>
    </w:p>
    <w:p>
      <w:pPr>
        <w:pStyle w:val="ListBullet"/>
        <w:spacing w:after="60" w:line="252" w:lineRule="auto"/>
      </w:pPr>
      <w:r>
        <w:rPr>
          <w:rFonts w:ascii="Arial" w:hAnsi="Arial"/>
          <w:b w:val="0"/>
          <w:i/>
        </w:rPr>
        <w:t xml:space="preserve">Asse neurologico (figura 5.4): in una situazione di emergenza prevale la risposta simpatica. È immediata. Si produce mediante l’attivazione ipotalamica, che stimola il </w:t>
      </w:r>
      <w:r>
        <w:rPr>
          <w:rFonts w:ascii="Arial" w:hAnsi="Arial"/>
          <w:b w:val="0"/>
          <w:i/>
        </w:rPr>
        <w:t>locus coeruleus</w:t>
      </w:r>
      <w:r>
        <w:rPr>
          <w:rFonts w:ascii="Arial" w:hAnsi="Arial"/>
          <w:b w:val="0"/>
          <w:i/>
        </w:rPr>
        <w:t>, situato nel ponte del tronco encefalico. Quest’ultimo libera noradrenalina che, a sua volta, attiva la midollare del surrene, la quale secerne l’ormone dell’emergenza: l’adrenalina. È l’asse simpatico-adreno-midollare (SAM). Il simpatico, presente in tutto il corpo, induce una risposta globale per reagire a una minaccia o a un pericolo.</w:t>
      </w:r>
    </w:p>
    <w:p>
      <w:pPr>
        <w:spacing w:after="100" w:line="259" w:lineRule="auto"/>
      </w:pPr>
      <w:r>
        <w:rPr>
          <w:rFonts w:ascii="Arial" w:hAnsi="Arial" w:eastAsia="Arial"/>
        </w:rPr>
        <w:t>L’asse SAM accelera la frequenza cardiaca e respiratoria, aumenta il metabolismo e la pressione arteriosa per favorire l’apporto ematico ai muscoli scheletrici, consentendo la risposta immediata più adatta alla sopravvivenza: fuga, lotta o immobilizzazione.</w:t>
      </w:r>
    </w:p>
    <w:p>
      <w:pPr>
        <w:spacing w:after="100" w:line="259" w:lineRule="auto"/>
      </w:pPr>
      <w:r>
        <w:rPr>
          <w:rFonts w:ascii="Arial" w:hAnsi="Arial" w:eastAsia="Arial"/>
        </w:rPr>
        <w:t>Il simpatico stimola contemporaneamente le attività sensoriali — visiva, uditiva e olfattiva — di fronte al pericolo.</w:t>
      </w:r>
    </w:p>
    <w:p>
      <w:pPr>
        <w:spacing w:after="100" w:line="259" w:lineRule="auto"/>
      </w:pPr>
      <w:r>
        <w:rPr>
          <w:rFonts w:ascii="Arial" w:hAnsi="Arial" w:eastAsia="Arial"/>
        </w:rPr>
        <w:t>L’attivazione del simpatico comporta di fatto il passaggio in secondo piano delle funzioni non immediatamente essenziali alla sopravvivenza, in particolare quelle gonadiche e digestive. Questa fase neurologica di emergenza è di breve durata.</w:t>
      </w:r>
    </w:p>
    <w:p>
      <w:pPr>
        <w:spacing w:after="100" w:line="259" w:lineRule="auto"/>
      </w:pPr>
      <w:r>
        <w:rPr>
          <w:rFonts w:ascii="Arial" w:hAnsi="Arial" w:eastAsia="Arial"/>
        </w:rPr>
        <w:t>Se l’agente stressogeno cessa rapidamente o se la risposta è sufficiente, il simpatico ritorna, mediante un meccanismo di retrocontrollo, al proprio equilibrio o alla normotonia. In caso contrario, l’ipotalamo attiva in un secondo tempo l’asse ormonale ipotalamo-ipofisi-surrene (HHS).</w:t>
      </w:r>
    </w:p>
    <w:p>
      <w:pPr>
        <w:pStyle w:val="ListBullet"/>
        <w:spacing w:after="60" w:line="252" w:lineRule="auto"/>
      </w:pPr>
      <w:r>
        <w:rPr>
          <w:rFonts w:ascii="Arial" w:hAnsi="Arial" w:eastAsia="Arial"/>
        </w:rPr>
        <w:t>Asse ormonale (figura 5.4): sotto l’azione dell’ormone ipotalamico CRH, l’adenoipofisi libera ACTH, che a sua volta stimola la corteccia surrenale. Questa cascata ormonale libera diversi ormoni: cortisolo, aldosterone e DHEA. Si tratta dell’asse HHS, o asse corticotropo:</w:t>
      </w:r>
    </w:p>
    <w:p>
      <w:pPr>
        <w:pStyle w:val="ListBullet2"/>
        <w:spacing w:after="60" w:line="252" w:lineRule="auto"/>
      </w:pPr>
      <w:r>
        <w:rPr>
          <w:rFonts w:ascii="Arial" w:hAnsi="Arial" w:eastAsia="Arial"/>
        </w:rPr>
        <w:t>Cortisolo: contribuisce ad aumentare la disponibilità di glucosio, trigliceridi e colesterolo e modula la risposta immunitaria.</w:t>
      </w:r>
    </w:p>
    <w:p>
      <w:pPr>
        <w:pStyle w:val="ListBullet2"/>
        <w:spacing w:after="60" w:line="252" w:lineRule="auto"/>
      </w:pPr>
      <w:r>
        <w:rPr>
          <w:rFonts w:ascii="Arial" w:hAnsi="Arial" w:eastAsia="Arial"/>
        </w:rPr>
        <w:t>Aldosterone: interviene nel riassorbimento renale di acqua e di alcuni minerali.</w:t>
      </w:r>
    </w:p>
    <w:p>
      <w:pPr>
        <w:pStyle w:val="ListBullet2"/>
        <w:spacing w:after="60" w:line="252" w:lineRule="auto"/>
      </w:pPr>
      <w:r>
        <w:rPr>
          <w:rFonts w:ascii="Arial" w:hAnsi="Arial" w:eastAsia="Arial"/>
        </w:rPr>
        <w:t>DHEA: è un precursore degli ormoni steroidei — testosterone e progesterone — i cui effetti precisi restano incompletamente chiariti; gli vengono attribuite possibili azioni anti-invecchiamento e antinfiammatorie, nonché un possibile sostegno alla libido e all’erezione.</w:t>
      </w:r>
    </w:p>
    <w:p>
      <w:pPr>
        <w:pStyle w:val="ListBullet"/>
        <w:spacing w:after="60" w:line="252" w:lineRule="auto"/>
      </w:pPr>
      <w:r>
        <w:rPr>
          <w:rFonts w:ascii="Arial" w:hAnsi="Arial" w:eastAsia="Arial"/>
        </w:rPr>
        <w:t>Feedback: un meccanismo di retrocontrollo agisce su adenoipofisi, ipotalamo e ippocampo per limitare la risposta allo stress quando i livelli ormonali tornano compatibili con l’equilibrio.</w:t>
      </w:r>
    </w:p>
    <w:p>
      <w:pPr>
        <w:pStyle w:val="ListBullet"/>
        <w:spacing w:after="60" w:line="252" w:lineRule="auto"/>
      </w:pPr>
      <w:r>
        <w:rPr>
          <w:rFonts w:ascii="Arial" w:hAnsi="Arial" w:eastAsia="Arial"/>
        </w:rPr>
        <w:t>Disturbi funzionali: in questa fase di allarme, i sintomi sono in linea di principio reversibili. Si tratta dello stadio dei disturbi funzionali, in cui l’integrità anatomica rimane preservata.</w:t>
      </w:r>
    </w:p>
    <w:p>
      <w:pPr>
        <w:spacing w:after="100" w:line="259" w:lineRule="auto"/>
      </w:pPr>
      <w:r>
        <w:rPr>
          <w:rFonts w:ascii="Arial" w:hAnsi="Arial" w:eastAsia="Arial"/>
        </w:rPr>
        <w:t>La disfunzione è interpretata qui come uno squilibrio persistente tra parasimpatico e simpatico a favore del simpatico (figura 5.3).</w:t>
      </w:r>
    </w:p>
    <w:p>
      <w:pPr>
        <w:pStyle w:val="ListBullet"/>
        <w:spacing w:after="60" w:line="252" w:lineRule="auto"/>
      </w:pPr>
      <w:r>
        <w:rPr>
          <w:rFonts w:ascii="Arial" w:hAnsi="Arial" w:eastAsia="Arial"/>
        </w:rPr>
        <w:t>Fase di recupero: parole chiave: fatica, recupero, vulnerabilità transitoria.</w:t>
      </w:r>
    </w:p>
    <w:p>
      <w:pPr>
        <w:spacing w:after="100" w:line="259" w:lineRule="auto"/>
      </w:pPr>
      <w:r>
        <w:rPr>
          <w:rFonts w:ascii="Arial" w:hAnsi="Arial" w:eastAsia="Arial"/>
        </w:rPr>
        <w:t>Dopo la mobilizzazione generale delle risorse, il corpo ha bisogno di un periodo di recupero. L’individuo si sente stanco e avverte il bisogno di riposare. I livelli di adrenalina e cortisolo diminuiscono e la risposta allo stress diventa temporaneamente meno efficace.</w:t>
      </w:r>
    </w:p>
    <w:p>
      <w:pPr>
        <w:spacing w:after="100" w:line="259" w:lineRule="auto"/>
      </w:pPr>
      <w:r>
        <w:rPr>
          <w:rFonts w:ascii="Arial" w:hAnsi="Arial" w:eastAsia="Arial"/>
        </w:rPr>
        <w:t>Questa fase di vulnerabilità transitoria può manifestarsi con una riacutizzazione passeggera di dolori articolari o spinali, con un aumento dell’eliminazione intestinale e urinaria privo di significato patologico, nonché con una maggiore predisposizione alle infezioni.</w:t>
      </w:r>
    </w:p>
    <w:p>
      <w:pPr>
        <w:spacing w:after="100" w:line="259" w:lineRule="auto"/>
      </w:pPr>
      <w:r>
        <w:rPr>
          <w:rFonts w:ascii="Arial" w:hAnsi="Arial" w:eastAsia="Arial"/>
        </w:rPr>
        <w:t>Sul piano emozionale, ricordi e sogni possono riaffiorare e provocare lacrime senza ragione apparente. Questa fase di recupero è fisiologica, ma non dovrebbe superare le 72 ore.</w:t>
      </w:r>
    </w:p>
    <w:p>
      <w:pPr>
        <w:spacing w:before="120" w:after="80"/>
      </w:pPr>
      <w:r>
        <w:rPr>
          <w:rFonts w:ascii="Arial" w:hAnsi="Arial" w:eastAsia="Arial"/>
          <w:b/>
        </w:rPr>
        <w:t>Interesse in ROP</w:t>
      </w:r>
    </w:p>
    <w:p>
      <w:pPr>
        <w:spacing w:after="100" w:line="259" w:lineRule="auto"/>
      </w:pPr>
      <w:r>
        <w:rPr>
          <w:rFonts w:ascii="Arial" w:hAnsi="Arial" w:eastAsia="Arial"/>
        </w:rPr>
        <w:t>Questa vulnerabilità transitoria si osserva spesso dopo una prima seduta di ROP. In questo approccio, le reazioni sono interpretate come benefiche, talvolta persino positive. È importante informare il paziente di queste possibili reazioni affinché non vengano vissute come motivo di preoccupazione.</w:t>
      </w:r>
    </w:p>
    <w:p>
      <w:pPr>
        <w:spacing w:after="100" w:line="259" w:lineRule="auto"/>
      </w:pPr>
      <w:r>
        <w:rPr>
          <w:rFonts w:ascii="Arial" w:hAnsi="Arial" w:eastAsia="Arial"/>
        </w:rPr>
        <w:t>In questo modello, tali reazioni sono interpretate alla luce della legge di Hering, secondo la quale i sintomi evolvono verso la guarigione quando procedono:</w:t>
      </w:r>
    </w:p>
    <w:p>
      <w:pPr>
        <w:pStyle w:val="ListBullet2"/>
        <w:spacing w:after="60" w:line="252" w:lineRule="auto"/>
      </w:pPr>
      <w:r>
        <w:rPr>
          <w:rFonts w:ascii="Arial" w:hAnsi="Arial" w:eastAsia="Arial"/>
        </w:rPr>
        <w:t>dall’alto verso il basso;</w:t>
      </w:r>
    </w:p>
    <w:p>
      <w:pPr>
        <w:pStyle w:val="ListBullet2"/>
        <w:spacing w:after="60" w:line="252" w:lineRule="auto"/>
      </w:pPr>
      <w:r>
        <w:rPr>
          <w:rFonts w:ascii="Arial" w:hAnsi="Arial" w:eastAsia="Arial"/>
        </w:rPr>
        <w:t>dall’interno verso l’esterno;</w:t>
      </w:r>
    </w:p>
    <w:p>
      <w:pPr>
        <w:pStyle w:val="ListBullet2"/>
        <w:spacing w:after="60" w:line="252" w:lineRule="auto"/>
      </w:pPr>
      <w:r>
        <w:rPr>
          <w:rFonts w:ascii="Arial" w:hAnsi="Arial" w:eastAsia="Arial"/>
        </w:rPr>
        <w:t>dal cronico verso l’acuto;</w:t>
      </w:r>
    </w:p>
    <w:p>
      <w:pPr>
        <w:pStyle w:val="ListBullet2"/>
        <w:spacing w:after="60" w:line="252" w:lineRule="auto"/>
      </w:pPr>
      <w:r>
        <w:rPr>
          <w:rFonts w:ascii="Arial" w:hAnsi="Arial" w:eastAsia="Arial"/>
        </w:rPr>
        <w:t>ripercorrendo fasi precedenti della malattia.</w:t>
      </w:r>
    </w:p>
    <w:p>
      <w:pPr>
        <w:spacing w:after="100" w:line="259" w:lineRule="auto"/>
      </w:pPr>
      <w:r>
        <w:rPr>
          <w:rFonts w:ascii="Arial" w:hAnsi="Arial" w:eastAsia="Arial"/>
        </w:rPr>
        <w:t>Ciò presuppone che la vitalità sia sufficiente per reagire secondo la legge di Hering. Per questo motivo ogni trattamento deve essere dosato in modo appropriato — né troppo lungo, né troppo intenso, né troppo frequente — così da lasciare al corpo la possibilità di restaurare le proprie capacità adattative e di salute, e quindi di sostenere meglio la lotta contro la malattia.</w:t>
      </w:r>
    </w:p>
    <w:p>
      <w:pPr>
        <w:spacing w:after="100" w:line="259" w:lineRule="auto"/>
      </w:pPr>
      <w:r>
        <w:rPr>
          <w:rFonts w:ascii="Arial" w:hAnsi="Arial" w:eastAsia="Arial"/>
        </w:rPr>
        <w:t>Nella maggior parte dei casi, un intervallo di tre o quattro settimane tra i trattamenti costituisce una frequenza adeguata.</w:t>
      </w:r>
    </w:p>
    <w:p>
      <w:pPr>
        <w:spacing w:after="100" w:line="259" w:lineRule="auto"/>
      </w:pPr>
      <w:r>
        <w:rPr>
          <w:rFonts w:ascii="Arial" w:hAnsi="Arial" w:eastAsia="Arial"/>
        </w:rPr>
        <w:t>La tecnica di massaggio in ROP può essere scomposta in tre tempi: 1. diagnosi tissutale; 2. stimolazione della zona; 3. tempo del “non fare nulla e lasciar accadere” (cfr. Capitolo 2, Trattamento mediante riflessoterapia occipito-podalica). Essa è coerente con la regola già formulata dal fondatore dell’osteopatia, il Dr. A. T. Still: “trovalo, correggilo e lascialo stare” (“find it, fix it and leave it alone”).</w:t>
      </w:r>
    </w:p>
    <w:p>
      <w:pPr>
        <w:pStyle w:val="ListBullet"/>
        <w:spacing w:after="60" w:line="252" w:lineRule="auto"/>
      </w:pPr>
      <w:r>
        <w:rPr>
          <w:rFonts w:ascii="Arial" w:hAnsi="Arial" w:eastAsia="Arial"/>
        </w:rPr>
        <w:t>Fase di adattamento-resistenza: parole chiave: organizzazione delle difese.</w:t>
      </w:r>
    </w:p>
    <w:p>
      <w:pPr>
        <w:spacing w:after="100" w:line="259" w:lineRule="auto"/>
      </w:pPr>
      <w:r>
        <w:rPr>
          <w:rFonts w:ascii="Arial" w:hAnsi="Arial" w:eastAsia="Arial"/>
        </w:rPr>
        <w:t>Questa fase è caratterizzata dalla necessità di gestire stressori persistenti nel medio o lungo periodo. Il sistema simpatico resta coinvolto, ma è meno attivo rispetto alla fase di allarme. L’asse ormonale HHS sostiene l’asse neurologico SAM.</w:t>
      </w:r>
    </w:p>
    <w:p>
      <w:pPr>
        <w:pStyle w:val="ListBullet"/>
        <w:spacing w:after="60" w:line="252" w:lineRule="auto"/>
      </w:pPr>
      <w:r>
        <w:rPr>
          <w:rFonts w:ascii="Arial" w:hAnsi="Arial" w:eastAsia="Arial"/>
        </w:rPr>
        <w:t>Asse neurologico: in questo modello, i sistemi parasimpatico e simpatico mostrano segni di progressivo esaurimento.</w:t>
      </w:r>
    </w:p>
    <w:p>
      <w:pPr>
        <w:pStyle w:val="ListBullet"/>
        <w:spacing w:after="60" w:line="252" w:lineRule="auto"/>
      </w:pPr>
      <w:r>
        <w:rPr>
          <w:rFonts w:ascii="Arial" w:hAnsi="Arial" w:eastAsia="Arial"/>
        </w:rPr>
        <w:t>Asse ormonale: sotto l’influenza dell’amigdala modulata dall’ippocampo, l’asse ipotalamo-ipofisi-surrene può essere caratterizzato da:</w:t>
      </w:r>
    </w:p>
    <w:p>
      <w:pPr>
        <w:spacing w:after="100" w:line="259" w:lineRule="auto"/>
      </w:pPr>
      <w:r>
        <w:rPr>
          <w:rFonts w:ascii="Arial" w:hAnsi="Arial" w:eastAsia="Arial"/>
        </w:rPr>
        <w:t>1. Iperstimolazione ormonale:</w:t>
      </w:r>
    </w:p>
    <w:p>
      <w:pPr>
        <w:pStyle w:val="ListBullet"/>
        <w:spacing w:after="60" w:line="252" w:lineRule="auto"/>
      </w:pPr>
      <w:r>
        <w:rPr>
          <w:rFonts w:ascii="Arial" w:hAnsi="Arial" w:eastAsia="Arial"/>
        </w:rPr>
        <w:t>Surreni: l’asse HHS sostiene la produzione di cortisolo per mantenere la disponibilità di glucosio, trigliceridi e colesterolo necessaria al carico allostatico, con possibile aumento della pressione arteriosa.</w:t>
      </w:r>
    </w:p>
    <w:p>
      <w:pPr>
        <w:pStyle w:val="ListBullet"/>
        <w:spacing w:after="60" w:line="252" w:lineRule="auto"/>
      </w:pPr>
      <w:r>
        <w:rPr>
          <w:rFonts w:ascii="Arial" w:hAnsi="Arial" w:eastAsia="Arial"/>
        </w:rPr>
        <w:t>Pancreas: secerne insulina per compensare l’aumento della glicemia, insieme alla glicogenolisi epatica. A lungo termine possono instaurarsi iperinsulinemia e successivamente insulino-resistenza.</w:t>
      </w:r>
    </w:p>
    <w:p>
      <w:pPr>
        <w:pStyle w:val="ListBullet"/>
        <w:spacing w:after="60" w:line="252" w:lineRule="auto"/>
      </w:pPr>
      <w:r>
        <w:rPr>
          <w:rFonts w:ascii="Arial" w:hAnsi="Arial" w:eastAsia="Arial"/>
        </w:rPr>
        <w:t>Tiroide: sotto l’influenza del TSH ipofisario, la tiroide libera gli ormoni T3 e T4 per sostenere il metabolismo e la produzione di ATP necessaria alla contrazione muscolare. Possono quindi essere osservate alterazioni di tipo ipertiroideo.</w:t>
      </w:r>
    </w:p>
    <w:p>
      <w:pPr>
        <w:spacing w:after="100" w:line="259" w:lineRule="auto"/>
      </w:pPr>
      <w:r>
        <w:rPr>
          <w:rFonts w:ascii="Arial" w:hAnsi="Arial" w:eastAsia="Arial"/>
        </w:rPr>
        <w:t>I sintomi tiroidei possono comprendere atrofia muscolare o perdita di massa muscolare, astenia, tachicardia, nervosismo, tremore, intolleranza al caldo e sudorazione profusa.</w:t>
      </w:r>
    </w:p>
    <w:p>
      <w:pPr>
        <w:pStyle w:val="ListBullet"/>
        <w:spacing w:after="60" w:line="252" w:lineRule="auto"/>
      </w:pPr>
      <w:r>
        <w:rPr>
          <w:rFonts w:ascii="Arial" w:hAnsi="Arial" w:eastAsia="Arial"/>
        </w:rPr>
        <w:t>Deficit gonadico: può manifestarsi con riduzione della fertilità, calo della libido, dismenorrea, premenopausa precoce o andropausa precoce.</w:t>
      </w:r>
    </w:p>
    <w:p>
      <w:pPr>
        <w:pStyle w:val="ListBullet"/>
        <w:spacing w:after="60" w:line="252" w:lineRule="auto"/>
      </w:pPr>
      <w:r>
        <w:rPr>
          <w:rFonts w:ascii="Arial" w:hAnsi="Arial" w:eastAsia="Arial"/>
        </w:rPr>
        <w:t>Differenziazione tra stress acuto e stress cronico: lo stress acuto è al tempo stesso stimolante e necessario; lo stress cronico è dannoso.</w:t>
      </w:r>
    </w:p>
    <w:p>
      <w:pPr>
        <w:pStyle w:val="ListBullet"/>
        <w:spacing w:after="60" w:line="252" w:lineRule="auto"/>
      </w:pPr>
      <w:r>
        <w:rPr>
          <w:rFonts w:ascii="Arial" w:hAnsi="Arial" w:eastAsia="Arial"/>
        </w:rPr>
        <w:t>Cortisolo e stress cronico: a lungo termine, il cortisolo può avere effetti dannosi sulla salute fisica e mentale:</w:t>
      </w:r>
    </w:p>
    <w:p>
      <w:pPr>
        <w:pStyle w:val="ListBullet2"/>
        <w:spacing w:after="60" w:line="252" w:lineRule="auto"/>
      </w:pPr>
      <w:r>
        <w:rPr>
          <w:rFonts w:ascii="Arial" w:hAnsi="Arial" w:eastAsia="Arial"/>
        </w:rPr>
        <w:t>aumento dei livelli di glucosio, trigliceridi e colesterolo, con incremento del rischio di diabete, aterosclerosi e ipertensione arteriosa, contribuendo alle malattie cardiovascolari;</w:t>
      </w:r>
    </w:p>
    <w:p>
      <w:pPr>
        <w:pStyle w:val="ListBullet2"/>
        <w:spacing w:after="60" w:line="252" w:lineRule="auto"/>
      </w:pPr>
      <w:r>
        <w:rPr>
          <w:rFonts w:ascii="Arial" w:hAnsi="Arial" w:eastAsia="Arial"/>
        </w:rPr>
        <w:t>atrofia muscolare da catabolismo proteico;</w:t>
      </w:r>
    </w:p>
    <w:p>
      <w:pPr>
        <w:pStyle w:val="ListBullet2"/>
        <w:spacing w:after="60" w:line="252" w:lineRule="auto"/>
      </w:pPr>
      <w:r>
        <w:rPr>
          <w:rFonts w:ascii="Arial" w:hAnsi="Arial" w:eastAsia="Arial"/>
        </w:rPr>
        <w:t>osteoporosi;</w:t>
      </w:r>
    </w:p>
    <w:p>
      <w:pPr>
        <w:pStyle w:val="ListBullet2"/>
        <w:spacing w:after="60" w:line="252" w:lineRule="auto"/>
      </w:pPr>
      <w:r>
        <w:rPr>
          <w:rFonts w:ascii="Arial" w:hAnsi="Arial" w:eastAsia="Arial"/>
        </w:rPr>
        <w:t>alterazione di alcune funzioni immunitarie;</w:t>
      </w:r>
    </w:p>
    <w:p>
      <w:pPr>
        <w:pStyle w:val="ListBullet2"/>
        <w:spacing w:after="60" w:line="252" w:lineRule="auto"/>
      </w:pPr>
      <w:r>
        <w:rPr>
          <w:rFonts w:ascii="Arial" w:hAnsi="Arial" w:eastAsia="Arial"/>
        </w:rPr>
        <w:t>disbiosi e alterazione della barriera intestinale, talvolta associate a fenomeni autoimmuni;</w:t>
      </w:r>
    </w:p>
    <w:p>
      <w:pPr>
        <w:pStyle w:val="ListBullet2"/>
        <w:spacing w:after="60" w:line="252" w:lineRule="auto"/>
      </w:pPr>
      <w:r>
        <w:rPr>
          <w:rFonts w:ascii="Arial" w:hAnsi="Arial" w:eastAsia="Arial"/>
        </w:rPr>
        <w:t>rallentamento di alcuni processi di riparazione tissutale;</w:t>
      </w:r>
    </w:p>
    <w:p>
      <w:pPr>
        <w:pStyle w:val="ListBullet2"/>
        <w:spacing w:after="60" w:line="252" w:lineRule="auto"/>
      </w:pPr>
      <w:r>
        <w:rPr>
          <w:rFonts w:ascii="Arial" w:hAnsi="Arial" w:eastAsia="Arial"/>
        </w:rPr>
        <w:t>alterazione del ritmo circadiano con disturbi del sonno notturno;</w:t>
      </w:r>
    </w:p>
    <w:p>
      <w:pPr>
        <w:pStyle w:val="ListBullet2"/>
        <w:spacing w:after="60" w:line="252" w:lineRule="auto"/>
      </w:pPr>
      <w:r>
        <w:rPr>
          <w:rFonts w:ascii="Arial" w:hAnsi="Arial" w:eastAsia="Arial"/>
        </w:rPr>
        <w:t>possibili conseguenze sulla salute mentale.</w:t>
      </w:r>
    </w:p>
    <w:p>
      <w:pPr>
        <w:pStyle w:val="ListBullet"/>
        <w:spacing w:after="60" w:line="252" w:lineRule="auto"/>
      </w:pPr>
      <w:r>
        <w:rPr>
          <w:rFonts w:ascii="Arial" w:hAnsi="Arial" w:eastAsia="Arial"/>
        </w:rPr>
        <w:t>Disturbi funzionali: progressivamente, sotto stress cronico, si instaurano disregolazioni fisiologiche ancora reversibili, in funzione della fragilità individuale, dell’ereditarietà, degli antecedenti traumatici fisici o emozionali, dello stile di vita e delle disfunzioni osteopatiche. Possono comparire dolori articolari a una soglia alla quale normalmente non verrebbero percepiti (allodinia).</w:t>
      </w:r>
    </w:p>
    <w:p>
      <w:pPr>
        <w:spacing w:after="100" w:line="259" w:lineRule="auto"/>
      </w:pPr>
      <w:r>
        <w:rPr>
          <w:rFonts w:ascii="Arial" w:hAnsi="Arial" w:eastAsia="Arial"/>
        </w:rPr>
        <w:t>2. Ipostimolazione ormonale: può far seguito a una fase di iperstimolazione ormonale:</w:t>
      </w:r>
    </w:p>
    <w:p>
      <w:pPr>
        <w:pStyle w:val="ListBullet"/>
        <w:spacing w:after="60" w:line="252" w:lineRule="auto"/>
      </w:pPr>
      <w:r>
        <w:rPr>
          <w:rFonts w:ascii="Arial" w:hAnsi="Arial" w:eastAsia="Arial"/>
        </w:rPr>
        <w:t>Ipotiroidismo: i sintomi possono comprendere intolleranza al freddo, mancanza di energia dovuta alla riduzione del metabolismo, aumento di peso, ansia e depressione.</w:t>
      </w:r>
    </w:p>
    <w:p>
      <w:pPr>
        <w:pStyle w:val="ListBullet"/>
        <w:spacing w:after="60" w:line="252" w:lineRule="auto"/>
      </w:pPr>
      <w:r>
        <w:rPr>
          <w:rFonts w:ascii="Arial" w:hAnsi="Arial" w:eastAsia="Arial"/>
        </w:rPr>
        <w:t>Ipoinsulinemia: dopo un periodo di resistenza cellulare legato all’iperinsulinemia, può comparire ipoglicemia o prediabete, con possibile evoluzione verso un diabete di tipo 2 insulinodipendente.</w:t>
      </w:r>
    </w:p>
    <w:p>
      <w:pPr>
        <w:pStyle w:val="ListBullet"/>
        <w:spacing w:after="60" w:line="252" w:lineRule="auto"/>
      </w:pPr>
      <w:r>
        <w:rPr>
          <w:rFonts w:ascii="Arial" w:hAnsi="Arial" w:eastAsia="Arial"/>
        </w:rPr>
        <w:t>Ipocortisolismo: il deficit di cortisolo può accompagnarsi a ipotensione ortostatica e a una sensazione di stordimento nel passaggio dalla posizione supina alla posizione eretta.</w:t>
      </w:r>
    </w:p>
    <w:p>
      <w:pPr>
        <w:spacing w:after="100" w:line="259" w:lineRule="auto"/>
      </w:pPr>
      <w:r>
        <w:rPr>
          <w:rFonts w:ascii="Arial" w:hAnsi="Arial" w:eastAsia="Arial"/>
        </w:rPr>
        <w:t>Patologie croniche: progressivamente, la capacità del corpo di tollerare il carico allostatico diminuisce. L’organismo passa allora da uno squilibrio funzionale a patologie che tendono alla cronicizzazione. L’integrità anatomica non è più garantita e i sintomi diventano sempre meno reversibili per la progressiva alterazione delle risposte neurologica, ormonale, immunitaria ed emozionale:</w:t>
      </w:r>
    </w:p>
    <w:p>
      <w:pPr>
        <w:pStyle w:val="ListBullet"/>
        <w:spacing w:after="60" w:line="252" w:lineRule="auto"/>
      </w:pPr>
      <w:r>
        <w:rPr>
          <w:rFonts w:ascii="Arial" w:hAnsi="Arial" w:eastAsia="Arial"/>
        </w:rPr>
        <w:t>Sistema immunitario: allergie, asma, intolleranze alimentari.</w:t>
      </w:r>
    </w:p>
    <w:p>
      <w:pPr>
        <w:pStyle w:val="ListBullet"/>
        <w:spacing w:after="60" w:line="252" w:lineRule="auto"/>
      </w:pPr>
      <w:r>
        <w:rPr>
          <w:rFonts w:ascii="Arial" w:hAnsi="Arial" w:eastAsia="Arial"/>
        </w:rPr>
        <w:t>Sistema digestivo: ipersensibilità viscerale, disturbi digestivi o del transito intestinale (stipsi o diarrea), ulcerazione gastroduodenale, reflusso gastroesofageo, disbiosi, colopatie funzionali, sindrome dell’intestino irritabile.</w:t>
      </w:r>
    </w:p>
    <w:p>
      <w:pPr>
        <w:pStyle w:val="ListBullet"/>
        <w:spacing w:after="60" w:line="252" w:lineRule="auto"/>
      </w:pPr>
      <w:r>
        <w:rPr>
          <w:rFonts w:ascii="Arial" w:hAnsi="Arial"/>
          <w:b w:val="0"/>
          <w:i/>
        </w:rPr>
        <w:t xml:space="preserve">Risposta emozionale: attraverso il </w:t>
      </w:r>
      <w:r>
        <w:rPr>
          <w:rFonts w:ascii="Arial" w:hAnsi="Arial"/>
          <w:b w:val="0"/>
          <w:i/>
        </w:rPr>
        <w:t>locus coeruleus</w:t>
      </w:r>
      <w:r>
        <w:rPr>
          <w:rFonts w:ascii="Arial" w:hAnsi="Arial"/>
          <w:b w:val="0"/>
          <w:i/>
        </w:rPr>
        <w:t>, l’ipotalamo sovrastimola il cervello limbico, in particolare l’amigdala, così come il cervello cognitivo. Ciò genera reazioni di paura e ansia. Gli individui diventano ipersensibili a eventi ordinari della vita quotidiana, creando molteplici falsi allarmi che aumentano ulteriormente paura e ansia. Dispnea, oppressione toracica, sensazione di fiato corto o di mancanza d’aria sono alterazioni respiratorie riscontrate nell’ansia e nella depressione.</w:t>
      </w:r>
    </w:p>
    <w:p>
      <w:pPr>
        <w:spacing w:before="120" w:after="80"/>
      </w:pPr>
      <w:r>
        <w:rPr>
          <w:rFonts w:ascii="Arial" w:hAnsi="Arial" w:eastAsia="Arial"/>
          <w:b/>
        </w:rPr>
        <w:t>Interesse in ROP</w:t>
      </w:r>
    </w:p>
    <w:p>
      <w:pPr>
        <w:spacing w:after="100" w:line="259" w:lineRule="auto"/>
      </w:pPr>
      <w:r>
        <w:rPr>
          <w:rFonts w:ascii="Arial" w:hAnsi="Arial" w:eastAsia="Arial"/>
        </w:rPr>
        <w:t>Durante lo stadio di adattamento-compensazione, la ROP, come altre terapie non farmacologiche, ha pienamente un ruolo nell’approccio ai disturbi funzionali reversibili. Tuttavia, con l’evoluzione verso la cronicità e verso l’irreversibilità parziale o totale, le terapie funzionali da sole non sono più sufficienti e devono lasciare spazio al trattamento medico-farmacologico.</w:t>
      </w:r>
    </w:p>
    <w:p>
      <w:pPr>
        <w:spacing w:after="100" w:line="259" w:lineRule="auto"/>
      </w:pPr>
      <w:r>
        <w:rPr>
          <w:rFonts w:ascii="Arial" w:hAnsi="Arial" w:eastAsia="Arial"/>
        </w:rPr>
        <w:t>Le terapie funzionali possono tuttavia integrarsi ai trattamenti medici come supporto; da qui il termine oggi utilizzato di terapie integrative. L’obiettivo, nell’ambito della ROP, è allora stimolare gli organi emuntori incaricati di eliminare il carico metabolico a lungo termine associato ai farmaci necessari, sostenendo al tempo stesso le capacità vitali, al fine di preservare il più possibile la salute nella lotta contro la malattia.</w:t>
      </w:r>
    </w:p>
    <w:p>
      <w:pPr>
        <w:pStyle w:val="ListBullet"/>
        <w:spacing w:after="60" w:line="252" w:lineRule="auto"/>
      </w:pPr>
      <w:r>
        <w:rPr>
          <w:rFonts w:ascii="Arial" w:hAnsi="Arial" w:eastAsia="Arial"/>
        </w:rPr>
        <w:t>Fase di esaurimento: parole chiave: esaurimento, sconfitta, capitolazione, rinuncia.</w:t>
      </w:r>
    </w:p>
    <w:p>
      <w:pPr>
        <w:spacing w:after="100" w:line="259" w:lineRule="auto"/>
      </w:pPr>
      <w:r>
        <w:rPr>
          <w:rFonts w:ascii="Arial" w:hAnsi="Arial" w:eastAsia="Arial"/>
        </w:rPr>
        <w:t>Questa fase è caratterizzata dalla scompensazione. In funzione della fragilità individuale, i sistemi evolvono verso l’esaurimento e, in ultima analisi, verso la fine della vita.</w:t>
      </w:r>
    </w:p>
    <w:p>
      <w:pPr>
        <w:pStyle w:val="ListBullet"/>
        <w:spacing w:after="60" w:line="252" w:lineRule="auto"/>
      </w:pPr>
      <w:r>
        <w:rPr>
          <w:rFonts w:ascii="Arial" w:hAnsi="Arial" w:eastAsia="Arial"/>
        </w:rPr>
        <w:t>Asse neurologico: in questo modello, gli assi SAM e HHS non funzionano più correttamente e possono comparire malattie neurodegenerative: malattia di Parkinson, sclerosi multipla, sclerosi laterale amiotrofica (SLA; storicamente malattia di Charcot), malattia di Alzheimer, ecc.</w:t>
      </w:r>
    </w:p>
    <w:p>
      <w:pPr>
        <w:pStyle w:val="ListBullet"/>
        <w:spacing w:after="60" w:line="252" w:lineRule="auto"/>
      </w:pPr>
      <w:r>
        <w:rPr>
          <w:rFonts w:ascii="Arial" w:hAnsi="Arial" w:eastAsia="Arial"/>
        </w:rPr>
        <w:t>Asse ormonale: ipotiroidismo, insufficienza surrenalica, diabete insulinodipendente.</w:t>
      </w:r>
    </w:p>
    <w:p>
      <w:pPr>
        <w:spacing w:after="100" w:line="259" w:lineRule="auto"/>
      </w:pPr>
      <w:r>
        <w:rPr>
          <w:rFonts w:ascii="Arial" w:hAnsi="Arial" w:eastAsia="Arial"/>
        </w:rPr>
        <w:t>Patologie croniche:</w:t>
      </w:r>
    </w:p>
    <w:p>
      <w:pPr>
        <w:pStyle w:val="ListBullet"/>
        <w:spacing w:after="60" w:line="252" w:lineRule="auto"/>
      </w:pPr>
      <w:r>
        <w:rPr>
          <w:rFonts w:ascii="Arial" w:hAnsi="Arial" w:eastAsia="Arial"/>
        </w:rPr>
        <w:t>Sistema immunitario: malattie infettive e autoimmuni, infiammazione.</w:t>
      </w:r>
    </w:p>
    <w:p>
      <w:pPr>
        <w:pStyle w:val="ListBullet"/>
        <w:spacing w:after="60" w:line="252" w:lineRule="auto"/>
      </w:pPr>
      <w:r>
        <w:rPr>
          <w:rFonts w:ascii="Arial" w:hAnsi="Arial" w:eastAsia="Arial"/>
        </w:rPr>
        <w:t>Sistema osteo-muscolo-articolare: artrosi, artrite, poliartrite, fibromialgia.</w:t>
      </w:r>
    </w:p>
    <w:p>
      <w:pPr>
        <w:pStyle w:val="ListBullet"/>
        <w:spacing w:after="60" w:line="252" w:lineRule="auto"/>
      </w:pPr>
      <w:r>
        <w:rPr>
          <w:rFonts w:ascii="Arial" w:hAnsi="Arial" w:eastAsia="Arial"/>
        </w:rPr>
        <w:t>Sistema cardiovascolare: ictus, infarto miocardico, arteriopatia.</w:t>
      </w:r>
    </w:p>
    <w:p>
      <w:pPr>
        <w:pStyle w:val="ListBullet"/>
        <w:spacing w:after="60" w:line="252" w:lineRule="auto"/>
      </w:pPr>
      <w:r>
        <w:rPr>
          <w:rFonts w:ascii="Arial" w:hAnsi="Arial" w:eastAsia="Arial"/>
        </w:rPr>
        <w:t>Sistema limbico: depressione. L’atrofia dell’ippocampo può accompagnarsi a perdita di memoria e disorientamento, come nella malattia di Alzheimer. Anche gli astrociti possono partecipare al processo patologico. Le connessioni dendritiche tra neuroni possono essere alterate. Questo corrisponde alla morte cellulare neuronale nell’ippocampo e alla progressione verso la malattia di Alzheimer.</w:t>
      </w:r>
    </w:p>
    <w:p>
      <w:pPr>
        <w:pStyle w:val="ListBullet"/>
        <w:spacing w:after="60" w:line="252" w:lineRule="auto"/>
      </w:pPr>
      <w:r>
        <w:rPr>
          <w:rFonts w:ascii="Arial" w:hAnsi="Arial" w:eastAsia="Arial"/>
        </w:rPr>
        <w:t>Tumori.</w:t>
      </w:r>
    </w:p>
    <w:p>
      <w:pPr>
        <w:spacing w:before="120" w:after="80"/>
      </w:pPr>
      <w:r>
        <w:rPr>
          <w:rFonts w:ascii="Arial" w:hAnsi="Arial" w:eastAsia="Arial"/>
          <w:b/>
        </w:rPr>
        <w:t>Interesse in ROP</w:t>
      </w:r>
    </w:p>
    <w:p>
      <w:pPr>
        <w:spacing w:after="100" w:line="259" w:lineRule="auto"/>
      </w:pPr>
      <w:r>
        <w:rPr>
          <w:rFonts w:ascii="Arial" w:hAnsi="Arial" w:eastAsia="Arial"/>
        </w:rPr>
        <w:t>In questo stadio, le terapie funzionali non hanno più una finalità curativa propria. Possono soltanto costituire un sostegno psicologico e un accompagnamento terapeutico.</w:t>
      </w:r>
    </w:p>
    <w:p>
      <w:pPr>
        <w:pStyle w:val="Heading2"/>
      </w:pPr>
      <w:r>
        <w:rPr>
          <w:rFonts w:ascii="Arial" w:hAnsi="Arial" w:eastAsia="Arial"/>
        </w:rPr>
        <w:t>5. ROP del meccanismo dello stress</w:t>
      </w:r>
    </w:p>
    <w:p>
      <w:pPr>
        <w:pStyle w:val="ListBullet"/>
        <w:spacing w:after="60" w:line="252" w:lineRule="auto"/>
      </w:pPr>
      <w:r>
        <w:rPr>
          <w:rFonts w:ascii="Arial" w:hAnsi="Arial" w:eastAsia="Arial"/>
        </w:rPr>
        <w:t>Zone occipitali</w:t>
      </w:r>
    </w:p>
    <w:p>
      <w:pPr>
        <w:pStyle w:val="ListBullet"/>
        <w:spacing w:after="60" w:line="252" w:lineRule="auto"/>
      </w:pPr>
      <w:r>
        <w:rPr>
          <w:rFonts w:ascii="Arial" w:hAnsi="Arial" w:eastAsia="Arial"/>
        </w:rPr>
        <w:t>Sindrome generale di adattamento (SGA) (figura 5.5)</w:t>
      </w:r>
    </w:p>
    <w:p>
      <w:pPr>
        <w:pStyle w:val="ListBullet"/>
        <w:spacing w:after="60" w:line="252" w:lineRule="auto"/>
      </w:pPr>
      <w:r>
        <w:rPr>
          <w:rFonts w:ascii="Arial" w:hAnsi="Arial" w:eastAsia="Arial"/>
        </w:rPr>
        <w:t>Sistema limbico, diencefalo, tronco encefalico, ipofisi, surreni (asse HHS).</w:t>
      </w:r>
    </w:p>
    <w:p>
      <w:pPr>
        <w:pStyle w:val="ListBullet"/>
        <w:spacing w:after="60" w:line="252" w:lineRule="auto"/>
      </w:pPr>
      <w:r>
        <w:rPr>
          <w:rFonts w:ascii="Arial" w:hAnsi="Arial" w:eastAsia="Arial"/>
        </w:rPr>
        <w:t>Nervi cranici: trigemino V, vago X, ipoglosso XII, C2 e C3.</w:t>
      </w:r>
    </w:p>
    <w:p>
      <w:pPr>
        <w:pStyle w:val="ListBullet"/>
        <w:spacing w:after="60" w:line="252" w:lineRule="auto"/>
      </w:pPr>
      <w:r>
        <w:rPr>
          <w:rFonts w:ascii="Arial" w:hAnsi="Arial" w:eastAsia="Arial"/>
        </w:rPr>
        <w:t>Nervo vago X: forame magno, forame giugulare, compartimento viscerale del collo, plesso cardiopolmonare, iato esofageo, plesso celiaco.</w:t>
      </w:r>
    </w:p>
    <w:p>
      <w:pPr>
        <w:pStyle w:val="ListBullet"/>
        <w:spacing w:after="60" w:line="252" w:lineRule="auto"/>
      </w:pPr>
      <w:r>
        <w:rPr>
          <w:rFonts w:ascii="Arial" w:hAnsi="Arial" w:eastAsia="Arial"/>
        </w:rPr>
        <w:t>Colonna vertebrale: sistema simpatico da C8 a L2 e sistema parasimpatico pelvico da S2 a S4.</w:t>
      </w:r>
    </w:p>
    <w:p>
      <w:pPr>
        <w:pStyle w:val="ListBullet"/>
        <w:spacing w:after="60" w:line="252" w:lineRule="auto"/>
      </w:pPr>
      <w:r>
        <w:rPr>
          <w:rFonts w:ascii="Arial" w:hAnsi="Arial" w:eastAsia="Arial"/>
        </w:rPr>
        <w:t>Nervo frenico: C3-C4-C5 (figure 4.23 e 8.5) e triangolo di Sédillot (figura 8.5).</w:t>
      </w:r>
    </w:p>
    <w:p>
      <w:pPr>
        <w:pStyle w:val="ListBullet"/>
        <w:spacing w:after="60" w:line="252" w:lineRule="auto"/>
      </w:pPr>
      <w:r>
        <w:rPr>
          <w:rFonts w:ascii="Arial" w:hAnsi="Arial" w:eastAsia="Arial"/>
        </w:rPr>
        <w:t>Sindrome locoregionale: comporta una compressione meccanica locale del sistema nervoso somatico o autonomo, con ripercussioni secondarie generali. Prima fase: irritazione locale per intrappolamento di un nervo. Esempio: compressione traumatica del ganglio cervicale inferiore da blocco C7/T1/prima costa. Conseguenza: facilitazione simpatica del territorio di influenza del ganglio cervicale inferiore (cfr. Capitolo 4, Sistema nervoso autonomo).</w:t>
      </w:r>
    </w:p>
    <w:p>
      <w:pPr>
        <w:pStyle w:val="ListBullet"/>
        <w:spacing w:after="60" w:line="252" w:lineRule="auto"/>
      </w:pPr>
      <w:r>
        <w:rPr>
          <w:rFonts w:ascii="Arial" w:hAnsi="Arial" w:eastAsia="Arial"/>
        </w:rPr>
        <w:t>Seconda fase — inibizione: se la compressione non viene rimossa, il nervo compresso è considerato inibito. Il sistema nervoso compensatore viene allora liberato; nell’esempio, ciò determina una sindrome parasimpatica per inibizione del sistema simpatico.</w:t>
      </w:r>
    </w:p>
    <w:p>
      <w:pPr>
        <w:spacing w:before="80" w:after="80"/>
      </w:pPr>
      <w:r>
        <w:rPr>
          <w:rFonts w:ascii="Arial" w:hAnsi="Arial" w:eastAsia="Arial"/>
          <w:i/>
        </w:rPr>
        <w:t>Figura 5.5. ROP del meccanismo dello stress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Capitolo 5 – Meccanismo dello stress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sz w:val="16"/>
      </w:rPr>
      <w:t>ROP – Revisione italiana medico-scientifica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