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52" w:lineRule="auto"/>
      </w:pPr>
      <w:r>
        <w:t>Capitolo 2</w:t>
      </w:r>
    </w:p>
    <w:p>
      <w:pPr>
        <w:pStyle w:val="Title"/>
        <w:spacing w:after="120" w:line="252" w:lineRule="auto"/>
      </w:pPr>
      <w:r>
        <w:t>Trattamento mediante Riflessoterapia Occipito-Podalica (ROP)</w:t>
      </w:r>
    </w:p>
    <w:p>
      <w:pPr>
        <w:spacing w:after="120" w:line="252" w:lineRule="auto"/>
      </w:pPr>
      <w:r>
        <w:t>Traduzione medica italiana dalla versione inglese revisionata - acronimo ROP conservato come terminologia di marca di Guy Boitout</w:t>
      </w:r>
    </w:p>
    <w:p>
      <w:pPr>
        <w:spacing w:after="120" w:line="252" w:lineRule="auto"/>
      </w:pPr>
      <w:r>
        <w:t>Di seguito sono riportati diversi principi che guidano il trattamento mediante Riflessoterapia Occipito-Podalica (ROP).</w:t>
      </w:r>
    </w:p>
    <w:p>
      <w:pPr>
        <w:pStyle w:val="Heading1"/>
        <w:spacing w:after="120" w:line="252" w:lineRule="auto"/>
      </w:pPr>
      <w:r>
        <w:t>1. Tecnica</w:t>
      </w:r>
    </w:p>
    <w:p>
      <w:pPr>
        <w:pStyle w:val="Heading2"/>
        <w:spacing w:after="120" w:line="252" w:lineRule="auto"/>
      </w:pPr>
      <w:r>
        <w:t>Tecnica manuale</w:t>
      </w:r>
    </w:p>
    <w:p>
      <w:pPr>
        <w:spacing w:after="120" w:line="252" w:lineRule="auto"/>
      </w:pPr>
      <w:r>
        <w:t>La tecnica è esclusivamente manuale, eseguita con il polpastrello del pollice o con l’articolazione interfalangea prossimale dell’indice, senza utilizzare olio né crema.</w:t>
      </w:r>
    </w:p>
    <w:p>
      <w:pPr>
        <w:pStyle w:val="Heading2"/>
        <w:spacing w:after="120" w:line="252" w:lineRule="auto"/>
      </w:pPr>
      <w:r>
        <w:t>Pressione</w:t>
      </w:r>
    </w:p>
    <w:p>
      <w:pPr>
        <w:spacing w:after="120" w:line="252" w:lineRule="auto"/>
      </w:pPr>
      <w:r>
        <w:t>La pressione viene applicata sulle zone riflesse con l’obiettivo di stimolare i meccanorecettori situati nello strato epidermico-dermico delle zone occipitali e plantari. Vedere Réflexothérapie occipito-podale, Elsevier Masson, p. …</w:t>
      </w:r>
    </w:p>
    <w:p>
      <w:pPr>
        <w:spacing w:after="120" w:line="252" w:lineRule="auto"/>
      </w:pPr>
      <w:r>
        <w:t>Questi meccanorecettori sono i seguenti:</w:t>
      </w:r>
    </w:p>
    <w:p>
      <w:pPr>
        <w:pStyle w:val="Heading3"/>
        <w:spacing w:after="120" w:line="252" w:lineRule="auto"/>
      </w:pPr>
      <w:r>
        <w:t>Corpuscoli di Meissner</w:t>
      </w:r>
    </w:p>
    <w:p>
      <w:pPr>
        <w:spacing w:after="120" w:line="252" w:lineRule="auto"/>
      </w:pPr>
      <w:r>
        <w:t>I corpuscoli di Meissner sono inseriti nelle papille dermiche, cioè nelle proiezioni ascendenti del derma verso l’epidermide. Sono sensibili a una pressione fine, non dolorosa, diretta alla sensibilità epicritica.</w:t>
      </w:r>
    </w:p>
    <w:p>
      <w:pPr>
        <w:spacing w:after="120" w:line="252" w:lineRule="auto"/>
      </w:pPr>
      <w:r>
        <w:t>Si trovano preferenzialmente nella cute glabra, in particolare nelle piante dei piedi, nei palmi delle mani, nelle labbra e negli organi genitali.</w:t>
      </w:r>
    </w:p>
    <w:p>
      <w:pPr>
        <w:pStyle w:val="Heading3"/>
        <w:spacing w:after="120" w:line="252" w:lineRule="auto"/>
      </w:pPr>
      <w:r>
        <w:t>Dischi di Merkel</w:t>
      </w:r>
    </w:p>
    <w:p>
      <w:pPr>
        <w:spacing w:after="120" w:line="252" w:lineRule="auto"/>
      </w:pPr>
      <w:r>
        <w:t>I dischi di Merkel sono situati alla base dell’epidermide, immediatamente al di sopra del derma. Sono sensibili a una pressione delicata applicata sulla cute.</w:t>
      </w:r>
    </w:p>
    <w:p>
      <w:pPr>
        <w:spacing w:after="120" w:line="252" w:lineRule="auto"/>
      </w:pPr>
      <w:r>
        <w:t>Non appena la pressione manuale deforma lo strato epidermico-dermico — identificato dalla sensazione di una tensione cutanea “come un tamburo” che respinge il dito — i corpuscoli di Meissner e i dischi di Merkel generano potenziali d’azione che viaggiano attraverso le vie sensitive del sistema lemniscale.</w:t>
      </w:r>
    </w:p>
    <w:p>
      <w:pPr>
        <w:pStyle w:val="Heading3"/>
        <w:spacing w:after="120" w:line="252" w:lineRule="auto"/>
      </w:pPr>
      <w:r>
        <w:t>Il sistema lemniscale</w:t>
      </w:r>
    </w:p>
    <w:p>
      <w:pPr>
        <w:spacing w:after="120" w:line="252" w:lineRule="auto"/>
      </w:pPr>
      <w:r>
        <w:t>Il sistema lemniscale è un fascio di fibre afferenti del midollo spinale. Nella nostra tecnica viene deliberatamente preso di mira per le sue proprietà:</w:t>
      </w:r>
    </w:p>
    <w:p>
      <w:pPr>
        <w:pStyle w:val="ListBullet"/>
        <w:spacing w:after="120" w:line="252" w:lineRule="auto"/>
      </w:pPr>
      <w:r>
        <w:t>trasmette la sensibilità tattile fine, non dolorosa;</w:t>
      </w:r>
    </w:p>
    <w:p>
      <w:pPr>
        <w:pStyle w:val="ListBullet"/>
        <w:spacing w:after="120" w:line="252" w:lineRule="auto"/>
      </w:pPr>
      <w:r>
        <w:t>assicura una trasmissione rapida e precisa degli impulsi nervosi che veicola;</w:t>
      </w:r>
    </w:p>
    <w:p>
      <w:pPr>
        <w:pStyle w:val="ListBullet"/>
        <w:spacing w:after="120" w:line="252" w:lineRule="auto"/>
      </w:pPr>
      <w:r>
        <w:t>presenta una ricca organizzazione somatotopica nel cervello;</w:t>
      </w:r>
    </w:p>
    <w:p>
      <w:pPr>
        <w:pStyle w:val="ListBullet"/>
        <w:spacing w:after="120" w:line="252" w:lineRule="auto"/>
      </w:pPr>
      <w:r>
        <w:t>ha un’azione analgesica: modula il dolore trasmesso dal sistema extralemniscale.</w:t>
      </w:r>
    </w:p>
    <w:p>
      <w:pPr>
        <w:spacing w:after="120" w:line="252" w:lineRule="auto"/>
      </w:pPr>
      <w:r>
        <w:t>Questa proprietà analgesica è spiegata dalla teoria del gate control: gli impulsi nervosi che viaggiano attraverso il sistema lemniscale raggiungono più rapidamente il corno dorsale del midollo spinale e contribuiscono a chiudere il cancello agli impulsi dolorosi più lenti.</w:t>
      </w:r>
    </w:p>
    <w:p>
      <w:pPr>
        <w:pStyle w:val="Heading3"/>
        <w:spacing w:after="120" w:line="252" w:lineRule="auto"/>
      </w:pPr>
      <w:r>
        <w:t>Rilevanza in ROP</w:t>
      </w:r>
    </w:p>
    <w:p>
      <w:pPr>
        <w:spacing w:after="120" w:line="252" w:lineRule="auto"/>
      </w:pPr>
      <w:r>
        <w:t>Durante il trattamento riflesso devono essere evitati la pressione energica e lo sfregamento triturante dei tessuti. Più si preme forte, più si sentono le proprie dita, meno si percepiscono i punti di riferimento ossei che guidano la ricerca delle zone riflesse, e più diventa difficile leggere tali zone.</w:t>
      </w:r>
    </w:p>
    <w:p>
      <w:pPr>
        <w:spacing w:after="120" w:line="252" w:lineRule="auto"/>
      </w:pPr>
      <w:r>
        <w:t>L’obiettivo di ripristinare una buona qualità tissutale riflette il rispetto che attribuiamo all’organismo. Lo scopo non è forzare l’organismo, ma coinvolgerlo delicatamente. Anche un trattamento ben condotto costituisce uno stressor — positivo, certamente — ma deve tenere conto della capacità di autocorrezione dell’individuo.</w:t>
      </w:r>
    </w:p>
    <w:p>
      <w:pPr>
        <w:pStyle w:val="Heading2"/>
        <w:spacing w:after="120" w:line="252" w:lineRule="auto"/>
      </w:pPr>
      <w:r>
        <w:t>Le tre fasi del trattamento manuale</w:t>
      </w:r>
    </w:p>
    <w:p>
      <w:pPr>
        <w:pStyle w:val="Heading3"/>
        <w:spacing w:after="120" w:line="252" w:lineRule="auto"/>
      </w:pPr>
      <w:r>
        <w:t>1. Fase diagnostica testurale</w:t>
      </w:r>
    </w:p>
    <w:p>
      <w:pPr>
        <w:spacing w:after="120" w:line="252" w:lineRule="auto"/>
      </w:pPr>
      <w:r>
        <w:t>Questa fase consiste nel ricercare zone riflesse caratterizzate da una modificazione della texture della cute occipitale e plantare: rugosità, densificazione, perdita di scorrimento o sensazione di cristalli.</w:t>
      </w:r>
    </w:p>
    <w:p>
      <w:pPr>
        <w:spacing w:after="120" w:line="252" w:lineRule="auto"/>
      </w:pPr>
      <w:r>
        <w:t>Questi reperti devono confermare la diagnosi ottenuta al termine dell’esame clinico.</w:t>
      </w:r>
    </w:p>
    <w:p>
      <w:pPr>
        <w:pStyle w:val="Heading3"/>
        <w:spacing w:after="120" w:line="252" w:lineRule="auto"/>
      </w:pPr>
      <w:r>
        <w:t>2. Fase terapeutica</w:t>
      </w:r>
    </w:p>
    <w:p>
      <w:pPr>
        <w:spacing w:after="120" w:line="252" w:lineRule="auto"/>
      </w:pPr>
      <w:r>
        <w:t>La pressione è fine e non dolorosa, diretta alla sensibilità epicritica; un dolore acuto indicherebbe un sovradosaggio.</w:t>
      </w:r>
    </w:p>
    <w:p>
      <w:pPr>
        <w:spacing w:after="120" w:line="252" w:lineRule="auto"/>
      </w:pPr>
      <w:r>
        <w:t>La manovra manuale consiste nel:</w:t>
      </w:r>
    </w:p>
    <w:p>
      <w:pPr>
        <w:pStyle w:val="ListBullet"/>
        <w:spacing w:after="120" w:line="252" w:lineRule="auto"/>
      </w:pPr>
      <w:r>
        <w:t>mobilizzare lo strato epidermico-dermico al fine di stimolare i meccanorecettori all’origine del sistema lemniscale;</w:t>
      </w:r>
    </w:p>
    <w:p>
      <w:pPr>
        <w:pStyle w:val="ListBullet"/>
        <w:spacing w:after="120" w:line="252" w:lineRule="auto"/>
      </w:pPr>
      <w:r>
        <w:t>fornire un input sensoriale correttivo ai centri nervosi superiori coinvolti nella regolazione delle regioni disfunzionali del corpo.</w:t>
      </w:r>
    </w:p>
    <w:p>
      <w:pPr>
        <w:pStyle w:val="Heading3"/>
        <w:spacing w:after="120" w:line="252" w:lineRule="auto"/>
      </w:pPr>
      <w:r>
        <w:t>3. La fase del “lasciar essere”</w:t>
      </w:r>
    </w:p>
    <w:p>
      <w:pPr>
        <w:spacing w:after="120" w:line="252" w:lineRule="auto"/>
      </w:pPr>
      <w:r>
        <w:t>Dopo la stimolazione, l’organismo ha bisogno di tempo per integrare e stabilizzare gli adattamenti neurovegetativi (autonomici), vascolari e tissutali.</w:t>
      </w:r>
    </w:p>
    <w:p>
      <w:pPr>
        <w:spacing w:after="120" w:line="252" w:lineRule="auto"/>
      </w:pPr>
      <w:r>
        <w:t>Non è la stimolazione delle zone riflesse in sé a produrre l’effetto terapeutico, bensì la risposta dell’organismo. A livello delle zone riflesse, questa risposta si esprime con un miglioramento della texture cutanea — maggiore elasticità e scorrimento — e con una riduzione della sensibilità.</w:t>
      </w:r>
    </w:p>
    <w:p>
      <w:pPr>
        <w:spacing w:after="120" w:line="252" w:lineRule="auto"/>
      </w:pPr>
      <w:r>
        <w:t>Questo periodo di latenza di pochi secondi corrisponde al tempo necessario perché l’organismo avvii l’anello riflesso terapeutico responsabile della decostruzione dell’anello riflesso patologico implicato nella disfunzione.</w:t>
      </w:r>
    </w:p>
    <w:p>
      <w:pPr>
        <w:spacing w:after="120" w:line="252" w:lineRule="auto"/>
      </w:pPr>
      <w:r>
        <w:t>La capacità e la qualità della risposta dell’organismo dipendono dalla sua vitalità e dalle sue capacità adattativo-compensatorie, in relazione alla fase della sindrome generale di adattamento in cui evolve la malattia: allarme, adattamento, resistenza o esaurimento. Vedere Capitolo 5, Meccanismo dello stress, p. …</w:t>
      </w:r>
    </w:p>
    <w:p>
      <w:pPr>
        <w:pStyle w:val="Heading1"/>
        <w:spacing w:after="120" w:line="252" w:lineRule="auto"/>
      </w:pPr>
      <w:r>
        <w:t>2. Modalità di trattamento</w:t>
      </w:r>
    </w:p>
    <w:p>
      <w:pPr>
        <w:pStyle w:val="Heading2"/>
        <w:spacing w:after="120" w:line="252" w:lineRule="auto"/>
      </w:pPr>
      <w:r>
        <w:t>Durata</w:t>
      </w:r>
    </w:p>
    <w:p>
      <w:pPr>
        <w:spacing w:after="120" w:line="252" w:lineRule="auto"/>
      </w:pPr>
      <w:r>
        <w:t>L’efficacia del trattamento non è correlata alla durata della seduta.</w:t>
      </w:r>
    </w:p>
    <w:p>
      <w:pPr>
        <w:pStyle w:val="Heading2"/>
        <w:spacing w:after="120" w:line="252" w:lineRule="auto"/>
      </w:pPr>
      <w:r>
        <w:t>Frequenza</w:t>
      </w:r>
    </w:p>
    <w:p>
      <w:pPr>
        <w:spacing w:after="120" w:line="252" w:lineRule="auto"/>
      </w:pPr>
      <w:r>
        <w:t>Un intervallo di tre settimane tra le sedute corrisponde al tempo necessario perché l’organismo integri il trattamento.</w:t>
      </w:r>
    </w:p>
    <w:p>
      <w:pPr>
        <w:spacing w:after="120" w:line="252" w:lineRule="auto"/>
      </w:pPr>
      <w:r>
        <w:t>Trattamenti troppo ravvicinati non lasciano tempo sufficiente ai processi neurovascolari e strutturali coinvolti nei disturbi funzionali per sostenere la regolazione fisiologica dei visceri e delle strutture disfunzionali.</w:t>
      </w:r>
    </w:p>
    <w:p>
      <w:pPr>
        <w:spacing w:after="120" w:line="252" w:lineRule="auto"/>
      </w:pPr>
      <w:r>
        <w:t>Per la maggior parte delle indicazioni — vedere Indicazioni, p. … — tre sedute sono sufficienti per ottenere un miglioramento soddisfacente, con la possibilità di rivedere il paziente sei mesi più tardi se necessario.</w:t>
      </w:r>
    </w:p>
    <w:p>
      <w:pPr>
        <w:spacing w:after="120" w:line="252" w:lineRule="auto"/>
      </w:pPr>
      <w:r>
        <w:t>Se dopo tre sedute non si osserva un miglioramento significativo, la diagnosi deve essere riconsiderata e, se necessario, il paziente deve essere nuovamente indirizzato al proprio medico.</w:t>
      </w:r>
    </w:p>
    <w:p>
      <w:pPr>
        <w:spacing w:after="120" w:line="252" w:lineRule="auto"/>
      </w:pPr>
      <w:r>
        <w:t>Le condizioni croniche richiedono un follow-up più regolare.</w:t>
      </w:r>
    </w:p>
    <w:p>
      <w:pPr>
        <w:pStyle w:val="Heading1"/>
        <w:spacing w:after="120" w:line="252" w:lineRule="auto"/>
      </w:pPr>
      <w:r>
        <w:t>3. Gerarchia del trattamento</w:t>
      </w:r>
    </w:p>
    <w:p>
      <w:pPr>
        <w:spacing w:after="120" w:line="252" w:lineRule="auto"/>
      </w:pPr>
      <w:r>
        <w:t>Non esiste un protocollo immutabile: un protocollo di questo tipo contraddirebbe il concetto olistico. Sono i test a determinare la priorità.</w:t>
      </w:r>
    </w:p>
    <w:p>
      <w:pPr>
        <w:spacing w:after="120" w:line="252" w:lineRule="auto"/>
      </w:pPr>
      <w:r>
        <w:t>Tuttavia, possono essere proposte grandi linee guida di trattamento, ma non devono essere utilizzate per confinare il paziente in un protocollo rigido scollegato dalla realtà clinica.</w:t>
      </w:r>
    </w:p>
    <w:p>
      <w:pPr>
        <w:pStyle w:val="Heading3"/>
        <w:spacing w:after="120" w:line="252" w:lineRule="auto"/>
      </w:pPr>
      <w:r>
        <w:t>1. Sequele di trauma, chirurgia o infezione</w:t>
      </w:r>
    </w:p>
    <w:p>
      <w:pPr>
        <w:spacing w:after="120" w:line="252" w:lineRule="auto"/>
      </w:pPr>
      <w:r>
        <w:t>I sintomi riferiti spontaneamente dal paziente e comparsi dopo un trauma, un intervento chirurgico o un’infezione coincidono generalmente con l’esame clinico. Tali sintomi conservano la loro priorità.</w:t>
      </w:r>
    </w:p>
    <w:p>
      <w:pPr>
        <w:pStyle w:val="Heading3"/>
        <w:spacing w:after="120" w:line="252" w:lineRule="auto"/>
      </w:pPr>
      <w:r>
        <w:t>2. Anamnesi e test di ascolto globale/locale</w:t>
      </w:r>
    </w:p>
    <w:p>
      <w:pPr>
        <w:spacing w:after="120" w:line="252" w:lineRule="auto"/>
      </w:pPr>
      <w:r>
        <w:t>In assenza di trauma, anamnesi chirurgica o infezione riferiti spontaneamente, sono l’anamnesi, l’esame clinico e i test di ascolto globale e locale a condurci alla fissazione dominante.</w:t>
      </w:r>
    </w:p>
    <w:p>
      <w:pPr>
        <w:spacing w:after="120" w:line="252" w:lineRule="auto"/>
      </w:pPr>
      <w:r>
        <w:t>Attraverso meccanismi di adattamento-compensazione e poi di scompensazione, questa fissazione può avere prodotto sintomi talvolta situati lontano dalla fissazione stessa.</w:t>
      </w:r>
    </w:p>
    <w:p>
      <w:pPr>
        <w:pStyle w:val="Heading3"/>
        <w:spacing w:after="120" w:line="252" w:lineRule="auto"/>
      </w:pPr>
      <w:r>
        <w:t>3. Ascolto emozionale</w:t>
      </w:r>
    </w:p>
    <w:p>
      <w:pPr>
        <w:spacing w:after="120" w:line="252" w:lineRule="auto"/>
      </w:pPr>
      <w:r>
        <w:t>Può essere necessario ricercare vecchi traumi fisici o psico-emozionali che siano stati dimenticati, rimossi in determinati strati dell’inconscio o persino deliberatamente soppressi.</w:t>
      </w:r>
    </w:p>
    <w:p>
      <w:pPr>
        <w:spacing w:after="120" w:line="252" w:lineRule="auto"/>
      </w:pPr>
      <w:r>
        <w:t>L’ascolto tissutale, seguito dall’ascolto emozionale, può aiutare a rivelare eventi significativi — e soprattutto negativi — codificati nell’amigdala e nell’ippocampo del sistema limbico. Vedere Capitolo 3, Sistema nervoso centrale, p. …</w:t>
      </w:r>
    </w:p>
    <w:p>
      <w:pPr>
        <w:pStyle w:val="Heading3"/>
        <w:spacing w:after="120" w:line="252" w:lineRule="auto"/>
      </w:pPr>
      <w:r>
        <w:t>4. Meccanismo dello stress</w:t>
      </w:r>
    </w:p>
    <w:p>
      <w:pPr>
        <w:spacing w:after="120" w:line="252" w:lineRule="auto"/>
      </w:pPr>
      <w:r>
        <w:t>Una fissazione tissutale locale — o sindrome locoregionale — deve sempre essere collocata nel suo contesto generale, cioè nella sindrome generale di adattamento, che in realtà riflette la storia dell’individuo. Vedere Capitolo 5, Meccanismo dello stress, p. …</w:t>
      </w:r>
    </w:p>
    <w:p>
      <w:pPr>
        <w:pStyle w:val="Heading1"/>
        <w:spacing w:after="120" w:line="252" w:lineRule="auto"/>
      </w:pPr>
      <w:r>
        <w:t>4. Zone riflesse occipitali e plantari</w:t>
      </w:r>
    </w:p>
    <w:p>
      <w:pPr>
        <w:pStyle w:val="Heading3"/>
        <w:spacing w:after="120" w:line="252" w:lineRule="auto"/>
      </w:pPr>
      <w:r>
        <w:t>1. Zone riflesse occipitali</w:t>
      </w:r>
    </w:p>
    <w:p>
      <w:pPr>
        <w:spacing w:after="120" w:line="252" w:lineRule="auto"/>
      </w:pPr>
      <w:r>
        <w:t>Vedere Figura 3.6.</w:t>
      </w:r>
    </w:p>
    <w:p>
      <w:pPr>
        <w:pStyle w:val="Heading3"/>
        <w:spacing w:after="120" w:line="252" w:lineRule="auto"/>
      </w:pPr>
      <w:r>
        <w:t>2. Sindrome generale di adattamento</w:t>
      </w:r>
    </w:p>
    <w:p>
      <w:pPr>
        <w:spacing w:after="120" w:line="252" w:lineRule="auto"/>
      </w:pPr>
      <w:r>
        <w:t>L’obiettivo è sostenere la regolazione neurovegetativa e l’adattamento generale prima di affrontare la disfunzione locale.</w:t>
      </w:r>
    </w:p>
    <w:p>
      <w:pPr>
        <w:pStyle w:val="ListBullet"/>
        <w:spacing w:after="120" w:line="252" w:lineRule="auto"/>
      </w:pPr>
      <w:r>
        <w:t>MRP: occipite-C1-C2, nervo trigemino V, nervo vago X e nervo ipoglosso XII, falce cerebrale e tentorio del cervelletto, seconda vertebra sacrale S2, base cranica e volta cranica. Vedere Figura 4.3.</w:t>
      </w:r>
    </w:p>
    <w:p>
      <w:pPr>
        <w:pStyle w:val="ListBullet"/>
        <w:spacing w:after="120" w:line="252" w:lineRule="auto"/>
      </w:pPr>
      <w:r>
        <w:t>Circolazione del liquido cerebrospinale: sistema venoso — forame giugulare, respirazione profonda — compressione del quarto ventricolo, vedere Figura 3.18, e sincronizzazione SSB-S2, vedere Figura 3.19. Fare riferimento a Réflexothérapie occipito-podale et système neuro-méningé, Elsevier Masson, pp. 96-97.</w:t>
      </w:r>
    </w:p>
    <w:p>
      <w:pPr>
        <w:pStyle w:val="ListBullet"/>
        <w:spacing w:after="120" w:line="252" w:lineRule="auto"/>
      </w:pPr>
      <w:r>
        <w:t>Diencefalo, tronco encefalico, ipofisi. Vedere Figure 3.7 e 3.8.</w:t>
      </w:r>
    </w:p>
    <w:p>
      <w:pPr>
        <w:pStyle w:val="ListBullet"/>
        <w:spacing w:after="120" w:line="252" w:lineRule="auto"/>
      </w:pPr>
      <w:r>
        <w:t>Nervo vago — visceri del territorio cervico-toraco-addominale: forame magno, forame giugulare, seno carotideo, vedere Figura 4.11, e iato esofageo, vedere Figura 4.17.</w:t>
      </w:r>
    </w:p>
    <w:p>
      <w:pPr>
        <w:pStyle w:val="ListBullet"/>
        <w:spacing w:after="120" w:line="252" w:lineRule="auto"/>
      </w:pPr>
      <w:r>
        <w:t>Sistema parasimpatico pelvico — visceri pelvici e parte distale del colon. Vedere Figura 4.23.</w:t>
      </w:r>
    </w:p>
    <w:p>
      <w:pPr>
        <w:pStyle w:val="ListBullet"/>
        <w:spacing w:after="120" w:line="252" w:lineRule="auto"/>
      </w:pPr>
      <w:r>
        <w:t>Colonna vertebrale, articolazioni costo-trasversarie, innervazione simpatica — catena gangliare paravertebrale toracica. Vedere Figure 4.23 e 4.32.</w:t>
      </w:r>
    </w:p>
    <w:p>
      <w:pPr>
        <w:pStyle w:val="ListBullet"/>
        <w:spacing w:after="120" w:line="252" w:lineRule="auto"/>
      </w:pPr>
      <w:r>
        <w:t>Plesso prevertebrale. Vedere Figure 4.17 e 4.22.</w:t>
      </w:r>
    </w:p>
    <w:p>
      <w:pPr>
        <w:pStyle w:val="Heading3"/>
        <w:spacing w:after="120" w:line="252" w:lineRule="auto"/>
      </w:pPr>
      <w:r>
        <w:t>3. Sindrome locoregionale</w:t>
      </w:r>
    </w:p>
    <w:p>
      <w:pPr>
        <w:spacing w:after="120" w:line="252" w:lineRule="auto"/>
      </w:pPr>
      <w:r>
        <w:t>L’obiettivo è affrontare gli anelli meccanici e neurovegetativi collegati alla regione sintomatica.</w:t>
      </w:r>
    </w:p>
    <w:p>
      <w:pPr>
        <w:pStyle w:val="ListBullet"/>
        <w:spacing w:after="120" w:line="252" w:lineRule="auto"/>
      </w:pPr>
      <w:r>
        <w:t>Plessi e nervi del sistema nervoso somatico — relazioni viscerosomatiche;</w:t>
      </w:r>
    </w:p>
    <w:p>
      <w:pPr>
        <w:pStyle w:val="ListBullet"/>
        <w:spacing w:after="120" w:line="252" w:lineRule="auto"/>
      </w:pPr>
      <w:r>
        <w:t>Sistema viscerale;</w:t>
      </w:r>
    </w:p>
    <w:p>
      <w:pPr>
        <w:pStyle w:val="ListBullet"/>
        <w:spacing w:after="120" w:line="252" w:lineRule="auto"/>
      </w:pPr>
      <w:r>
        <w:t>Cavità addominale o pelvica, a seconda del sistema viscerale coinvolto.</w:t>
      </w:r>
    </w:p>
    <w:p>
      <w:pPr>
        <w:pStyle w:val="Heading3"/>
        <w:spacing w:after="120" w:line="252" w:lineRule="auto"/>
      </w:pPr>
      <w:r>
        <w:t>4. Sistema limbico</w:t>
      </w:r>
    </w:p>
    <w:p>
      <w:pPr>
        <w:spacing w:after="120" w:line="252" w:lineRule="auto"/>
      </w:pPr>
      <w:r>
        <w:t>L’obiettivo è integrare le dimensioni dello stress, dell’emozione e della memoria corporea che possono mantenere gli anelli neurovegetativi e tissutali.</w:t>
      </w:r>
    </w:p>
    <w:p>
      <w:pPr>
        <w:pStyle w:val="ListBullet"/>
        <w:spacing w:after="120" w:line="252" w:lineRule="auto"/>
      </w:pPr>
      <w:r>
        <w:t>Amigdala, ippocampo, insula;</w:t>
      </w:r>
    </w:p>
    <w:p>
      <w:pPr>
        <w:pStyle w:val="ListBullet"/>
        <w:spacing w:after="120" w:line="252" w:lineRule="auto"/>
      </w:pPr>
      <w:r>
        <w:t>Equilibrio cervello limbico-viscere disfunzionale: ascolto-induzione, con un pollice posto sul viscere disfunzionale dominante e l’altro pollice sull’area del cervello limbico. Vedere Figura 1.12.</w:t>
      </w:r>
    </w:p>
    <w:p>
      <w:pPr>
        <w:pStyle w:val="Heading1"/>
        <w:spacing w:after="120" w:line="252" w:lineRule="auto"/>
      </w:pPr>
      <w:r>
        <w:t>5. Esempio</w:t>
      </w:r>
    </w:p>
    <w:p>
      <w:pPr>
        <w:pStyle w:val="Heading2"/>
        <w:spacing w:after="120" w:line="252" w:lineRule="auto"/>
      </w:pPr>
      <w:r>
        <w:t>Lombosciatalgia sinistra comparsa alcuni mesi dopo il parto nella signora X, trentenne</w:t>
      </w:r>
    </w:p>
    <w:p>
      <w:pPr>
        <w:pStyle w:val="Heading3"/>
        <w:spacing w:after="120" w:line="252" w:lineRule="auto"/>
      </w:pPr>
      <w:r>
        <w:t>Anamnesi</w:t>
      </w:r>
    </w:p>
    <w:p>
      <w:pPr>
        <w:pStyle w:val="ListBullet"/>
        <w:spacing w:after="120" w:line="252" w:lineRule="auto"/>
      </w:pPr>
      <w:r>
        <w:t>Nessuna storia nota di trauma;</w:t>
      </w:r>
    </w:p>
    <w:p>
      <w:pPr>
        <w:pStyle w:val="ListBullet"/>
        <w:spacing w:after="120" w:line="252" w:lineRule="auto"/>
      </w:pPr>
      <w:r>
        <w:t>Il dolore lombosciatalgico si aggrava durante la mestruazione;</w:t>
      </w:r>
    </w:p>
    <w:p>
      <w:pPr>
        <w:pStyle w:val="ListBullet"/>
        <w:spacing w:after="120" w:line="252" w:lineRule="auto"/>
      </w:pPr>
      <w:r>
        <w:t>L’incontinenza urinaria da sforzo viene rivelata durante l’anamnesi;</w:t>
      </w:r>
    </w:p>
    <w:p>
      <w:pPr>
        <w:pStyle w:val="ListBullet"/>
        <w:spacing w:after="120" w:line="252" w:lineRule="auto"/>
      </w:pPr>
      <w:r>
        <w:t>Il travaglio è stato lungo — paziente primipara;</w:t>
      </w:r>
    </w:p>
    <w:p>
      <w:pPr>
        <w:pStyle w:val="ListBullet"/>
        <w:spacing w:after="120" w:line="252" w:lineRule="auto"/>
      </w:pPr>
      <w:r>
        <w:t>L’esame ginecologico è normale. La radiografia mostra un lieve restringimento a livello L5-S1 senza spostamento della radice nervosa S1;</w:t>
      </w:r>
    </w:p>
    <w:p>
      <w:pPr>
        <w:pStyle w:val="ListBullet"/>
        <w:spacing w:after="120" w:line="252" w:lineRule="auto"/>
      </w:pPr>
      <w:r>
        <w:t>Il dolore la colpisce emotivamente perché è lavoratrice autonoma e desidera riprendere rapidamente l’attività professionale.</w:t>
      </w:r>
    </w:p>
    <w:p>
      <w:pPr>
        <w:pStyle w:val="Heading3"/>
        <w:spacing w:after="120" w:line="252" w:lineRule="auto"/>
      </w:pPr>
      <w:r>
        <w:t>Test</w:t>
      </w:r>
    </w:p>
    <w:p>
      <w:pPr>
        <w:pStyle w:val="ListBullet"/>
        <w:spacing w:after="120" w:line="252" w:lineRule="auto"/>
      </w:pPr>
      <w:r>
        <w:t>I test di ascolto globale in posizione eretta e seduta mostrano una flessione anteriore del tronco e una bassa flessione laterale sinistra.</w:t>
      </w:r>
    </w:p>
    <w:p>
      <w:pPr>
        <w:pStyle w:val="ListBullet"/>
        <w:spacing w:after="120" w:line="252" w:lineRule="auto"/>
      </w:pPr>
      <w:r>
        <w:t>I test vertebrali mostrano una lieve perdita di mobilità sinistra ai livelli vertebrali L2-L3 e L5-S1, e una fissazione sinistra dell’articolazione sacroiliaca e del coccige.</w:t>
      </w:r>
    </w:p>
    <w:p>
      <w:pPr>
        <w:pStyle w:val="ListBullet"/>
        <w:spacing w:after="120" w:line="252" w:lineRule="auto"/>
      </w:pPr>
      <w:r>
        <w:t>I test di ascolto locale in decubito supino mostrano un miglioramento del test di Lasègue completato quando la mano di ascolto posta sulla sinfisi pubica viene attirata leggermente verso sinistra e in profondità verso la regione cervico-istmica dell’utero.</w:t>
      </w:r>
    </w:p>
    <w:p>
      <w:pPr>
        <w:pStyle w:val="ListBullet"/>
        <w:spacing w:after="120" w:line="252" w:lineRule="auto"/>
      </w:pPr>
      <w:r>
        <w:t>In decubito laterale sinistro, le dita del terapeuta, poste nella regione addominale inferiore, percepiscono una resistenza alla mobilità uterina.</w:t>
      </w:r>
    </w:p>
    <w:p>
      <w:pPr>
        <w:pStyle w:val="ListBullet"/>
        <w:spacing w:after="120" w:line="252" w:lineRule="auto"/>
      </w:pPr>
      <w:r>
        <w:t>Il test dell’anca sinistra mostra una perdita della rotazione mediale.</w:t>
      </w:r>
    </w:p>
    <w:p>
      <w:pPr>
        <w:pStyle w:val="Heading3"/>
        <w:spacing w:after="120" w:line="252" w:lineRule="auto"/>
      </w:pPr>
      <w:r>
        <w:t>Meccanismo anatomo-fisiopatologico</w:t>
      </w:r>
    </w:p>
    <w:p>
      <w:pPr>
        <w:pStyle w:val="Heading3"/>
        <w:spacing w:after="120" w:line="252" w:lineRule="auto"/>
      </w:pPr>
      <w:r>
        <w:t>Sindrome locoregionale</w:t>
      </w:r>
    </w:p>
    <w:p>
      <w:pPr>
        <w:spacing w:after="120" w:line="252" w:lineRule="auto"/>
      </w:pPr>
      <w:r>
        <w:t>Nel modello ROP, la sciatalgia sinistra è correlata a una malposizione dell’utero, deviato a sinistra dalla tensione del legamento uterosacrale sinistro.</w:t>
      </w:r>
    </w:p>
    <w:p>
      <w:pPr>
        <w:spacing w:after="120" w:line="252" w:lineRule="auto"/>
      </w:pPr>
      <w:r>
        <w:t>Di conseguenza, si osservano:</w:t>
      </w:r>
    </w:p>
    <w:p>
      <w:pPr>
        <w:pStyle w:val="ListBullet"/>
        <w:spacing w:after="120" w:line="252" w:lineRule="auto"/>
      </w:pPr>
      <w:r>
        <w:t>fissazione parziale dell’articolazione sacroiliaca sinistra;</w:t>
      </w:r>
    </w:p>
    <w:p>
      <w:pPr>
        <w:pStyle w:val="ListBullet"/>
        <w:spacing w:after="120" w:line="252" w:lineRule="auto"/>
      </w:pPr>
      <w:r>
        <w:t>fibrosi del muscolo piriforme sinistro, che interferisce con il nervo sciatico;</w:t>
      </w:r>
    </w:p>
    <w:p>
      <w:pPr>
        <w:pStyle w:val="ListBullet"/>
        <w:spacing w:after="120" w:line="252" w:lineRule="auto"/>
      </w:pPr>
      <w:r>
        <w:t>deviazione dell’utero, che trascina con sé anche la vescica e il sacro;</w:t>
      </w:r>
    </w:p>
    <w:p>
      <w:pPr>
        <w:pStyle w:val="ListBullet"/>
        <w:spacing w:after="120" w:line="252" w:lineRule="auto"/>
      </w:pPr>
      <w:r>
        <w:t>fissazione sacrococcigea, che conduce a una perdita di elasticità e contrattilità del pavimento pelvico.</w:t>
      </w:r>
    </w:p>
    <w:p>
      <w:pPr>
        <w:pStyle w:val="Heading3"/>
        <w:spacing w:after="120" w:line="252" w:lineRule="auto"/>
      </w:pPr>
      <w:r>
        <w:t>Sindrome generale</w:t>
      </w:r>
    </w:p>
    <w:p>
      <w:pPr>
        <w:pStyle w:val="ListBullet"/>
        <w:spacing w:after="120" w:line="252" w:lineRule="auto"/>
      </w:pPr>
      <w:r>
        <w:t>Il ciclo mestruale è sotto il controllo ormonale e neurovegetativo dei centri diencefalici.</w:t>
      </w:r>
    </w:p>
    <w:p>
      <w:pPr>
        <w:pStyle w:val="ListBullet"/>
        <w:spacing w:after="120" w:line="252" w:lineRule="auto"/>
      </w:pPr>
      <w:r>
        <w:t>La fissazione sacrococcigea mette in tensione la dura madre spinale e, attraverso di essa, il Meccanismo Respiratorio Primario — MRP.</w:t>
      </w:r>
    </w:p>
    <w:p>
      <w:pPr>
        <w:pStyle w:val="ListBullet"/>
        <w:spacing w:after="120" w:line="252" w:lineRule="auto"/>
      </w:pPr>
      <w:r>
        <w:t>Il sistema portale drena il sangue venoso dalla pelvi. Qualsiasi fissazione epatica rallenta il ritorno venoso dalla piccola pelvi.</w:t>
      </w:r>
    </w:p>
    <w:p>
      <w:pPr>
        <w:pStyle w:val="ListBullet"/>
        <w:spacing w:after="120" w:line="252" w:lineRule="auto"/>
      </w:pPr>
      <w:r>
        <w:t>Anche il rene sinistro contribuisce al ritorno venoso dalla piccola pelvi.</w:t>
      </w:r>
    </w:p>
    <w:p>
      <w:pPr>
        <w:pStyle w:val="ListBullet"/>
        <w:spacing w:after="120" w:line="252" w:lineRule="auto"/>
      </w:pPr>
      <w:r>
        <w:t>Nella sua nuova vita di madre, il suo sistema limbico è attivato dall’ansia, dalla sciatalgia e dal ritorno all’attività professionale perturbato dalla maternità.</w:t>
      </w:r>
    </w:p>
    <w:p>
      <w:pPr>
        <w:pStyle w:val="Heading3"/>
        <w:spacing w:after="120" w:line="252" w:lineRule="auto"/>
      </w:pPr>
      <w:r>
        <w:t>Trattamento ROP</w:t>
      </w:r>
    </w:p>
    <w:p>
      <w:pPr>
        <w:pStyle w:val="Heading3"/>
        <w:spacing w:after="120" w:line="252" w:lineRule="auto"/>
      </w:pPr>
      <w:r>
        <w:t>1. Zone riflesse occipitali</w:t>
      </w:r>
    </w:p>
    <w:p>
      <w:pPr>
        <w:pStyle w:val="Heading3"/>
        <w:spacing w:after="120" w:line="252" w:lineRule="auto"/>
      </w:pPr>
      <w:r>
        <w:t>2. Sindrome generale di adattamento</w:t>
      </w:r>
    </w:p>
    <w:p>
      <w:pPr>
        <w:pStyle w:val="ListBullet"/>
        <w:spacing w:after="120" w:line="252" w:lineRule="auto"/>
      </w:pPr>
      <w:r>
        <w:t>MRP;</w:t>
      </w:r>
    </w:p>
    <w:p>
      <w:pPr>
        <w:pStyle w:val="ListBullet"/>
        <w:spacing w:after="120" w:line="252" w:lineRule="auto"/>
      </w:pPr>
      <w:r>
        <w:t>Diencefalo;</w:t>
      </w:r>
    </w:p>
    <w:p>
      <w:pPr>
        <w:pStyle w:val="ListBullet"/>
        <w:spacing w:after="120" w:line="252" w:lineRule="auto"/>
      </w:pPr>
      <w:r>
        <w:t>Tronco encefalico;</w:t>
      </w:r>
    </w:p>
    <w:p>
      <w:pPr>
        <w:pStyle w:val="ListBullet"/>
        <w:spacing w:after="120" w:line="252" w:lineRule="auto"/>
      </w:pPr>
      <w:r>
        <w:t>Ipofisi;</w:t>
      </w:r>
    </w:p>
    <w:p>
      <w:pPr>
        <w:pStyle w:val="ListBullet"/>
        <w:spacing w:after="120" w:line="252" w:lineRule="auto"/>
      </w:pPr>
      <w:r>
        <w:t>Ghiandole surrenali;</w:t>
      </w:r>
    </w:p>
    <w:p>
      <w:pPr>
        <w:pStyle w:val="ListBullet"/>
        <w:spacing w:after="120" w:line="252" w:lineRule="auto"/>
      </w:pPr>
      <w:r>
        <w:t>Colonna vertebrale;</w:t>
      </w:r>
    </w:p>
    <w:p>
      <w:pPr>
        <w:pStyle w:val="ListBullet"/>
        <w:spacing w:after="120" w:line="252" w:lineRule="auto"/>
      </w:pPr>
      <w:r>
        <w:t>Fegato;</w:t>
      </w:r>
    </w:p>
    <w:p>
      <w:pPr>
        <w:pStyle w:val="ListBullet"/>
        <w:spacing w:after="120" w:line="252" w:lineRule="auto"/>
      </w:pPr>
      <w:r>
        <w:t>Rene sinistro.</w:t>
      </w:r>
    </w:p>
    <w:p>
      <w:pPr>
        <w:pStyle w:val="Heading3"/>
        <w:spacing w:after="120" w:line="252" w:lineRule="auto"/>
      </w:pPr>
      <w:r>
        <w:t>3. Sindrome locoregionale</w:t>
      </w:r>
    </w:p>
    <w:p>
      <w:pPr>
        <w:pStyle w:val="ListBullet"/>
        <w:spacing w:after="120" w:line="252" w:lineRule="auto"/>
      </w:pPr>
      <w:r>
        <w:t>Regione cervico-istmica dell’utero;</w:t>
      </w:r>
    </w:p>
    <w:p>
      <w:pPr>
        <w:pStyle w:val="ListBullet"/>
        <w:spacing w:after="120" w:line="252" w:lineRule="auto"/>
      </w:pPr>
      <w:r>
        <w:t>Muscolo piriforme;</w:t>
      </w:r>
    </w:p>
    <w:p>
      <w:pPr>
        <w:pStyle w:val="ListBullet"/>
        <w:spacing w:after="120" w:line="252" w:lineRule="auto"/>
      </w:pPr>
      <w:r>
        <w:t>Legamenti sacrotuberoso e sacrospinoso;</w:t>
      </w:r>
    </w:p>
    <w:p>
      <w:pPr>
        <w:pStyle w:val="ListBullet"/>
        <w:spacing w:after="120" w:line="252" w:lineRule="auto"/>
      </w:pPr>
      <w:r>
        <w:t>Nervo pudendo;</w:t>
      </w:r>
    </w:p>
    <w:p>
      <w:pPr>
        <w:pStyle w:val="ListBullet"/>
        <w:spacing w:after="120" w:line="252" w:lineRule="auto"/>
      </w:pPr>
      <w:r>
        <w:t>Articolazioni sacrococcigea e sacroiliaca;</w:t>
      </w:r>
    </w:p>
    <w:p>
      <w:pPr>
        <w:pStyle w:val="ListBullet"/>
        <w:spacing w:after="120" w:line="252" w:lineRule="auto"/>
      </w:pPr>
      <w:r>
        <w:t>Plessi sacrale e sciatico sinistri.</w:t>
      </w:r>
    </w:p>
    <w:p>
      <w:pPr>
        <w:pStyle w:val="Heading3"/>
        <w:spacing w:after="120" w:line="252" w:lineRule="auto"/>
      </w:pPr>
      <w:r>
        <w:t>4. Sistema limbico</w:t>
      </w:r>
    </w:p>
    <w:p>
      <w:pPr>
        <w:pStyle w:val="ListBullet"/>
        <w:spacing w:after="120" w:line="252" w:lineRule="auto"/>
      </w:pPr>
      <w:r>
        <w:t>Amigdala;</w:t>
      </w:r>
    </w:p>
    <w:p>
      <w:pPr>
        <w:pStyle w:val="ListBullet"/>
        <w:spacing w:after="120" w:line="252" w:lineRule="auto"/>
      </w:pPr>
      <w:r>
        <w:t>Ippocampo;</w:t>
      </w:r>
    </w:p>
    <w:p>
      <w:pPr>
        <w:pStyle w:val="ListBullet"/>
        <w:spacing w:after="120" w:line="252" w:lineRule="auto"/>
      </w:pPr>
      <w:r>
        <w:t>Insula.</w:t>
      </w:r>
    </w:p>
    <w:p>
      <w:pPr>
        <w:pStyle w:val="Heading1"/>
        <w:spacing w:after="120" w:line="252" w:lineRule="auto"/>
      </w:pPr>
      <w:r>
        <w:t>6. Controindicazioni</w:t>
      </w:r>
    </w:p>
    <w:p>
      <w:pPr>
        <w:spacing w:after="120" w:line="252" w:lineRule="auto"/>
      </w:pPr>
      <w:r>
        <w:t>ROP appartiene a un quadro di cure funzionali. Qualsiasi sospetto di malattia organica o la presenza di un segno d’allarme richiede una valutazione medica.</w:t>
      </w:r>
    </w:p>
    <w:p>
      <w:pPr>
        <w:spacing w:after="120" w:line="252" w:lineRule="auto"/>
      </w:pPr>
      <w:r>
        <w:t>Sintomi che possono apparire innocui possono talvolta nascondere una malattia grave. È nostra responsabilità riconoscere i segni che devono portarci a non intervenire, conformemente al principio primum non nocere — prima di tutto, non nuocere.</w:t>
      </w:r>
    </w:p>
    <w:p>
      <w:pPr>
        <w:spacing w:after="120" w:line="252" w:lineRule="auto"/>
      </w:pPr>
      <w:r>
        <w:t>Dettaglieremo le controindicazioni per ciascun viscere, ma i seguenti sintomi devono già destare sospetto:</w:t>
      </w:r>
    </w:p>
    <w:p>
      <w:pPr>
        <w:pStyle w:val="ListBullet"/>
        <w:spacing w:after="120" w:line="252" w:lineRule="auto"/>
      </w:pPr>
      <w:r>
        <w:t>dolore non meccanico, aggravato durante la prima parte della notte;</w:t>
      </w:r>
    </w:p>
    <w:p>
      <w:pPr>
        <w:pStyle w:val="ListBullet"/>
        <w:spacing w:after="120" w:line="252" w:lineRule="auto"/>
      </w:pPr>
      <w:r>
        <w:t>dolore toracico atipico, dispnea, malessere;</w:t>
      </w:r>
    </w:p>
    <w:p>
      <w:pPr>
        <w:pStyle w:val="ListBullet"/>
        <w:spacing w:after="120" w:line="252" w:lineRule="auto"/>
      </w:pPr>
      <w:r>
        <w:t>sangue nelle urine o nelle feci;</w:t>
      </w:r>
    </w:p>
    <w:p>
      <w:pPr>
        <w:pStyle w:val="ListBullet"/>
        <w:spacing w:after="120" w:line="252" w:lineRule="auto"/>
      </w:pPr>
      <w:r>
        <w:t>febbre o malattia infettiva;</w:t>
      </w:r>
    </w:p>
    <w:p>
      <w:pPr>
        <w:pStyle w:val="ListBullet"/>
        <w:spacing w:after="120" w:line="252" w:lineRule="auto"/>
      </w:pPr>
      <w:r>
        <w:t>perdita di peso inspiegata;</w:t>
      </w:r>
    </w:p>
    <w:p>
      <w:pPr>
        <w:pStyle w:val="ListBullet"/>
        <w:spacing w:after="120" w:line="252" w:lineRule="auto"/>
      </w:pPr>
      <w:r>
        <w:t>rischio di migrazione di un trombo;</w:t>
      </w:r>
    </w:p>
    <w:p>
      <w:pPr>
        <w:pStyle w:val="ListBullet"/>
        <w:spacing w:after="120" w:line="252" w:lineRule="auto"/>
      </w:pPr>
      <w:r>
        <w:t>pallore e marcata stanchezza;</w:t>
      </w:r>
    </w:p>
    <w:p>
      <w:pPr>
        <w:pStyle w:val="ListBullet"/>
        <w:spacing w:after="120" w:line="252" w:lineRule="auto"/>
      </w:pPr>
      <w:r>
        <w:t>deficit neurologico: disfunzione sfinterica o disturbi sensitivi progressivi;</w:t>
      </w:r>
    </w:p>
    <w:p>
      <w:pPr>
        <w:pStyle w:val="ListBullet"/>
        <w:spacing w:after="120" w:line="252" w:lineRule="auto"/>
      </w:pPr>
      <w:r>
        <w:t>ansia o paura di morire;</w:t>
      </w:r>
    </w:p>
    <w:p>
      <w:pPr>
        <w:pStyle w:val="ListBullet"/>
        <w:spacing w:after="120" w:line="252" w:lineRule="auto"/>
      </w:pPr>
      <w:r>
        <w:t>ammettere la propria impotenza di fronte a un caso clinico che non si comprende.</w:t>
      </w:r>
    </w:p>
    <w:p>
      <w:pPr>
        <w:spacing w:after="120" w:line="252" w:lineRule="auto"/>
      </w:pPr>
      <w:r>
        <w:t>È importante conoscere le presentazioni delle malattie gravi, a causa del rischio di ritardare la diagnosi medica, soprattutto quando i pazienti ci consultano come professionisti di prima linea senza precedente screening medico.</w:t>
      </w:r>
    </w:p>
    <w:p>
      <w:pPr>
        <w:spacing w:after="120" w:line="252" w:lineRule="auto"/>
      </w:pPr>
      <w:r>
        <w:t>ROP non deve sostituire un trattamento medico appropriato. Mantiene tuttavia il suo posto come terapia integrativa accanto alla medicina convenzionale, contribuendo a ridurre le conseguenze funzionali della malattia o gli effetti indesiderati ma talvolta inevitabili di trattamenti farmacologici intensivi, in particolare in oncologia, o semplicemente a sostenere i pazienti nel loro benessere.</w:t>
      </w:r>
    </w:p>
    <w:p>
      <w:pPr>
        <w:pStyle w:val="Heading3"/>
        <w:spacing w:after="120" w:line="252" w:lineRule="auto"/>
      </w:pPr>
      <w:r>
        <w:t>Esempio</w:t>
      </w:r>
    </w:p>
    <w:p>
      <w:pPr>
        <w:spacing w:after="120" w:line="252" w:lineRule="auto"/>
      </w:pPr>
      <w:r>
        <w:t>Dopo un intervento chirurgico addominale, un intervento basato sui riflessi può ridurre gli spasmi della muscolatura liscia dei visceri, sostenere il ripristino del transito intestinale e ridurre il ricorso a farmaci analgesici e sintomatici.</w:t>
      </w:r>
    </w:p>
    <w:p>
      <w:pPr>
        <w:spacing w:after="120" w:line="252" w:lineRule="auto"/>
      </w:pPr>
      <w:r>
        <w:t>Agendo a distanza attraverso le vie riflesse, lontano dal viscere disfunzionale, il rischio di effetti iatrogeni è limitato: ciò offre sicurezza sia al paziente sia al terapeuta.</w:t>
      </w:r>
    </w:p>
    <w:p>
      <w:pPr>
        <w:pStyle w:val="Heading1"/>
        <w:spacing w:after="120" w:line="252" w:lineRule="auto"/>
      </w:pPr>
      <w:r>
        <w:t>7. Indicazioni</w:t>
      </w:r>
    </w:p>
    <w:p>
      <w:pPr>
        <w:spacing w:after="120" w:line="252" w:lineRule="auto"/>
      </w:pPr>
      <w:r>
        <w:t>Le indicazioni si basano sull’anamnesi, sui test, sulla coerenza delle zone riflesse e sulla gerarchia del terreno.</w:t>
      </w:r>
    </w:p>
    <w:p>
      <w:pPr>
        <w:spacing w:after="120" w:line="252" w:lineRule="auto"/>
      </w:pPr>
      <w:r>
        <w:t>Le patologie funzionali costituiscono il principale campo delle cosiddette terapie integrative.</w:t>
      </w:r>
    </w:p>
    <w:p>
      <w:pPr>
        <w:spacing w:after="120" w:line="252" w:lineRule="auto"/>
      </w:pPr>
      <w:r>
        <w:t>Sono la conseguenza di uno squilibrio del sistema neurovascolare che compare a monte della malattia.</w:t>
      </w:r>
    </w:p>
    <w:p>
      <w:pPr>
        <w:spacing w:after="120" w:line="252" w:lineRule="auto"/>
      </w:pPr>
      <w:r>
        <w:t>La loro caratteristica particolare è di essere reversibili, extracellulari e poco — o per nulla — rilevabili con radiografia, TC o RM, perché l’alterazione anatomica non è ancora iniziata.</w:t>
      </w:r>
    </w:p>
    <w:p>
      <w:pPr>
        <w:spacing w:after="120" w:line="252" w:lineRule="auto"/>
      </w:pPr>
      <w:r>
        <w:t>Finché la vitalità dell’organismo è capace di adattamento-compensazione, la salute viene preservata. Il nostro ruolo è aiutare il paziente a migliorare la propria vitalità per ripristinare l’equilibrio fisiologico.</w:t>
      </w:r>
    </w:p>
    <w:p>
      <w:pPr>
        <w:spacing w:after="120" w:line="252" w:lineRule="auto"/>
      </w:pPr>
      <w:r>
        <w:t>Dettaglieremo i sintomi funzionali per ciascun viscere. I tipi più comuni di sintomi funzionali incontrati sono:</w:t>
      </w:r>
    </w:p>
    <w:p>
      <w:pPr>
        <w:pStyle w:val="ListBullet"/>
        <w:spacing w:after="120" w:line="252" w:lineRule="auto"/>
      </w:pPr>
      <w:r>
        <w:t>dolore muscoloscheletrico;</w:t>
      </w:r>
    </w:p>
    <w:p>
      <w:pPr>
        <w:pStyle w:val="ListBullet"/>
        <w:spacing w:after="120" w:line="252" w:lineRule="auto"/>
      </w:pPr>
      <w:r>
        <w:t>sequele di trauma osteo-muscolo-articolare;</w:t>
      </w:r>
    </w:p>
    <w:p>
      <w:pPr>
        <w:pStyle w:val="ListBullet"/>
        <w:spacing w:after="120" w:line="252" w:lineRule="auto"/>
      </w:pPr>
      <w:r>
        <w:t>sequele di trauma dei nervi spinali e cranici;</w:t>
      </w:r>
    </w:p>
    <w:p>
      <w:pPr>
        <w:pStyle w:val="ListBullet"/>
        <w:spacing w:after="120" w:line="252" w:lineRule="auto"/>
      </w:pPr>
      <w:r>
        <w:t>disfunzioni viscerali correlate a fissazioni tissutali e ad anelli neurovegetativi;</w:t>
      </w:r>
    </w:p>
    <w:p>
      <w:pPr>
        <w:pStyle w:val="ListBullet"/>
        <w:spacing w:after="120" w:line="252" w:lineRule="auto"/>
      </w:pPr>
      <w:r>
        <w:t>disturbi viscerosomatici e somatoviscerali;</w:t>
      </w:r>
    </w:p>
    <w:p>
      <w:pPr>
        <w:pStyle w:val="ListBullet"/>
        <w:spacing w:after="120" w:line="252" w:lineRule="auto"/>
      </w:pPr>
      <w:r>
        <w:t>disturbi della regolazione neurovegetativa;</w:t>
      </w:r>
    </w:p>
    <w:p>
      <w:pPr>
        <w:pStyle w:val="ListBullet"/>
        <w:spacing w:after="120" w:line="252" w:lineRule="auto"/>
      </w:pPr>
      <w:r>
        <w:t>stress emozionale e ansia.</w:t>
      </w:r>
    </w:p>
    <w:p>
      <w:pPr>
        <w:pStyle w:val="Heading1"/>
        <w:spacing w:after="120" w:line="252" w:lineRule="auto"/>
      </w:pPr>
      <w:r>
        <w:t>8. Effetti del trattamento riflessoterapico</w:t>
      </w:r>
    </w:p>
    <w:p>
      <w:pPr>
        <w:spacing w:after="120" w:line="252" w:lineRule="auto"/>
      </w:pPr>
      <w:r>
        <w:t>Come già affermato nell’introduzione, osserviamo spesso risultati clinici che non possiamo ancora misurare oggettivamente.</w:t>
      </w:r>
    </w:p>
    <w:p>
      <w:pPr>
        <w:spacing w:after="120" w:line="252" w:lineRule="auto"/>
      </w:pPr>
      <w:r>
        <w:t>La nostra azione ha effetti sia locali sia generali:</w:t>
      </w:r>
    </w:p>
    <w:p>
      <w:pPr>
        <w:pStyle w:val="ListBullet"/>
        <w:spacing w:after="120" w:line="252" w:lineRule="auto"/>
      </w:pPr>
      <w:r>
        <w:t>azione analgesica;</w:t>
      </w:r>
    </w:p>
    <w:p>
      <w:pPr>
        <w:pStyle w:val="ListBullet"/>
        <w:spacing w:after="120" w:line="252" w:lineRule="auto"/>
      </w:pPr>
      <w:r>
        <w:t>riequilibrio neurovegetativo: spostamento verso segni parasimpatici — calma, sbadigli, sonnolenza, rilassamento marcato, bisogno di riposo;</w:t>
      </w:r>
    </w:p>
    <w:p>
      <w:pPr>
        <w:pStyle w:val="ListBullet"/>
        <w:spacing w:after="120" w:line="252" w:lineRule="auto"/>
      </w:pPr>
      <w:r>
        <w:t>miglioramento del transito intestinale, della diuresi e delle sensazioni viscerali;</w:t>
      </w:r>
    </w:p>
    <w:p>
      <w:pPr>
        <w:pStyle w:val="ListBullet"/>
        <w:spacing w:after="120" w:line="252" w:lineRule="auto"/>
      </w:pPr>
      <w:r>
        <w:t>riduzione delle fissazioni vertebrali a livello metamerico del viscere — relazione viscerosomatica.</w:t>
      </w:r>
    </w:p>
    <w:p>
      <w:pPr>
        <w:pStyle w:val="Heading1"/>
        <w:spacing w:after="120" w:line="252" w:lineRule="auto"/>
      </w:pPr>
      <w:r>
        <w:t>9. Reazioni al trattamento</w:t>
      </w:r>
    </w:p>
    <w:p>
      <w:pPr>
        <w:pStyle w:val="Heading2"/>
        <w:spacing w:after="120" w:line="252" w:lineRule="auto"/>
      </w:pPr>
      <w:r>
        <w:t>Reazioni immediate</w:t>
      </w:r>
    </w:p>
    <w:p>
      <w:pPr>
        <w:pStyle w:val="ListBullet"/>
        <w:spacing w:after="120" w:line="252" w:lineRule="auto"/>
      </w:pPr>
      <w:r>
        <w:t>Rilassamento.</w:t>
      </w:r>
    </w:p>
    <w:p>
      <w:pPr>
        <w:pStyle w:val="Heading2"/>
        <w:spacing w:after="120" w:line="252" w:lineRule="auto"/>
      </w:pPr>
      <w:r>
        <w:t>Reazioni entro 24-48 ore</w:t>
      </w:r>
    </w:p>
    <w:p>
      <w:pPr>
        <w:pStyle w:val="ListBullet"/>
        <w:spacing w:after="120" w:line="252" w:lineRule="auto"/>
      </w:pPr>
      <w:r>
        <w:t>Indolenzimento muscolare o lieve affaticabilità;</w:t>
      </w:r>
    </w:p>
    <w:p>
      <w:pPr>
        <w:pStyle w:val="ListBullet"/>
        <w:spacing w:after="120" w:line="252" w:lineRule="auto"/>
      </w:pPr>
      <w:r>
        <w:t>Sogni, emersione di ricordi.</w:t>
      </w:r>
    </w:p>
    <w:p>
      <w:pPr>
        <w:spacing w:after="120" w:line="252" w:lineRule="auto"/>
      </w:pPr>
      <w:r>
        <w:t>Queste reazioni transitorie sono benefiche e persino desiderabili, e sono specifiche di ciascun individuo. Possono riflettere l’adattamento dell’organismo a uno stressor certamente positivo, ma a esso non familiare.</w:t>
      </w:r>
    </w:p>
    <w:p>
      <w:pPr>
        <w:spacing w:after="120" w:line="252" w:lineRule="auto"/>
      </w:pPr>
      <w:r>
        <w:t>Nel modello ROP, vengono interpretate come segni di eliminazione e regolazione fisiologica, tradizionalmente descritti come eliminazione di “tossine” accumulate. Vedere Fase di recupero della Sindrome Generale da Stress, p. …</w:t>
      </w:r>
    </w:p>
    <w:p>
      <w:pPr>
        <w:spacing w:after="120" w:line="252" w:lineRule="auto"/>
      </w:pPr>
      <w:r>
        <w:t>Se le reazioni sono intense, durano oltre 72 ore o sono accompagnate da segni preoccupanti, la situazione deve essere rivalutata e il paziente indirizzato al medico.</w:t>
      </w:r>
    </w:p>
    <w:p>
      <w:pPr>
        <w:pStyle w:val="Heading2"/>
        <w:spacing w:after="120" w:line="252" w:lineRule="auto"/>
      </w:pPr>
      <w:r>
        <w:t>Reazioni nelle settimane successive</w:t>
      </w:r>
    </w:p>
    <w:p>
      <w:pPr>
        <w:spacing w:after="120" w:line="252" w:lineRule="auto"/>
      </w:pPr>
      <w:r>
        <w:t>Il recupero della vitalità dovrebbe agire non solo localmente, a livello visceroghiandolare, ma anche sulla regolazione ormonale e biochimica, sull’immunità locale e generale e sulla psiche, sebbene questi effetti non possano necessariamente essere misurati oggettivamente.</w:t>
      </w:r>
    </w:p>
    <w:p>
      <w:pPr>
        <w:spacing w:after="120" w:line="252" w:lineRule="auto"/>
      </w:pPr>
      <w:r>
        <w:t>L’intervallo di tre-quattro settimane deve essere rispettato per permettere all’organismo di integrare i cambiamenti prima di intraprendere la seduta successiva.</w:t>
      </w:r>
    </w:p>
    <w:p>
      <w:pPr>
        <w:pStyle w:val="Heading1"/>
        <w:spacing w:after="120" w:line="252" w:lineRule="auto"/>
      </w:pPr>
      <w:r>
        <w:t>10. Consigli</w:t>
      </w:r>
    </w:p>
    <w:p>
      <w:pPr>
        <w:spacing w:after="120" w:line="252" w:lineRule="auto"/>
      </w:pPr>
      <w:r>
        <w:t>“Prima di cercare di guarire qualcuno, chiedigli se è pronto a rinunciare alle cose che lo hanno fatto ammalare.” — tradizionalmente attribuito a Ippocrate</w:t>
      </w:r>
    </w:p>
    <w:p>
      <w:pPr>
        <w:spacing w:after="120" w:line="252" w:lineRule="auto"/>
      </w:pPr>
      <w:r>
        <w:t>Anche il miglior trattamento non può garantire un miglioramento significativo e duraturo se non è accompagnato da consigli essenziali per prolungare l’effetto del trattamento.</w:t>
      </w:r>
    </w:p>
    <w:p>
      <w:pPr>
        <w:spacing w:after="120" w:line="252" w:lineRule="auto"/>
      </w:pPr>
      <w:r>
        <w:t>Questi consigli si basano il più delle volte sul buon senso:</w:t>
      </w:r>
    </w:p>
    <w:p>
      <w:pPr>
        <w:pStyle w:val="ListBullet"/>
        <w:spacing w:after="120" w:line="252" w:lineRule="auto"/>
      </w:pPr>
      <w:r>
        <w:t>riposo relativo — evitare il sovraccarico fisico il giorno del trattamento;</w:t>
      </w:r>
    </w:p>
    <w:p>
      <w:pPr>
        <w:pStyle w:val="ListBullet"/>
        <w:spacing w:after="120" w:line="252" w:lineRule="auto"/>
      </w:pPr>
      <w:r>
        <w:t>alimentazione sana;</w:t>
      </w:r>
    </w:p>
    <w:p>
      <w:pPr>
        <w:pStyle w:val="ListBullet"/>
        <w:spacing w:after="120" w:line="252" w:lineRule="auto"/>
      </w:pPr>
      <w:r>
        <w:t>idratazione adeguata;</w:t>
      </w:r>
    </w:p>
    <w:p>
      <w:pPr>
        <w:pStyle w:val="ListBullet"/>
        <w:spacing w:after="120" w:line="252" w:lineRule="auto"/>
      </w:pPr>
      <w:r>
        <w:t>attività fisica regolare;</w:t>
      </w:r>
    </w:p>
    <w:p>
      <w:pPr>
        <w:pStyle w:val="ListBullet"/>
        <w:spacing w:after="120" w:line="252" w:lineRule="auto"/>
      </w:pPr>
      <w:r>
        <w:t>diventare parte attiva della propria salute;</w:t>
      </w:r>
    </w:p>
    <w:p>
      <w:pPr>
        <w:pStyle w:val="ListBullet"/>
        <w:spacing w:after="120" w:line="252" w:lineRule="auto"/>
      </w:pPr>
      <w:r>
        <w:t>mantenere pensieri positivi;</w:t>
      </w:r>
    </w:p>
    <w:p>
      <w:pPr>
        <w:pStyle w:val="ListBullet"/>
        <w:spacing w:after="120" w:line="252" w:lineRule="auto"/>
      </w:pPr>
      <w:r>
        <w:t>avere una vita sociale appagante, sia personale sia professionale;</w:t>
      </w:r>
    </w:p>
    <w:p>
      <w:pPr>
        <w:pStyle w:val="ListBullet"/>
        <w:spacing w:after="120" w:line="252" w:lineRule="auto"/>
      </w:pPr>
      <w:r>
        <w:t>registrare i cambiamenti: dolore da 0 a 10, sonno, transito intestinale, energia;</w:t>
      </w:r>
    </w:p>
    <w:p>
      <w:pPr>
        <w:pStyle w:val="ListBullet"/>
        <w:spacing w:after="120" w:line="252" w:lineRule="auto"/>
      </w:pPr>
      <w:r>
        <w:t>ritornare con questi elementi per valutare l’effetto in modo più oggettivo e adattare la gerarchia del trattamento.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>Capitolo 2 - Trattamento mediante Riflessoterapia Occipito-Podalica (ROP)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