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widowControl/>
      </w:pPr>
      <w:r>
        <w:rPr>
          <w:rFonts w:ascii="Aptos Display" w:hAnsi="Aptos Display"/>
          <w:b/>
          <w:color w:val="3E6F70"/>
          <w:sz w:val="36"/>
        </w:rPr>
        <w:t>Capítulo 2</w:t>
      </w:r>
    </w:p>
    <w:p>
      <w:pPr>
        <w:spacing w:after="160"/>
        <w:widowControl/>
      </w:pPr>
      <w:r>
        <w:rPr>
          <w:rFonts w:ascii="Aptos Display" w:hAnsi="Aptos Display"/>
          <w:b/>
          <w:color w:val="2F3437"/>
          <w:sz w:val="50"/>
        </w:rPr>
        <w:t>Tratamento por Reflexoterapia Occipito-Podal (ROP)</w:t>
      </w:r>
    </w:p>
    <w:p>
      <w:pPr>
        <w:spacing w:after="240"/>
        <w:pBdr>
          <w:bottom w:val="single" w:sz="14" w:space="1" w:color="3E6F70"/>
        </w:pBdr>
        <w:widowControl/>
      </w:pPr>
    </w:p>
    <w:p>
      <w:pPr>
        <w:pStyle w:val="BodyText"/>
        <w:spacing w:after="140"/>
        <w:ind w:left="0" w:firstLine="255"/>
        <w:widowControl/>
      </w:pPr>
      <w:r>
        <w:rPr>
          <w:i w:val="0"/>
        </w:rPr>
        <w:t>A Reflexoterapia Occipito-Podal (ROP) faz parte de uma abordagem funcional e integrativa para o cuidado. O tratamento é guiado pela história do paciente, exame clínico, testes de escuta, avaliação de zonas reflexas e a resposta observada. Segue a sequência clínica apresentada no Capítulo 0, recorrendo, quando pertinente, à base neuroanatómica de vias de entrada somáticas, convergência espinal e vias supraespinais. Seu objetivo é envolver as capacidades de cura, regulação ou compensação do paciente.</w:t>
      </w:r>
    </w:p>
    <w:tbl>
      <w:tblPr>
        <w:tblW w:type="auto" w:w="0"/>
        <w:jc w:val="center"/>
        <w:tblLayout w:type="autofit"/>
        <w:tblLook w:firstColumn="1" w:firstRow="1" w:lastColumn="0" w:lastRow="0" w:noHBand="0" w:noVBand="1" w:val="04A0"/>
      </w:tblPr>
      <w:tblGrid>
        <w:gridCol w:w="9915"/>
      </w:tblGrid>
      <w:tr>
        <w:trPr>
          <w:cantSplit/>
        </w:trPr>
        <w:tc>
          <w:tcPr>
            <w:tcW w:type="dxa" w:w="9915"/>
            <w:shd w:fill="F3EEE5"/>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Princípios Orientadores</w:t>
            </w:r>
          </w:p>
          <w:p>
            <w:pPr>
              <w:keepLines/>
              <w:spacing w:after="60" w:line="259" w:lineRule="auto"/>
            </w:pPr>
            <w:r>
              <w:rPr>
                <w:b/>
              </w:rPr>
              <w:t>A pressão é suave, precisa e indolor.</w:t>
            </w:r>
            <w:r/>
          </w:p>
          <w:p>
            <w:pPr>
              <w:keepLines/>
              <w:spacing w:after="60" w:line="259" w:lineRule="auto"/>
            </w:pPr>
            <w:r>
              <w:rPr>
                <w:b/>
              </w:rPr>
              <w:t>Priorizar em vez de aplicar um protocolo fixo. Os testes e a situação clínica determinam prioridades.</w:t>
            </w:r>
            <w:r/>
          </w:p>
          <w:p>
            <w:pPr>
              <w:keepLines/>
              <w:spacing w:after="60" w:line="259" w:lineRule="auto"/>
            </w:pPr>
            <w:r>
              <w:rPr>
                <w:b/>
              </w:rPr>
              <w:t>Observe em vez de presumir. A resposta do paciente é monitorada nas horas e dias seguintes à sessão.</w:t>
            </w:r>
            <w:r/>
          </w:p>
          <w:p>
            <w:pPr>
              <w:keepLines/>
              <w:spacing w:after="60" w:line="259" w:lineRule="auto"/>
            </w:pPr>
            <w:r>
              <w:rPr>
                <w:b/>
              </w:rPr>
              <w:t>Consulte quando necessário. Qualquer suspeita de doença orgânica ou um sinal de alerta requer avaliação médica.</w:t>
            </w:r>
            <w:r/>
          </w:p>
        </w:tc>
      </w:tr>
    </w:tbl>
    <w:p>
      <w:pPr>
        <w:spacing w:after="0"/>
        <w:widowControl/>
      </w:pPr>
    </w:p>
    <w:p>
      <w:pPr>
        <w:pStyle w:val="Heading1"/>
        <w:keepNext/>
        <w:keepLines/>
        <w:widowControl/>
        <w:spacing w:before="200" w:after="80"/>
      </w:pPr>
      <w:r>
        <w:t>1. Técnica</w:t>
      </w:r>
    </w:p>
    <w:p>
      <w:pPr>
        <w:pStyle w:val="Heading2"/>
        <w:keepNext/>
        <w:keepLines/>
        <w:widowControl/>
        <w:spacing w:before="140" w:after="60"/>
      </w:pPr>
      <w:r>
        <w:t>1.1. Contacto manual e pressão</w:t>
      </w:r>
    </w:p>
    <w:p>
      <w:pPr>
        <w:pStyle w:val="ListBullet"/>
        <w:spacing w:after="50"/>
        <w:ind w:left="369" w:hanging="170"/>
        <w:widowControl/>
      </w:pPr>
      <w:r>
        <w:t>A técnica é exclusivamente manual. O praticante usa a almofada do polegar ou a articulação interfalângica proximal do dedo indicador, sem óleo ou creme.</w:t>
      </w:r>
    </w:p>
    <w:p>
      <w:pPr>
        <w:pStyle w:val="ListBullet"/>
        <w:spacing w:after="50"/>
        <w:ind w:left="369" w:hanging="170"/>
        <w:widowControl/>
      </w:pPr>
      <w:r>
        <w:t>A pressão é suave, progressiva e indolor. Mobiliza a camada epidérmica-dérmica das zonas reflexo occipital e plantar, preservando a percepção de marcos ósseos e textura da pele.</w:t>
      </w:r>
    </w:p>
    <w:p>
      <w:pPr>
        <w:pStyle w:val="ListBullet"/>
      </w:pPr>
      <w:r>
        <w:t>A qualidade do contacto depende não só da intensidade da pressão: a velocidade de mobilização, a estabilidade e a duração do contacto, e as características térmicas da mão também são componentes do estímulo cutâneo.</w:t>
      </w:r>
    </w:p>
    <w:p>
      <w:pPr>
        <w:pStyle w:val="ListBullet"/>
        <w:spacing w:after="50"/>
        <w:ind w:left="369" w:hanging="170"/>
        <w:widowControl/>
      </w:pPr>
      <w:r>
        <w:t>Dor aguda, força excessiva ou fricção vigorosa indicam superestimulação e devem ser evitadas.</w:t>
      </w:r>
    </w:p>
    <w:p>
      <w:pPr>
        <w:pStyle w:val="Heading2"/>
        <w:keepNext/>
        <w:keepLines/>
        <w:widowControl/>
        <w:spacing w:before="140" w:after="60"/>
      </w:pPr>
      <w:r>
        <w:t>1.2. Mecanorecepção e informações táteis</w:t>
      </w:r>
    </w:p>
    <w:p>
      <w:pPr>
        <w:pStyle w:val="BodyText"/>
        <w:spacing w:after="80"/>
        <w:ind w:left="0" w:firstLine="255"/>
        <w:widowControl/>
      </w:pPr>
      <w:r>
        <w:rPr>
          <w:i w:val="0"/>
        </w:rPr>
        <w:t>A estimulação cutânea ativa, em particular, mecanorreceptores de baixo limiar em pele glabrosa, incluindo:</w:t>
      </w:r>
    </w:p>
    <w:p>
      <w:pPr>
        <w:pStyle w:val="ListBullet"/>
        <w:spacing w:after="50"/>
        <w:ind w:left="369" w:hanging="170"/>
        <w:widowControl/>
      </w:pPr>
      <w:r>
        <w:t>Corpúsculos Meisner, sensíveis ao toque leve e mudanças sutis na pressão;</w:t>
      </w:r>
    </w:p>
    <w:p>
      <w:pPr>
        <w:pStyle w:val="ListBullet"/>
        <w:spacing w:after="50"/>
        <w:ind w:left="369" w:hanging="170"/>
        <w:widowControl/>
      </w:pPr>
      <w:r>
        <w:t>Discos de Merkel, sensíveis à pressão suave e sustentada e a características de forma e textura.</w:t>
      </w:r>
    </w:p>
    <w:p>
      <w:pPr>
        <w:pStyle w:val="BodyText"/>
        <w:spacing w:after="80"/>
        <w:ind w:left="0" w:firstLine="255"/>
        <w:widowControl/>
      </w:pPr>
      <w:r>
        <w:rPr>
          <w:i w:val="0"/>
        </w:rPr>
        <w:t>Quando a camada epidérmico-dérmica é deformada sob o dedo, os mecanorrecetores geram atividade aferente, transmitida através de um ramo periférico e depois por um nervo até à medula espinal e aos centros superiores. A sequência interpretativa proposta neste volume é simples: pressão local → mecanorrecetores → ramo periférico → nervo → raízes espinais → redes espinais e supraespinais. No modelo ROP, esta informação sensorial constitui uma via de entrada capaz de modificar a excitabilidade das redes somáticas, autónomas ou viscerais. A teoria do controlo do portão pode ajudar a explicar parte do efeito analgésico imediato da estimulação tátil não dolorosa.</w:t>
      </w:r>
    </w:p>
    <w:p>
      <w:pPr>
        <w:pStyle w:val="BodyText"/>
      </w:pPr>
      <w:r>
        <w:t>O toque cutâneo, no entanto, não depende de um único sistema aferente. Ao lado de mecanorreceptores associados a fibras mielinizadas rápidas, estudos microneurográficos humanos identificaram aferentes mecanosensíveis não mielinizados do tipo C que respondem a estimulação tátil não nociva. Primeiramente descritos por Vallbo e colegas em 1993 em pele peluda, esses aferentes foram posteriormente estudados sob o termo C-tátil [1].</w:t>
      </w:r>
    </w:p>
    <w:p>
      <w:pPr>
        <w:pStyle w:val="BodyText"/>
      </w:pPr>
      <w:r>
        <w:t>Estudos subsequentes mostram que sua resposta não depende apenas da intensidade mecânica do contacto, mas também de suas características físicas. Durante o contacto suave da pele, as fibras CT respondem preferencialmente às velocidades de contacto de pele lenta a intermediária de aproximadamente 1–10 cm/s, que também estão associadas a uma percepção mais agradável do toque. [2] A sua atividade é também modulada pela temperatura: num estudo que comparou a estimulação a 18 °C, 32 °C e 42 °C, a resposta foi máxima em torno dos 32 °C, uma temperatura próxima da superfície cutânea e, portanto, do contacto pele com pele. [3] Estes resultados ilustram que a qualidade da estimulação manual depende de vários parâmetros — intensidade, velocidade, temperatura e duração do contacto — e não apenas da força aplicada.</w:t>
      </w:r>
    </w:p>
    <w:p>
      <w:pPr>
        <w:pStyle w:val="BodyText"/>
      </w:pPr>
      <w:r>
        <w:t>No entanto, este caminho não deve ser extrapolado diretamente para ROP. As fibras C-tácteis foram caracterizadas principalmente em pele peluda, enquanto a única é a pele glabrosa na qual os aferentes táteis mielinizados desempenham um papel importante. Qualquer contribuição que possam fazer para a estimulação plantar manualQ deve, portanto, ser distinguida dos mecanismos mecanossensórios mais bem estabelecidos. Aqui, os dados sobre fibras CTX fornecem um modelo de prova de toque, fisiologia.</w:t>
      </w:r>
    </w:p>
    <w:p>
      <w:pPr>
        <w:pStyle w:val="BodyText"/>
      </w:pPr>
      <w:r>
        <w:t>A sola do pé é a via de entrada mecânica mais bem documentada, principalmente através de ramos do nervo tibial. A borda lateral, o dorso e o aspecto medial do pé fornecem outras vias de entrada somáticas através dos nervos sural, fibular e safeno, respectivamente. Esses territórios não são mapas de órgãos; correspondem a diferentes entradas periféricas que podem ser comparadas.</w:t>
      </w:r>
    </w:p>
    <w:p>
      <w:pPr>
        <w:pStyle w:val="BodyText"/>
      </w:pPr>
      <w:r>
        <w:t>Esclarecimento metodológico A pressão manual ROP não é equivalente à estimulação elétrica direta de um nervo. Estudos de neuromodulação fornecem modelos de circuito e argumentos de plausibilidade; eles não demonstram automaticamente que a pressão manual produz a mesma resposta.</w:t>
      </w:r>
    </w:p>
    <w:tbl>
      <w:tblPr>
        <w:tblW w:type="auto" w:w="0"/>
        <w:jc w:val="center"/>
        <w:tblLayout w:type="autofit"/>
        <w:tblLook w:firstColumn="1" w:firstRow="1" w:lastColumn="0" w:lastRow="0" w:noHBand="0" w:noVBand="1" w:val="04A0"/>
      </w:tblPr>
      <w:tblGrid>
        <w:gridCol w:w="9915"/>
      </w:tblGrid>
      <w:tr>
        <w:trPr>
          <w:cantSplit/>
        </w:trPr>
        <w:tc>
          <w:tcPr>
            <w:tcW w:type="dxa" w:w="9915"/>
            <w:shd w:fill="F7F3EA"/>
            <w:tcBorders>
              <w:top w:val="nil"/>
              <w:left w:val="single" w:sz="18" w:color="B47C5A"/>
              <w:bottom w:val="nil"/>
              <w:right w:val="nil"/>
            </w:tcBorders>
            <w:tcMar>
              <w:top w:w="150" w:type="dxa"/>
              <w:start w:w="220" w:type="dxa"/>
              <w:bottom w:w="150" w:type="dxa"/>
              <w:end w:w="220" w:type="dxa"/>
            </w:tcMar>
            <w:vAlign w:val="center"/>
          </w:tcPr>
          <w:p>
            <w:pPr>
              <w:keepLines/>
              <w:spacing w:after="100"/>
            </w:pPr>
            <w:r>
              <w:rPr>
                <w:b/>
                <w:color w:val="2F3437"/>
                <w:sz w:val="23"/>
              </w:rPr>
              <w:t>Relevância para ROP</w:t>
            </w:r>
          </w:p>
          <w:p>
            <w:pPr>
              <w:keepLines/>
              <w:spacing w:after="60" w:line="259" w:lineRule="auto"/>
            </w:pPr>
            <w:r>
              <w:t>Força e fricção vigorosa durante a massagem reflexa devem ser evitados. Quanto maior a pressão, mais o praticante percebe seus próprios dedos em detrimento dos marcos ósseos e mudanças texturais que orientam a busca por zonas reflexas.</w:t>
            </w:r>
          </w:p>
          <w:p>
            <w:pPr>
              <w:keepLines/>
              <w:spacing w:after="60" w:line="259" w:lineRule="auto"/>
            </w:pPr>
            <w:r>
              <w:t>Mesmo quando realizada corretamente, uma sessão constitui um estímulo para o corpo. Deve levar em conta a vitalidade e a capacidade adaptativa do paciente.</w:t>
            </w:r>
          </w:p>
        </w:tc>
      </w:tr>
    </w:tbl>
    <w:p>
      <w:pPr>
        <w:spacing w:after="0"/>
        <w:widowControl/>
      </w:pPr>
    </w:p>
    <w:p>
      <w:pPr>
        <w:pStyle w:val="Heading2"/>
        <w:keepNext/>
        <w:keepLines/>
        <w:widowControl/>
        <w:spacing w:before="140" w:after="60"/>
      </w:pPr>
      <w:r>
        <w:t>1.3. As três fases da massagem</w:t>
      </w:r>
    </w:p>
    <w:p>
      <w:pPr>
        <w:pStyle w:val="BodyText"/>
        <w:spacing w:after="60"/>
        <w:ind w:left="369" w:hanging="312"/>
        <w:widowControl/>
      </w:pPr>
      <w:r>
        <w:rPr>
          <w:b/>
        </w:rPr>
        <w:t>1. Fase de identificação textural. O praticante procura por áreas que mostram textura alterada da pele occipital ou plantar: rugosidade, densidade aumentada, deslizamento reduzido ou sensação granular, às vezes descrita como “cristais” na terminologia de palpação ROP. Este termo não implica a presença de depósitos cristalinos nos tecidos. Esses achados complementam a história, o exame clínico e os testes; eles não constituem um diagnóstico.</w:t>
      </w:r>
      <w:r>
        <w:rPr>
          <w:b/>
        </w:rPr>
      </w:r>
      <w:r/>
      <w:r>
        <w:rPr>
          <w:b/>
        </w:rPr>
      </w:r>
      <w:r>
        <w:rPr>
          <w:b w:val="0"/>
        </w:rPr>
      </w:r>
    </w:p>
    <w:p>
      <w:pPr>
        <w:pStyle w:val="BodyText"/>
        <w:spacing w:after="60"/>
        <w:ind w:left="369" w:hanging="312"/>
        <w:widowControl/>
      </w:pPr>
      <w:r>
        <w:rPr>
          <w:b/>
        </w:rPr>
        <w:t>2. fase terapêutica. A pressão permanece suave, precisamente direcionada e indolor. A manobra mobiliza a camada epidérmica-dérmica para estimular os mecanorreceptores e fornecer informações sensoriais ao sistema nervoso.</w:t>
      </w:r>
      <w:r>
        <w:rPr>
          <w:b/>
        </w:rPr>
      </w:r>
      <w:r/>
    </w:p>
    <w:p>
      <w:pPr>
        <w:pStyle w:val="BodyText"/>
        <w:spacing w:after="60"/>
        <w:ind w:left="369" w:hanging="312"/>
        <w:widowControl/>
      </w:pPr>
      <w:r>
        <w:rPr>
          <w:b/>
        </w:rPr>
        <w:t>3. Fase de descanso e observação. Após a estimulação, o praticante faz uma pausa breve para observar. A resposta é avaliada por mudanças na sensibilidade, deslizamento e flexibilidade da zona reflexa, juntamente com sinais gerais de relaxamento.</w:t>
      </w:r>
      <w:r>
        <w:rPr>
          <w:b/>
        </w:rPr>
      </w:r>
      <w:r/>
    </w:p>
    <w:p>
      <w:pPr>
        <w:pStyle w:val="BodyText"/>
        <w:spacing w:after="80"/>
        <w:ind w:left="0" w:firstLine="255"/>
        <w:widowControl/>
      </w:pPr>
      <w:r>
        <w:rPr>
          <w:i w:val="0"/>
        </w:rPr>
        <w:t>A qualidade da resposta depende da condição geral do paciente, vitalidade e capacidade compensatória adaptativa, em relação à fase da síndrome de adaptação geral em que o paciente está situado: alarme, adaptação, resistência ou exaustão. (Veja o Capítulo 5, Mecanismo de Stress.)</w:t>
      </w:r>
    </w:p>
    <w:p>
      <w:pPr>
        <w:pStyle w:val="Heading1"/>
        <w:keepNext/>
        <w:keepLines/>
        <w:widowControl/>
        <w:spacing w:before="200" w:after="80"/>
      </w:pPr>
      <w:r>
        <w:t>2. Disposições de tratamento</w:t>
      </w:r>
    </w:p>
    <w:p>
      <w:pPr>
        <w:pStyle w:val="Heading2"/>
        <w:keepNext/>
        <w:keepLines/>
        <w:widowControl/>
        <w:spacing w:before="140" w:after="60"/>
      </w:pPr>
      <w:r>
        <w:t>2.1. Duração da sessão</w:t>
      </w:r>
    </w:p>
    <w:p>
      <w:pPr>
        <w:pStyle w:val="BodyText"/>
        <w:spacing w:after="80"/>
        <w:ind w:left="0" w:firstLine="255"/>
        <w:widowControl/>
      </w:pPr>
      <w:r>
        <w:rPr>
          <w:i w:val="0"/>
        </w:rPr>
        <w:t>A eficácia do tratamento não é proporcional à duração da sessão. Depende principalmente da qualidade do exame, priorização e precisão da estimulação. A sessão deve permanecer adequada à capacidade do paciente de responder, sem multiplicar desnecessariamente as áreas tratadas.</w:t>
      </w:r>
    </w:p>
    <w:p>
      <w:pPr>
        <w:pStyle w:val="Heading2"/>
        <w:keepNext/>
        <w:keepLines/>
        <w:widowControl/>
        <w:spacing w:before="140" w:after="60"/>
      </w:pPr>
      <w:r>
        <w:t>2.2. Frequência e curso inicial</w:t>
      </w:r>
    </w:p>
    <w:p>
      <w:pPr>
        <w:pStyle w:val="BodyText"/>
        <w:spacing w:after="80"/>
        <w:ind w:left="0" w:firstLine="255"/>
        <w:widowControl/>
      </w:pPr>
      <w:r>
        <w:rPr>
          <w:i w:val="0"/>
        </w:rPr>
        <w:t>A frequência de sessão não segue um intervalo fixo. Depende do curso do sintoma principal, do funcionamento do paciente e da capacidade de recuperação após a primeira sessão.</w:t>
      </w:r>
    </w:p>
    <w:p>
      <w:pPr>
        <w:pStyle w:val="BodyText"/>
        <w:spacing w:after="80"/>
        <w:ind w:left="0" w:firstLine="255"/>
        <w:widowControl/>
      </w:pPr>
      <w:r>
        <w:rPr>
          <w:i w:val="0"/>
        </w:rPr>
        <w:t>A reavaliação é geralmente realizada nos dias 3–4. Se a melhoria for suficiente e o funcionamento normal tiver retornado, nenhuma sessão adicional será necessária no curto prazo. Se a recuperação permanecer incompleta, uma segunda sessão pode ser oferecida.</w:t>
      </w:r>
    </w:p>
    <w:tbl>
      <w:tblPr>
        <w:tblW w:type="auto" w:w="0"/>
        <w:jc w:val="center"/>
        <w:tblLayout w:type="autofit"/>
        <w:tblLook w:firstColumn="1" w:firstRow="1" w:lastColumn="0" w:lastRow="0" w:noHBand="0" w:noVBand="1" w:val="04A0"/>
      </w:tblPr>
      <w:tblGrid>
        <w:gridCol w:w="9915"/>
      </w:tblGrid>
      <w:tr>
        <w:trPr>
          <w:cantSplit/>
        </w:trP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Como se deve interpretar o termo “vitalidade”?</w:t>
            </w:r>
          </w:p>
          <w:p>
            <w:pPr>
              <w:keepLines/>
              <w:spacing w:after="60" w:line="259" w:lineRule="auto"/>
            </w:pPr>
            <w:r>
              <w:t>Neste capítulo, vitalidade denota uma avaliação clínica e funcional: nível de energia, fatigabilidade, qualidade do sono, capacidade de retomar as atividades, curso do sintoma principal e estado subjetivo geral.</w:t>
            </w:r>
          </w:p>
          <w:p>
            <w:pPr>
              <w:keepLines/>
              <w:spacing w:after="60" w:line="259" w:lineRule="auto"/>
            </w:pPr>
            <w:r>
              <w:t>Não corresponde a uma única variável biológica. Para ser útil, deve ser comparado com a linha de base do paciente e monitorado usando perguntas simples e reproduzíveis.</w:t>
            </w:r>
          </w:p>
        </w:tc>
      </w:tr>
    </w:tbl>
    <w:p>
      <w:pPr>
        <w:spacing w:after="0"/>
        <w:widowControl/>
      </w:pPr>
    </w:p>
    <w:p>
      <w:pPr>
        <w:pStyle w:val="BodyText"/>
        <w:spacing w:after="80"/>
        <w:ind w:left="0" w:firstLine="255"/>
        <w:widowControl/>
      </w:pPr>
      <w:r>
        <w:rPr>
          <w:i w:val="0"/>
        </w:rPr>
        <w:t>Para a maioria das indicações funcionais, um curso inicial de uma a três sessões permite avaliar a resposta do paciente. Se não ocorrer melhoria notável após três sessões, a hipótese funcional, a priorização e a indicação para ROP devem ser reconsideradas. Se necessário, o paciente é encaminhado a um médico. As doenças crónicas podem exigir um acompanhamento mais longo, com um cronograma personalizado individualmente. As reações pós-tratamento e os critérios detalhados de reavaliação são apresentados na Secção 9.</w:t>
      </w:r>
    </w:p>
    <w:p>
      <w:pPr>
        <w:pStyle w:val="Heading1"/>
        <w:keepNext/>
        <w:keepLines/>
        <w:widowControl/>
        <w:spacing w:before="200" w:after="80"/>
      </w:pPr>
      <w:r>
        <w:t>3. Priorização do tratamento</w:t>
      </w:r>
    </w:p>
    <w:p>
      <w:pPr>
        <w:pStyle w:val="BodyText"/>
        <w:spacing w:after="80"/>
        <w:ind w:left="0" w:firstLine="255"/>
        <w:widowControl/>
      </w:pPr>
      <w:r>
        <w:rPr>
          <w:i w:val="0"/>
        </w:rPr>
        <w:t>Não há protocolo imutável. A sequência clínica de quatro níveis apresentada no capítulo 0 estrutura o raciocínio, mas não impõe uma ordem obrigatória. Testes, histórico clínico e a resposta observada determinam a verdadeira prioridade. Os seguintes fatores podem levar o praticante a começar em um nível em vez de outro:</w:t>
      </w:r>
    </w:p>
    <w:p>
      <w:pPr>
        <w:pStyle w:val="BodyText"/>
        <w:spacing w:after="60"/>
        <w:ind w:left="369" w:hanging="312"/>
        <w:widowControl/>
      </w:pPr>
      <w:r>
        <w:rPr>
          <w:b/>
        </w:rPr>
        <w:t>1. Sequências de trauma, cirurgia ou infecção. Quando um sintoma aparece após um evento claramente identificado, esta cronologia pode orientar a priorização. A história e o exame clínico devem estabelecer se a relação é coerente sem presumir causação automática.</w:t>
      </w:r>
      <w:r>
        <w:rPr>
          <w:b/>
        </w:rPr>
      </w:r>
      <w:r/>
      <w:r>
        <w:rPr>
          <w:b/>
        </w:rPr>
      </w:r>
      <w:r>
        <w:rPr>
          <w:b w:val="0"/>
        </w:rPr>
      </w:r>
    </w:p>
    <w:p>
      <w:pPr>
        <w:pStyle w:val="BodyText"/>
        <w:spacing w:after="60"/>
        <w:ind w:left="369" w:hanging="312"/>
        <w:widowControl/>
      </w:pPr>
      <w:r>
        <w:rPr>
          <w:b/>
        </w:rPr>
        <w:t>2. História e testes de escuta global e local. Na ausência de um evento precipitante óbvio, estes guiam o praticante para o nível regulatório ou território que deve ser explorado primeiro e fornecem pontos de referência para reavaliação após a estimulação.</w:t>
      </w:r>
      <w:r>
        <w:rPr>
          <w:b/>
        </w:rPr>
      </w:r>
      <w:r/>
      <w:r>
        <w:rPr>
          <w:b/>
        </w:rPr>
      </w:r>
      <w:r>
        <w:rPr>
          <w:b w:val="0"/>
        </w:rPr>
      </w:r>
    </w:p>
    <w:p>
      <w:pPr>
        <w:pStyle w:val="BodyText"/>
        <w:spacing w:after="60"/>
        <w:ind w:left="369" w:hanging="312"/>
        <w:widowControl/>
      </w:pPr>
      <w:r>
        <w:rPr>
          <w:b/>
        </w:rPr>
        <w:t>3. contexto psicoemocional. Certos eventos físicos ou emocionais podem influenciar a experiência corporal, a percepção da dor e o estado autonómico. Esta dimensão faz parte da integração viscero-emocional abordada no nível 4 e é explorada com cautela, sem impor uma interpretação ao paciente.</w:t>
      </w:r>
      <w:r>
        <w:rPr>
          <w:b/>
        </w:rPr>
      </w:r>
      <w:r/>
      <w:r>
        <w:rPr>
          <w:b/>
        </w:rPr>
      </w:r>
      <w:r>
        <w:rPr>
          <w:b w:val="0"/>
        </w:rPr>
      </w:r>
    </w:p>
    <w:p>
      <w:pPr>
        <w:pStyle w:val="BodyText"/>
        <w:spacing w:after="60"/>
        <w:ind w:left="369" w:hanging="312"/>
        <w:widowControl/>
      </w:pPr>
      <w:r>
        <w:rPr>
          <w:b/>
        </w:rPr>
        <w:t>4. Mecanismo de stress e capacidades adaptativas. Cada descoberta local deve ser considerada dentro do contexto geral do paciente, restrições, sono, recuperação e capacidades funcionais. (Veja o Capítulo 5, Mecanismo de Stress.)</w:t>
      </w:r>
      <w:r>
        <w:rPr>
          <w:b/>
        </w:rPr>
      </w:r>
      <w:r/>
      <w:r>
        <w:rPr>
          <w:b/>
        </w:rPr>
      </w:r>
      <w:r>
        <w:rPr>
          <w:b w:val="0"/>
        </w:rPr>
      </w:r>
    </w:p>
    <w:p>
      <w:pPr>
        <w:pStyle w:val="Heading1"/>
        <w:keepNext/>
        <w:keepLines/>
        <w:widowControl/>
        <w:spacing w:before="200" w:after="80"/>
      </w:pPr>
      <w:r>
        <w:t>4. ROP sequência clínica: quatro níveis</w:t>
      </w:r>
    </w:p>
    <w:p>
      <w:pPr>
        <w:pStyle w:val="BodyText"/>
      </w:pPr>
      <w:r>
        <w:t>A sequência clínica segue os quatro níveis definidos no Capítulo 0. São marcos de priorização em vez de quatro estágios obrigatórios. Uma única sessão pode envolver vários níveis, dependendo da história, testes e resposta do paciente.</w:t>
      </w:r>
    </w:p>
    <w:p>
      <w:pPr>
        <w:pStyle w:val="Heading2"/>
      </w:pPr>
      <w:r>
        <w:t>4.1. Nível 1 — Regulação dos centros do sistema nervoso central superior</w:t>
      </w:r>
    </w:p>
    <w:p>
      <w:pPr>
        <w:pStyle w:val="BodyText"/>
      </w:pPr>
      <w:r>
        <w:t>Este nível diz respeito a zonas de reflexo occipital e marcos ROP associados aos principais centros de integração e ao ambiente neuromeningeal. O objetivo clínico é abordar a regulação central antes ou ao lado de uma abordagem mais regional.</w:t>
      </w:r>
    </w:p>
    <w:p>
      <w:pPr>
        <w:pStyle w:val="ListBullet"/>
      </w:pPr>
      <w:r>
        <w:t>Zonas reflexos occipitais.</w:t>
      </w:r>
    </w:p>
    <w:p>
      <w:pPr>
        <w:pStyle w:val="ListBullet"/>
      </w:pPr>
      <w:r>
        <w:t>Ambiente neuromeningeal cranio- cranio- cranio- vinino, mecanismo respiratório primário (PRM) e circulação de líquido cefalorraquidiano no modelo clínico ROP: occiput C1 C2, base e abóbada craniana, falx cerebral e cerebelar, marcos S2 e técnicas descritas em volumes anteriores.</w:t>
      </w:r>
    </w:p>
    <w:p>
      <w:pPr>
        <w:pStyle w:val="ListBullet"/>
      </w:pPr>
      <w:r>
        <w:t>Eixo craniossacral – um termo clínico ROP usado como um marco de continuidade cranioespinhal, não como um sistema anatómico autónomo.</w:t>
      </w:r>
    </w:p>
    <w:p>
      <w:pPr>
        <w:pStyle w:val="ListBullet"/>
      </w:pPr>
      <w:r>
        <w:t>Diencefalão, particularmente o hipotálamo, tronco cerebral e eixo hipotálamo-hipófise.</w:t>
      </w:r>
    </w:p>
    <w:p>
      <w:pPr>
        <w:pStyle w:val="BodyText"/>
      </w:pPr>
      <w:r>
        <w:t>Esclarecimento Estes locais pertencem ao mapeamento clínico ROP. Eles não representam uma projeção anatómica direta de uma estrutura cerebral no pé ou occipital, nem prova de ação seletiva em uma área específica.</w:t>
      </w:r>
    </w:p>
    <w:p>
      <w:pPr>
        <w:pStyle w:val="Heading2"/>
      </w:pPr>
      <w:r>
        <w:t>4.2. Nível 2 — Regulação e adaptação autónoma</w:t>
      </w:r>
    </w:p>
    <w:p>
      <w:pPr>
        <w:pStyle w:val="BodyText"/>
      </w:pPr>
      <w:r>
        <w:t>Este nível diz respeito a vias autonómicas e aos sistemas envolvidos na mobilização, adaptação e recuperação. Ele liga centros superiores com territórios viscerais.</w:t>
      </w:r>
    </w:p>
    <w:p>
      <w:pPr>
        <w:pStyle w:val="ListBullet"/>
      </w:pPr>
      <w:r>
        <w:t>Diafragma, considerado aqui como uma interface respiratória e funcional que acompanha a regulação autonómica.</w:t>
      </w:r>
    </w:p>
    <w:p>
      <w:pPr>
        <w:pStyle w:val="ListBullet"/>
      </w:pPr>
      <w:r>
        <w:t>Sistemas parassimpáticos e parassimpáticos; cadeia ganglionar paravertebral.</w:t>
      </w:r>
    </w:p>
    <w:p>
      <w:pPr>
        <w:pStyle w:val="ListBullet"/>
      </w:pPr>
      <w:r>
        <w:t>Nervo vago para os territórios cervical, torácico e abdominal, e vias parassimpáticas sacrais para o território pélvico e cólon distal.</w:t>
      </w:r>
    </w:p>
    <w:p>
      <w:pPr>
        <w:pStyle w:val="ListBullet"/>
      </w:pPr>
      <w:r>
        <w:t>plexos pré-vertebrais e pré-viscerais.</w:t>
      </w:r>
    </w:p>
    <w:p>
      <w:pPr>
        <w:pStyle w:val="ListBullet"/>
      </w:pPr>
      <w:r>
        <w:t>Glândulas adrenais, particularmente na resposta simpatóide-renal.</w:t>
      </w:r>
    </w:p>
    <w:p>
      <w:pPr>
        <w:pStyle w:val="BodyText"/>
      </w:pPr>
      <w:r>
        <w:t>O diafragma não é anatomicamente parte do sistema nervoso autónomo; sua inclusão neste nível reflete a lógica clínica do ROP, em que respiração, tom e estado autonómico são observados juntos. Aferentes viscerais sensoriais também devem ser distinguidos de comandos autonómicos eferentes.</w:t>
      </w:r>
    </w:p>
    <w:p>
      <w:pPr>
        <w:pStyle w:val="Heading2"/>
      </w:pPr>
      <w:r>
        <w:t>4.3. Nível 3 Regulação visceral local e regional</w:t>
      </w:r>
    </w:p>
    <w:p>
      <w:pPr>
        <w:pStyle w:val="BodyText"/>
      </w:pPr>
      <w:r>
        <w:t>O terceiro nível reorienta o tratamento no órgão ou território funcional em questão e seu ambiente anatómico imediato.</w:t>
      </w:r>
    </w:p>
    <w:p>
      <w:pPr>
        <w:pStyle w:val="ListBullet"/>
      </w:pPr>
      <w:r>
        <w:t>rgão ou sistema visceral em questão.</w:t>
      </w:r>
    </w:p>
    <w:p>
      <w:pPr>
        <w:pStyle w:val="ListBullet"/>
      </w:pPr>
      <w:r>
        <w:t>cavidade abdominal ou pélvica, dependendo do território.</w:t>
      </w:r>
    </w:p>
    <w:p>
      <w:pPr>
        <w:pStyle w:val="ListBullet"/>
      </w:pPr>
      <w:r>
        <w:t>Peritônio e raízes mesentéricas.</w:t>
      </w:r>
    </w:p>
    <w:p>
      <w:pPr>
        <w:pStyle w:val="ListBullet"/>
      </w:pPr>
      <w:r>
        <w:t>Mesenterias, ligamentos viscerais, fáscias e principais interfaces locais e regionais.</w:t>
      </w:r>
    </w:p>
    <w:p>
      <w:pPr>
        <w:pStyle w:val="ListBullet"/>
      </w:pPr>
      <w:r>
        <w:t>Relações neurovasculares e plexos regionais, quando relevante.</w:t>
      </w:r>
    </w:p>
    <w:p>
      <w:pPr>
        <w:pStyle w:val="BodyText"/>
      </w:pPr>
      <w:r>
        <w:t>Este nível não assume que uma zona reflexa controla diretamente um órgão, estrutura a exploração de um território visceral e suas interfaces, seguida de reavaliação da resposta após estimulação.</w:t>
      </w:r>
    </w:p>
    <w:p>
      <w:pPr>
        <w:pStyle w:val="Heading2"/>
      </w:pPr>
      <w:r>
        <w:t>4.4. Nível 4 Integração viscerossómica e viscero-emocional</w:t>
      </w:r>
    </w:p>
    <w:p>
      <w:pPr>
        <w:pStyle w:val="BodyText"/>
      </w:pPr>
      <w:r>
        <w:t>O quarto nível amplia a interpretação do órgão para incluir suas relações com o sistema nervoso somático e com as redes cerebrais envolvidas na percepção do estado interno, saliência, contexto e emoção.</w:t>
      </w:r>
    </w:p>
    <w:p>
      <w:pPr>
        <w:pStyle w:val="ListBullet"/>
      </w:pPr>
      <w:r>
        <w:t>Nervos somáticos e plexos lombares ou sacrais envolvidos em relações viscerossômicas.</w:t>
      </w:r>
    </w:p>
    <w:p>
      <w:pPr>
        <w:pStyle w:val="ListBullet"/>
      </w:pPr>
      <w:r>
        <w:t>Relações segmentais, convergência espinal e territórios musculoesqueléticos associados.</w:t>
      </w:r>
    </w:p>
    <w:p>
      <w:pPr>
        <w:pStyle w:val="ListBullet"/>
      </w:pPr>
      <w:r>
        <w:t>Redes límbicas e corticolímbicas: particularmente a ínsula e o córtex cingulado; a amígdala e o hipocampo quando o mapeamento clínico ROP é usado.</w:t>
      </w:r>
    </w:p>
    <w:p>
      <w:pPr>
        <w:pStyle w:val="ListBullet"/>
      </w:pPr>
      <w:r>
        <w:t>Equilíbrio viscero-emocional: ligando a zona reflexa do órgão dominante com a zona reflexa cerebral selecionada através da escuta.</w:t>
      </w:r>
    </w:p>
    <w:p>
      <w:pPr>
        <w:pStyle w:val="BodyText"/>
      </w:pPr>
      <w:r>
        <w:t>Alguns sistemas aferentes cutâneos, particularmente aqueles estudados no toque afetivo, contribuem para o processamento central associado às dimensões afetivas e interoceptivas da experiência tátil. [2] Esta observação destaca interações entre informações somáticas cutâneas, estado interno e contexto afetivo, sem estabelecer uma correspondência específica entre uma zona reflexa e uma rede cerebral particular.</w:t>
      </w:r>
    </w:p>
    <w:p>
      <w:pPr>
        <w:pStyle w:val="Heading3"/>
      </w:pPr>
      <w:r>
        <w:t>4.4.1. O equilíbrio viscero-emocional</w:t>
      </w:r>
    </w:p>
    <w:p>
      <w:pPr>
        <w:pStyle w:val="BodyText"/>
      </w:pPr>
      <w:r>
        <w:t>As vísceras e o cérebro mantêm relações contínuas e bidirecionais. As informações dos órgãos atingem o sistema nervoso central através de vias aferentes viscerais e contribuem para a interocepção, nomeadamente a percepção e integração do estado interno do corpo. Por outro lado, estados emocionais e processos cerebrais modulam a função visceral, particularmente através do sistema nervoso autónomo.</w:t>
      </w:r>
    </w:p>
    <w:p>
      <w:pPr>
        <w:pStyle w:val="BodyText"/>
      </w:pPr>
      <w:r>
        <w:t>O equilíbrio viscero-emocional aborda essa interação clinicamente, ligando simultaneamente a zona reflexa do órgão dominante identificada pelo teste com a zona reflexa cerebral selecionada durante a audição. O praticante geralmente coloca um polegar na zona reflexa visceral e o outro na zona reflexa cerebral.</w:t>
      </w:r>
    </w:p>
    <w:p>
      <w:pPr>
        <w:pStyle w:val="BodyText"/>
      </w:pPr>
      <w:r>
        <w:t>A manobra compreende quatro fases:</w:t>
      </w:r>
    </w:p>
    <w:p>
      <w:pPr>
        <w:pStyle w:val="BodyText"/>
      </w:pPr>
      <w:r>
        <w:rPr>
          <w:b/>
        </w:rPr>
        <w:t>1. Estabelecendo contacto. As duas zonas são contactadas simultaneamente usando pressão suave, estável e indolor.</w:t>
      </w:r>
      <w:r>
        <w:rPr>
          <w:b w:val="0"/>
        </w:rPr>
      </w:r>
    </w:p>
    <w:p>
      <w:pPr>
        <w:pStyle w:val="BodyText"/>
      </w:pPr>
      <w:r>
        <w:rPr>
          <w:b/>
        </w:rPr>
        <w:t>2. Ouvir. O praticante avalia a qualidade textural de ambas as zonas e a resposta que surge quando elas estão ligadas.</w:t>
      </w:r>
      <w:r>
        <w:rPr>
          <w:b w:val="0"/>
        </w:rPr>
      </w:r>
    </w:p>
    <w:p>
      <w:pPr>
        <w:pStyle w:val="BodyText"/>
      </w:pPr>
      <w:r>
        <w:rPr>
          <w:b/>
        </w:rPr>
        <w:t>3. Indução. Ao ouvir revela uma resposta que requer tratamento, a estimulação manual suave e precisa é aplicada à zona ou zonas de reflexo em questão.</w:t>
      </w:r>
      <w:r>
        <w:rPr>
          <w:b w:val="0"/>
        </w:rPr>
      </w:r>
    </w:p>
    <w:p>
      <w:pPr>
        <w:pStyle w:val="BodyText"/>
      </w:pPr>
      <w:r>
        <w:rPr>
          <w:b/>
        </w:rPr>
        <w:t>4. Descanso, observação e reavaliação. O contacto é mantido durante a duração da resposta do tecido, após o qual as zonas são reavaliadas para avaliar qualquer alteração.</w:t>
      </w:r>
      <w:r>
        <w:rPr>
          <w:b w:val="0"/>
        </w:rPr>
      </w:r>
    </w:p>
    <w:p>
      <w:pPr>
        <w:pStyle w:val="BodyText"/>
      </w:pPr>
      <w:r>
        <w:t>O equilíbrio não substitui o tratamento anatómico, autónomo ou local e regional do órgão. Ele complementa esse tratamento quando a escuta clínica revela um componente viscero-emocional relevante. Não deve ser entendido como uma correspondência mecânica e exclusiva entre uma emoção específica e um órgão específico. A história do paciente, o contexto de stress, a experiência vivida e as capacidades adaptativas modulam a expressão dessa relação. O mapeamento emocional em ROP orienta a audição e o tratamento; não é usado como um quadro de interpretação.</w:t>
      </w:r>
    </w:p>
    <w:p>
      <w:pPr>
        <w:pStyle w:val="BodyText"/>
      </w:pPr>
      <w:r>
        <w:t>Esta ligação não pressupõe uma conexão anatómica direta demonstrada entre a zona palpada e uma estrutura límbica particular. Os caminhos supra-espinais tornam plausível a modulação contextual e descendente, mas fornecem menos suporte para a especificidade ponto a órgão.</w:t>
      </w:r>
    </w:p>
    <w:p>
      <w:pPr>
        <w:pStyle w:val="Heading1"/>
        <w:keepNext/>
        <w:keepLines/>
        <w:widowControl/>
        <w:spacing w:before="200" w:after="80"/>
      </w:pPr>
      <w:r>
        <w:t>5. Exemplo clínico: lumbosciatica lateral esquerda após o parto</w:t>
      </w:r>
    </w:p>
    <w:p>
      <w:pPr>
        <w:pStyle w:val="BodyText"/>
        <w:spacing w:after="80"/>
        <w:ind w:left="0" w:firstLine="255"/>
        <w:widowControl/>
      </w:pPr>
      <w:r>
        <w:rPr>
          <w:i w:val="0"/>
        </w:rPr>
        <w:t>A Sra. X, de trinta e poucos anos, apresenta-se com a lumbosciatica esquerda que se desenvolveu vários meses após o parto.</w:t>
      </w:r>
    </w:p>
    <w:p>
      <w:pPr>
        <w:pStyle w:val="Heading2"/>
        <w:keepNext/>
        <w:keepLines/>
        <w:widowControl/>
        <w:spacing w:before="140" w:after="60"/>
      </w:pPr>
      <w:r>
        <w:t>5.1. História</w:t>
      </w:r>
    </w:p>
    <w:p>
      <w:pPr>
        <w:pStyle w:val="ListBullet"/>
        <w:spacing w:after="50"/>
        <w:ind w:left="369" w:hanging="170"/>
        <w:widowControl/>
      </w:pPr>
      <w:r>
        <w:t>Não há história conhecida de trauma;</w:t>
      </w:r>
    </w:p>
    <w:p>
      <w:pPr>
        <w:pStyle w:val="ListBullet"/>
        <w:spacing w:after="50"/>
        <w:ind w:left="369" w:hanging="170"/>
        <w:widowControl/>
      </w:pPr>
      <w:r>
        <w:t>dor lumbosciatica exacerbada durante a menstruação;</w:t>
      </w:r>
    </w:p>
    <w:p>
      <w:pPr>
        <w:pStyle w:val="ListBullet"/>
        <w:spacing w:after="50"/>
        <w:ind w:left="369" w:hanging="170"/>
        <w:widowControl/>
      </w:pPr>
      <w:r>
        <w:t>Incontinência urinária de stress divulgada durante a entrevista;</w:t>
      </w:r>
    </w:p>
    <w:p>
      <w:pPr>
        <w:pStyle w:val="ListBullet"/>
        <w:spacing w:after="50"/>
        <w:ind w:left="369" w:hanging="170"/>
        <w:widowControl/>
      </w:pPr>
      <w:r>
        <w:t>trabalho de parto prolongado em um paciente primíparo;</w:t>
      </w:r>
    </w:p>
    <w:p>
      <w:pPr>
        <w:pStyle w:val="ListBullet"/>
        <w:spacing w:after="50"/>
        <w:ind w:left="369" w:hanging="170"/>
        <w:widowControl/>
      </w:pPr>
      <w:r>
        <w:t>exame ginecológico não mostrando anormalidade identificada; radiografia mostrando leve L5S1 estreitamento do espaço discal sem conflito de raiz nervosa demonstrada;</w:t>
      </w:r>
    </w:p>
    <w:p>
      <w:pPr>
        <w:pStyle w:val="ListBullet"/>
        <w:spacing w:after="50"/>
        <w:ind w:left="369" w:hanging="170"/>
        <w:widowControl/>
      </w:pPr>
      <w:r>
        <w:t>impacto emocional substancial, como o paciente desejava retomar seu trabalho autónomo prontamente.</w:t>
      </w:r>
    </w:p>
    <w:p>
      <w:pPr>
        <w:pStyle w:val="Heading2"/>
        <w:keepNext/>
        <w:keepLines/>
        <w:widowControl/>
        <w:spacing w:before="140" w:after="60"/>
      </w:pPr>
      <w:r>
        <w:t>5.2. Testes</w:t>
      </w:r>
    </w:p>
    <w:p>
      <w:pPr>
        <w:pStyle w:val="ListBullet"/>
        <w:spacing w:after="50"/>
        <w:ind w:left="369" w:hanging="170"/>
        <w:widowControl/>
      </w:pPr>
      <w:r>
        <w:t>testes de escuta global em pé e sentado mostram baixa flexão anterior do tronco e flexão lateral esquerda;</w:t>
      </w:r>
    </w:p>
    <w:p>
      <w:pPr>
        <w:pStyle w:val="ListBullet"/>
        <w:spacing w:after="50"/>
        <w:ind w:left="369" w:hanging="170"/>
        <w:widowControl/>
      </w:pPr>
      <w:r>
        <w:t>Os testes vertebrais revelam uma redução moderada da mobilidade do lado esquerdo em L2L3 e L5S1, com fixação da articulação sacroilíaca esquerda e cóccix;</w:t>
      </w:r>
    </w:p>
    <w:p>
      <w:pPr>
        <w:pStyle w:val="ListBullet"/>
        <w:spacing w:after="50"/>
        <w:ind w:left="369" w:hanging="170"/>
        <w:widowControl/>
      </w:pPr>
      <w:r>
        <w:t>na posição supina, o teste de elevação da perna reta aumentado melhoria quando a mão colocada sobre a sínfise pubiana é ligeiramente atraída para a esquerda e profundamente para a região ístmico-cervical do útero;</w:t>
      </w:r>
    </w:p>
    <w:p>
      <w:pPr>
        <w:pStyle w:val="ListBullet"/>
        <w:spacing w:after="50"/>
        <w:ind w:left="369" w:hanging="170"/>
        <w:widowControl/>
      </w:pPr>
      <w:r>
        <w:t>na posição de decúbito lateral esquerdo, ouvir o abdômen inferior revela resistência à mobilidade uterina;</w:t>
      </w:r>
    </w:p>
    <w:p>
      <w:pPr>
        <w:pStyle w:val="ListBullet"/>
        <w:spacing w:after="50"/>
        <w:ind w:left="369" w:hanging="170"/>
        <w:widowControl/>
      </w:pPr>
      <w:r>
        <w:t>O quadril esquerdo mostra rotação interna reduzida.</w:t>
      </w:r>
    </w:p>
    <w:p>
      <w:pPr>
        <w:pStyle w:val="Heading2"/>
        <w:keepNext/>
        <w:keepLines/>
        <w:widowControl/>
        <w:spacing w:before="140" w:after="60"/>
      </w:pPr>
      <w:r>
        <w:t>5.3. Interpretação funcional proposta em ROP</w:t>
      </w:r>
    </w:p>
    <w:p>
      <w:pPr>
        <w:pStyle w:val="BodyText"/>
        <w:spacing w:after="80"/>
        <w:ind w:left="0" w:firstLine="255"/>
        <w:widowControl/>
      </w:pPr>
      <w:r>
        <w:rPr>
          <w:i w:val="0"/>
        </w:rPr>
        <w:t>Os resultados sugerem uma possível contribuição da região uterina e pélvica para a síndrome local e regional. Sob esta hipótese de trabalho:</w:t>
      </w:r>
    </w:p>
    <w:p>
      <w:pPr>
        <w:pStyle w:val="ListBullet"/>
        <w:spacing w:after="50"/>
        <w:ind w:left="369" w:hanging="170"/>
        <w:widowControl/>
      </w:pPr>
      <w:r>
        <w:t>A coexistência de uma restrição percebida na região uterossacral esquerda e a mobilidade reduzida da articulação sacroilíaca esquerda constituem uma relação local e regional a ser explorada e reavaliada após o tratamento;</w:t>
      </w:r>
    </w:p>
    <w:p>
      <w:pPr>
        <w:pStyle w:val="ListBullet"/>
        <w:spacing w:after="50"/>
        <w:ind w:left="369" w:hanging="170"/>
        <w:widowControl/>
      </w:pPr>
      <w:r>
        <w:t>Tom alterado do músculo piriforme esquerdo pode ser considerado um componente somático capaz de contribuir para a apresentação da dor;</w:t>
      </w:r>
    </w:p>
    <w:p>
      <w:pPr>
        <w:pStyle w:val="ListBullet"/>
        <w:spacing w:after="50"/>
        <w:ind w:left="369" w:hanging="170"/>
        <w:widowControl/>
      </w:pPr>
      <w:r>
        <w:t>As relações regionais entre o útero, bexiga, sacro e assoalho pélvico são incorporadas à hipótese de trabalho e comparadas com as mudanças na incontinência de stress e na mobilidade sacrococcígea;</w:t>
      </w:r>
    </w:p>
    <w:p>
      <w:pPr>
        <w:pStyle w:val="ListBullet"/>
        <w:spacing w:after="50"/>
        <w:ind w:left="369" w:hanging="170"/>
        <w:widowControl/>
      </w:pPr>
      <w:r>
        <w:t>O ciclo menstrual e o estado autonómico são considerados ao avaliar o nível 2 e a resposta funcional global;</w:t>
      </w:r>
    </w:p>
    <w:p>
      <w:pPr>
        <w:pStyle w:val="ListBullet"/>
        <w:spacing w:after="50"/>
        <w:ind w:left="369" w:hanging="170"/>
        <w:widowControl/>
      </w:pPr>
      <w:r>
        <w:t>No modelo ROP, a fixação sacrococcígea também é considerada em relação aos revestimentos meníngeos e ao PRM;</w:t>
      </w:r>
    </w:p>
    <w:p>
      <w:pPr>
        <w:pStyle w:val="ListBullet"/>
        <w:spacing w:after="50"/>
        <w:ind w:left="369" w:hanging="170"/>
        <w:widowControl/>
      </w:pPr>
      <w:r>
        <w:t>o contexto emocional e a ansiedade associados à dor, à maternidade recente e ao retorno ao trabalho podem perpetuar os sintomas do paciente.</w:t>
      </w:r>
    </w:p>
    <w:p>
      <w:pPr>
        <w:pStyle w:val="Heading2"/>
        <w:keepNext/>
        <w:keepLines/>
        <w:widowControl/>
        <w:spacing w:before="140" w:after="60"/>
      </w:pPr>
      <w:r>
        <w:t>5.4. ROP tratamento</w:t>
      </w:r>
    </w:p>
    <w:p>
      <w:pPr>
        <w:pStyle w:val="BodyText"/>
        <w:spacing w:after="60"/>
        <w:ind w:left="369" w:hanging="312"/>
        <w:widowControl/>
      </w:pPr>
      <w:r>
        <w:rPr>
          <w:b/>
        </w:rPr>
        <w:t>1. Nível 1 Regulação central: zonas de reflexo occipital, ROP marcos neuromeningeais, diencéfalo, tronco cerebral e eixo hipotalâmico-hipófise.</w:t>
      </w:r>
      <w:r/>
      <w:r>
        <w:rPr>
          <w:b/>
        </w:rPr>
      </w:r>
      <w:r>
        <w:rPr>
          <w:b w:val="0"/>
        </w:rPr>
      </w:r>
    </w:p>
    <w:p>
      <w:pPr>
        <w:pStyle w:val="BodyText"/>
        <w:spacing w:after="60"/>
        <w:ind w:left="369" w:hanging="312"/>
        <w:widowControl/>
      </w:pPr>
      <w:r>
        <w:rPr>
          <w:b/>
        </w:rPr>
        <w:t>2. Nível 2 — Regulação e adaptação autónomas: diafragma, vias simpáticas e parassimpáticas, glândulas supra-renais, vias pélvicas sacrais e plexos pélvicos de acordo com os testes.</w:t>
      </w:r>
      <w:r/>
      <w:r>
        <w:rPr>
          <w:b/>
        </w:rPr>
      </w:r>
      <w:r>
        <w:rPr>
          <w:b w:val="0"/>
        </w:rPr>
      </w:r>
    </w:p>
    <w:p>
      <w:pPr>
        <w:pStyle w:val="BodyText"/>
        <w:spacing w:after="60"/>
        <w:ind w:left="369" w:hanging="312"/>
        <w:widowControl/>
      </w:pPr>
      <w:r>
        <w:rPr>
          <w:b/>
        </w:rPr>
        <w:t>3. Nível 3 — Regulação visceral local e regional: região ístmico-cervical do útero, cavidade pélvica e relações locais e regionais, particularmente as estruturas ligamentares identificadas no exame.</w:t>
      </w:r>
      <w:r/>
      <w:r>
        <w:rPr>
          <w:b/>
        </w:rPr>
      </w:r>
      <w:r>
        <w:rPr>
          <w:b w:val="0"/>
        </w:rPr>
      </w:r>
    </w:p>
    <w:p>
      <w:pPr>
        <w:pStyle w:val="BodyText"/>
        <w:spacing w:after="60"/>
        <w:ind w:left="369" w:hanging="312"/>
        <w:widowControl/>
      </w:pPr>
      <w:r>
        <w:rPr>
          <w:b/>
        </w:rPr>
        <w:t>4. Nível 4 Integração viscerossômica e viscero-emocional: nervo pudendo, plexo sacral, músculo piriforme, articulações sacrococcígeas e sacroilíacas, e curso do nervo ciático esquerdo; redes insulares e límbicas se justificadas pelo contexto clínico.</w:t>
      </w:r>
      <w:r/>
      <w:r>
        <w:rPr>
          <w:b/>
        </w:rPr>
      </w:r>
      <w:r>
        <w:rPr>
          <w:b w:val="0"/>
        </w:rPr>
      </w:r>
    </w:p>
    <w:p>
      <w:pPr>
        <w:pStyle w:val="BodyText"/>
        <w:spacing w:after="80"/>
        <w:ind w:left="0" w:firstLine="255"/>
        <w:widowControl/>
      </w:pPr>
      <w:r>
        <w:rPr>
          <w:i w:val="0"/>
        </w:rPr>
        <w:t>As alterações no sintoma principal, mobilidade, incontinência de esforço, sono e vitalidade devem ser registradas após a sessão para confirmar ou desafiar essa priorização.</w:t>
      </w:r>
    </w:p>
    <w:p>
      <w:pPr>
        <w:pStyle w:val="Heading1"/>
        <w:keepNext/>
        <w:keepLines/>
        <w:widowControl/>
        <w:spacing w:before="200" w:after="80"/>
      </w:pPr>
      <w:r>
        <w:t>6. Contra-indicações e sinais de aviso</w:t>
      </w:r>
    </w:p>
    <w:p>
      <w:pPr>
        <w:pStyle w:val="BodyText"/>
        <w:spacing w:after="80"/>
        <w:ind w:left="0" w:firstLine="255"/>
        <w:widowControl/>
      </w:pPr>
      <w:r>
        <w:rPr>
          <w:i w:val="0"/>
        </w:rPr>
        <w:t>ROP faz parte de uma abordagem funcional para o cuidado. Qualquer suspeita de doença orgânica, complicação ou sinal de alerta requer avaliação médica. Aparentemente sintomas menores podem revelar um distúrbio grave; de acordo com o princípio da precaução, o praticante deve reconhecer situações em que o tratamento não deve ser realizado.</w:t>
      </w:r>
    </w:p>
    <w:p>
      <w:pPr>
        <w:pStyle w:val="BodyText"/>
        <w:spacing w:after="80"/>
        <w:ind w:left="0" w:firstLine="255"/>
        <w:widowControl/>
      </w:pPr>
      <w:r>
        <w:rPr>
          <w:i w:val="0"/>
        </w:rPr>
        <w:t>Os seguintes sinais devem, em particular, ser imediatamente reavaliados e, dependendo do contexto, encaminhados:</w:t>
      </w:r>
    </w:p>
    <w:p>
      <w:pPr>
        <w:pStyle w:val="ListBullet"/>
        <w:spacing w:after="50"/>
        <w:ind w:left="369" w:hanging="170"/>
        <w:widowControl/>
      </w:pPr>
      <w:r>
        <w:t>dor não mecânica que persiste ou piora durante a primeira parte da noite;</w:t>
      </w:r>
    </w:p>
    <w:p>
      <w:pPr>
        <w:pStyle w:val="ListBullet"/>
        <w:spacing w:after="50"/>
        <w:ind w:left="369" w:hanging="170"/>
        <w:widowControl/>
      </w:pPr>
      <w:r>
        <w:t>dor torácica atípica, dispneia ou mal-estar;</w:t>
      </w:r>
    </w:p>
    <w:p>
      <w:pPr>
        <w:pStyle w:val="ListBullet"/>
        <w:spacing w:after="50"/>
        <w:ind w:left="369" w:hanging="170"/>
        <w:widowControl/>
      </w:pPr>
      <w:r>
        <w:t>sangue na urina ou fezes;</w:t>
      </w:r>
    </w:p>
    <w:p>
      <w:pPr>
        <w:pStyle w:val="ListBullet"/>
        <w:spacing w:after="50"/>
        <w:ind w:left="369" w:hanging="170"/>
        <w:widowControl/>
      </w:pPr>
      <w:r>
        <w:t>febre ou suspeita de doença infecciosa;</w:t>
      </w:r>
    </w:p>
    <w:p>
      <w:pPr>
        <w:pStyle w:val="ListBullet"/>
        <w:spacing w:after="50"/>
        <w:ind w:left="369" w:hanging="170"/>
        <w:widowControl/>
      </w:pPr>
      <w:r>
        <w:t>perda de peso inexplicável;</w:t>
      </w:r>
    </w:p>
    <w:p>
      <w:pPr>
        <w:pStyle w:val="ListBullet"/>
        <w:spacing w:after="50"/>
        <w:ind w:left="369" w:hanging="170"/>
        <w:widowControl/>
      </w:pPr>
      <w:r>
        <w:t>Risco conhecido de migração trombo;</w:t>
      </w:r>
    </w:p>
    <w:p>
      <w:pPr>
        <w:pStyle w:val="ListBullet"/>
        <w:spacing w:after="50"/>
        <w:ind w:left="369" w:hanging="170"/>
        <w:widowControl/>
      </w:pPr>
      <w:r>
        <w:t>palidez associada à fadiga acentuada;</w:t>
      </w:r>
    </w:p>
    <w:p>
      <w:pPr>
        <w:pStyle w:val="ListBullet"/>
        <w:spacing w:after="50"/>
        <w:ind w:left="369" w:hanging="170"/>
        <w:widowControl/>
      </w:pPr>
      <w:r>
        <w:t>déficit neurológico, novo distúrbio do esfíncter ou sintomas sensoriais progressivos;</w:t>
      </w:r>
    </w:p>
    <w:p>
      <w:pPr>
        <w:pStyle w:val="ListBullet"/>
        <w:spacing w:after="50"/>
        <w:ind w:left="369" w:hanging="170"/>
        <w:widowControl/>
      </w:pPr>
      <w:r>
        <w:t>ansiedade aguda, medo de morrer ou deterioração incomum em condições gerais;</w:t>
      </w:r>
    </w:p>
    <w:p>
      <w:pPr>
        <w:pStyle w:val="ListBullet"/>
        <w:spacing w:after="50"/>
        <w:ind w:left="369" w:hanging="170"/>
        <w:widowControl/>
      </w:pPr>
      <w:r>
        <w:t>uma situação clínica inexplicável ou uma situação que esteja além do escopo de competência do praticante.</w:t>
      </w:r>
    </w:p>
    <w:p>
      <w:pPr>
        <w:pStyle w:val="BodyText"/>
        <w:spacing w:after="80"/>
        <w:ind w:left="0" w:firstLine="255"/>
        <w:widowControl/>
      </w:pPr>
      <w:r>
        <w:rPr>
          <w:i w:val="0"/>
        </w:rPr>
        <w:t>O ROP nunca deve atrasar o diagnóstico médico ou substituir o tratamento médico mais adequado. Pode ter um papel complementar dentro de uma abordagem integrativa, particularmente no apoio a certos sintomas funcionais ou bem-estar do paciente, com o acordo da equipa médica, quando necessário.</w:t>
      </w:r>
    </w:p>
    <w:p>
      <w:pPr>
        <w:pStyle w:val="Heading1"/>
        <w:keepNext/>
        <w:keepLines/>
        <w:widowControl/>
        <w:spacing w:before="200" w:after="80"/>
      </w:pPr>
      <w:r>
        <w:t>7. Indicações</w:t>
      </w:r>
    </w:p>
    <w:p>
      <w:pPr>
        <w:pStyle w:val="BodyText"/>
        <w:spacing w:after="80"/>
        <w:ind w:left="0" w:firstLine="255"/>
        <w:widowControl/>
      </w:pPr>
      <w:r>
        <w:rPr>
          <w:i w:val="0"/>
        </w:rPr>
        <w:t>As indicações são baseadas na história, exame clínico, testes, consistência dos resultados da zona reflexa e priorização de acordo com o estado funcional geral do paciente. ROP destina-se principalmente a distúrbios funcionais, uma vez que a doença orgânica que requer gestão médico específico foi excluída.</w:t>
      </w:r>
    </w:p>
    <w:p>
      <w:pPr>
        <w:pStyle w:val="BodyText"/>
        <w:spacing w:after="80"/>
        <w:ind w:left="0" w:firstLine="255"/>
        <w:widowControl/>
      </w:pPr>
      <w:r>
        <w:rPr>
          <w:i w:val="0"/>
        </w:rPr>
        <w:t>Situações freqentemente encontradas incluem:</w:t>
      </w:r>
    </w:p>
    <w:p>
      <w:pPr>
        <w:pStyle w:val="ListBullet"/>
        <w:spacing w:after="50"/>
        <w:ind w:left="369" w:hanging="170"/>
        <w:widowControl/>
      </w:pPr>
      <w:r>
        <w:t>dor musculoesquelética com um componente funcional;</w:t>
      </w:r>
    </w:p>
    <w:p>
      <w:pPr>
        <w:pStyle w:val="ListBullet"/>
        <w:spacing w:after="50"/>
        <w:ind w:left="369" w:hanging="170"/>
        <w:widowControl/>
      </w:pPr>
      <w:r>
        <w:t>sequelas de trauma musculoesquelético;</w:t>
      </w:r>
    </w:p>
    <w:p>
      <w:pPr>
        <w:pStyle w:val="ListBullet"/>
        <w:spacing w:after="50"/>
        <w:ind w:left="369" w:hanging="170"/>
        <w:widowControl/>
      </w:pPr>
      <w:r>
        <w:t>sequelas funcionais de lesão do nervo espinal ou cranial;</w:t>
      </w:r>
    </w:p>
    <w:p>
      <w:pPr>
        <w:pStyle w:val="ListBullet"/>
        <w:spacing w:after="50"/>
        <w:ind w:left="369" w:hanging="170"/>
        <w:widowControl/>
      </w:pPr>
      <w:r>
        <w:t>Disfunção visceral associada a restrições teciduais e loops autonómicos no modelo ROP;</w:t>
      </w:r>
    </w:p>
    <w:p>
      <w:pPr>
        <w:pStyle w:val="ListBullet"/>
        <w:spacing w:after="50"/>
        <w:ind w:left="369" w:hanging="170"/>
        <w:widowControl/>
      </w:pPr>
      <w:r>
        <w:t>distúrbios viscerossômicos e somatoviscerais;</w:t>
      </w:r>
    </w:p>
    <w:p>
      <w:pPr>
        <w:pStyle w:val="ListBullet"/>
        <w:spacing w:after="50"/>
        <w:ind w:left="369" w:hanging="170"/>
        <w:widowControl/>
      </w:pPr>
      <w:r>
        <w:t>desequilíbrio autonómico funcional;</w:t>
      </w:r>
    </w:p>
    <w:p>
      <w:pPr>
        <w:pStyle w:val="ListBullet"/>
        <w:spacing w:after="50"/>
        <w:ind w:left="369" w:hanging="170"/>
        <w:widowControl/>
      </w:pPr>
      <w:r>
        <w:t>stress emocional e ansiedade, como um complemento para o cuidado adequado.</w:t>
      </w:r>
    </w:p>
    <w:p>
      <w:pPr>
        <w:pStyle w:val="Heading1"/>
        <w:keepNext/>
        <w:keepLines/>
        <w:widowControl/>
        <w:spacing w:before="200" w:after="80"/>
      </w:pPr>
      <w:r>
        <w:t>8. efeitos pretendidos e observados</w:t>
      </w:r>
    </w:p>
    <w:p>
      <w:pPr>
        <w:pStyle w:val="BodyText"/>
        <w:spacing w:after="80"/>
        <w:ind w:left="0" w:firstLine="255"/>
        <w:widowControl/>
      </w:pPr>
      <w:r>
        <w:rPr>
          <w:i w:val="0"/>
        </w:rPr>
        <w:t>Os resultados clínicos de ROP são frequentemente relatados pelos pacientes e observados durante os testes, mas podem permanecer difíceis de medir objetivamente. Os efeitos pretendidos ou relatados freqentemente incluem:</w:t>
      </w:r>
    </w:p>
    <w:p>
      <w:pPr>
        <w:pStyle w:val="ListBullet"/>
        <w:spacing w:after="50"/>
        <w:ind w:left="369" w:hanging="170"/>
        <w:widowControl/>
      </w:pPr>
      <w:r>
        <w:t>redução da dor ou desconforto;</w:t>
      </w:r>
    </w:p>
    <w:p>
      <w:pPr>
        <w:pStyle w:val="ListBullet"/>
        <w:spacing w:after="50"/>
        <w:ind w:left="369" w:hanging="170"/>
        <w:widowControl/>
      </w:pPr>
      <w:r>
        <w:t>sinais compatíveis com uma mudança no estado autonómico: calma, bocejo, sonolência, relaxamento acentuado ou necessidade de descanso;</w:t>
      </w:r>
    </w:p>
    <w:p>
      <w:pPr>
        <w:pStyle w:val="ListBullet"/>
        <w:spacing w:after="50"/>
        <w:ind w:left="369" w:hanging="170"/>
        <w:widowControl/>
      </w:pPr>
      <w:r>
        <w:t>alterações no trânsito intestinal, diurese ou sensações viscerais;</w:t>
      </w:r>
    </w:p>
    <w:p>
      <w:pPr>
        <w:pStyle w:val="ListBullet"/>
        <w:spacing w:after="50"/>
        <w:ind w:left="369" w:hanging="170"/>
        <w:widowControl/>
      </w:pPr>
      <w:r>
        <w:t>mobilidade alterada num território somático ou local e regional identificado antes da sessão;</w:t>
      </w:r>
    </w:p>
    <w:p>
      <w:pPr>
        <w:pStyle w:val="ListBullet"/>
        <w:spacing w:after="50"/>
        <w:ind w:left="369" w:hanging="170"/>
        <w:widowControl/>
      </w:pPr>
      <w:r>
        <w:t>Melhor sono, energia e capacidade funcional.</w:t>
      </w:r>
    </w:p>
    <w:p>
      <w:pPr>
        <w:pStyle w:val="BodyText"/>
        <w:spacing w:after="80"/>
        <w:ind w:left="0" w:firstLine="255"/>
        <w:widowControl/>
      </w:pPr>
      <w:r>
        <w:rPr>
          <w:i w:val="0"/>
        </w:rPr>
        <w:t>Estes efeitos devem ser avaliados utilizando indicadores definidos antes da sessão: sintoma principal, dor ou desconforto, mobilidade, sono, função intestinal, energia e capacidade de retomar as atividades. O objetivo não é apenas registrar uma impressão geral, mas comparar o progresso com uma linha de base claramente descrita.</w:t>
      </w:r>
    </w:p>
    <w:p>
      <w:pPr>
        <w:pStyle w:val="Heading1"/>
        <w:keepNext/>
        <w:keepLines/>
        <w:widowControl/>
        <w:spacing w:before="200" w:after="80"/>
      </w:pPr>
      <w:r>
        <w:t>9. Reações pós-tratamento e reavaliação</w:t>
      </w:r>
    </w:p>
    <w:p>
      <w:pPr>
        <w:spacing w:before="100" w:after="60"/>
        <w:jc w:val="center"/>
        <w:widowControl/>
      </w:pPr>
      <w:r>
        <w:drawing>
          <wp:inline xmlns:a="http://schemas.openxmlformats.org/drawingml/2006/main" xmlns:pic="http://schemas.openxmlformats.org/drawingml/2006/picture">
            <wp:extent cx="6044184" cy="3401661"/>
            <wp:docPr id="1" name="Picture 1"/>
            <wp:cNvGraphicFramePr>
              <a:graphicFrameLocks noChangeAspect="1"/>
            </wp:cNvGraphicFramePr>
            <a:graphic>
              <a:graphicData uri="http://schemas.openxmlformats.org/drawingml/2006/picture">
                <pic:pic>
                  <pic:nvPicPr>
                    <pic:cNvPr id="0" name="Figure_2_1_fenetre_adaptation_revisee.png"/>
                    <pic:cNvPicPr/>
                  </pic:nvPicPr>
                  <pic:blipFill>
                    <a:blip r:embed="rId13"/>
                    <a:stretch>
                      <a:fillRect/>
                    </a:stretch>
                  </pic:blipFill>
                  <pic:spPr>
                    <a:xfrm>
                      <a:off x="0" y="0"/>
                      <a:ext cx="6044184" cy="3401661"/>
                    </a:xfrm>
                    <a:prstGeom prst="rect"/>
                  </pic:spPr>
                </pic:pic>
              </a:graphicData>
            </a:graphic>
          </wp:inline>
        </w:drawing>
      </w:r>
    </w:p>
    <w:p>
      <w:pPr>
        <w:pStyle w:val="Caption"/>
        <w:spacing w:before="80" w:after="120"/>
        <w:jc w:val="center"/>
        <w:keepNext/>
        <w:widowControl/>
      </w:pPr>
      <w:r>
        <w:rPr>
          <w:i/>
        </w:rPr>
        <w:t>Figura 2.1 Janela de adaptação após a primeira sessão. Esta curva representa um modelo derivado da experiência clínica. O eixo vertical descreve um nível funcional clínico em vez de uma variável fisiológica medida; o curso de tempo deve ser documentado progressivamente usando medições padronizadas.</w:t>
      </w:r>
    </w:p>
    <w:p>
      <w:pPr>
        <w:pStyle w:val="Heading2"/>
        <w:keepNext/>
        <w:keepLines/>
        <w:widowControl/>
        <w:spacing w:before="140" w:after="60"/>
      </w:pPr>
      <w:r>
        <w:t>9.1. Reacções imediatas</w:t>
      </w:r>
    </w:p>
    <w:p>
      <w:pPr>
        <w:pStyle w:val="BodyText"/>
        <w:spacing w:after="80"/>
        <w:ind w:left="0" w:firstLine="255"/>
        <w:widowControl/>
      </w:pPr>
      <w:r>
        <w:rPr>
          <w:i w:val="0"/>
        </w:rPr>
        <w:t>O paciente mais comumente experimenta relaxamento. Dormência, necessidade de descanso, urgência urinária ou desejo de defecar também podem ocorrer. Uma redução transitória de energia pode ser sentida imediatamente após a sessão.</w:t>
      </w:r>
    </w:p>
    <w:p>
      <w:pPr>
        <w:pStyle w:val="Heading2"/>
        <w:keepNext/>
        <w:keepLines/>
        <w:widowControl/>
        <w:spacing w:before="140" w:after="60"/>
      </w:pPr>
      <w:r>
        <w:t>9.2. Dentro de 24–48 horas</w:t>
      </w:r>
    </w:p>
    <w:p>
      <w:pPr>
        <w:pStyle w:val="BodyText"/>
        <w:spacing w:after="80"/>
        <w:ind w:left="0" w:firstLine="255"/>
        <w:widowControl/>
      </w:pPr>
      <w:r>
        <w:rPr>
          <w:i w:val="0"/>
        </w:rPr>
        <w:t>Alguns pacientes podem sentir dor muscular, leve fatigabilidade, sono alterado, sonhos mais vívidos ou memórias de resurfacing. Essas reações são transitórias, variam entre indivíduos e não ocorrem sistematicamente. Sua ausência não significa que o tratamento seja ineficaz.</w:t>
      </w:r>
    </w:p>
    <w:p>
      <w:pPr>
        <w:pStyle w:val="Heading2"/>
        <w:keepNext/>
        <w:keepLines/>
        <w:widowControl/>
        <w:spacing w:before="140" w:after="60"/>
      </w:pPr>
      <w:r>
        <w:t>9.3. Nos dias seguintes</w:t>
      </w:r>
    </w:p>
    <w:p>
      <w:pPr>
        <w:pStyle w:val="BodyText"/>
        <w:spacing w:after="80"/>
        <w:ind w:left="0" w:firstLine="255"/>
        <w:widowControl/>
      </w:pPr>
      <w:r>
        <w:rPr>
          <w:i w:val="0"/>
        </w:rPr>
        <w:t>O nível funcional do paciente pode retornar gradualmente ao seu nível habitual. Essa mudança pode ser acompanhada por uma redução no principal sintoma e melhorias no sono, função intestinal, energia ou capacidade funcional.</w:t>
      </w:r>
    </w:p>
    <w:p>
      <w:pPr>
        <w:pStyle w:val="Heading2"/>
        <w:keepNext/>
        <w:keepLines/>
        <w:widowControl/>
        <w:spacing w:before="140" w:after="60"/>
      </w:pPr>
      <w:r>
        <w:t>9.4. Ponto de decisão nos dias 3–4</w:t>
      </w:r>
    </w:p>
    <w:p>
      <w:pPr>
        <w:pStyle w:val="BodyText"/>
        <w:spacing w:after="80"/>
        <w:ind w:left="0" w:firstLine="255"/>
        <w:widowControl/>
      </w:pPr>
      <w:r>
        <w:rPr>
          <w:i w:val="0"/>
        </w:rPr>
        <w:t>Nos dias 3–4, o praticante e o paciente reavaliam o progresso:</w:t>
      </w:r>
    </w:p>
    <w:p>
      <w:pPr>
        <w:pStyle w:val="ListBullet"/>
        <w:spacing w:after="50"/>
        <w:ind w:left="369" w:hanging="170"/>
        <w:widowControl/>
      </w:pPr>
      <w:r>
        <w:t>Se o sintoma principal tiver resolvido ou melhorado claramente e o funcionamento normal tiver regressado, o objetivo funcional é considerado alcançado nesta fase e não é necessária qualquer sessão adicional a curto prazo;</w:t>
      </w:r>
    </w:p>
    <w:p>
      <w:pPr>
        <w:pStyle w:val="ListBullet"/>
        <w:spacing w:after="50"/>
        <w:ind w:left="369" w:hanging="170"/>
        <w:widowControl/>
      </w:pPr>
      <w:r>
        <w:t>Se a melhoria permanecer incompleta, uma segunda sessão pode ser oferecida;</w:t>
      </w:r>
    </w:p>
    <w:p>
      <w:pPr>
        <w:pStyle w:val="ListBullet"/>
        <w:spacing w:after="50"/>
        <w:ind w:left="369" w:hanging="170"/>
        <w:widowControl/>
      </w:pPr>
      <w:r>
        <w:t>Se a resposta for ausente, atípica ou adversa, a priorização e indicação devem ser reconsideradas.</w:t>
      </w:r>
    </w:p>
    <w:p>
      <w:pPr>
        <w:pStyle w:val="BodyText"/>
        <w:spacing w:after="80"/>
        <w:ind w:left="0" w:firstLine="255"/>
        <w:widowControl/>
      </w:pPr>
      <w:r>
        <w:rPr>
          <w:i w:val="0"/>
        </w:rPr>
        <w:t>O objetivo funcional descreve o curso da queixa apresentada; não implica que uma doença orgânica subjacente tenha sido curada ou que um mecanismo causal específico tenha sido validado.</w:t>
      </w:r>
    </w:p>
    <w:p>
      <w:pPr>
        <w:pStyle w:val="Heading2"/>
        <w:keepNext/>
        <w:keepLines/>
        <w:widowControl/>
        <w:spacing w:before="140" w:after="60"/>
      </w:pPr>
      <w:r>
        <w:t>9.5. Reações incomuns</w:t>
      </w:r>
    </w:p>
    <w:p>
      <w:pPr>
        <w:pStyle w:val="BodyText"/>
        <w:spacing w:after="80"/>
        <w:ind w:left="0" w:firstLine="255"/>
        <w:widowControl/>
      </w:pPr>
      <w:r>
        <w:rPr>
          <w:i w:val="0"/>
        </w:rPr>
        <w:t>Se as reações forem graves, persistirem além de 72 horas ou forem acompanhadas por sinais incomuns ou preocupantes, a situação deve ser reavaliada. O paciente é encaminhado para um médico quando justificado pelo contexto.</w:t>
      </w:r>
    </w:p>
    <w:tbl>
      <w:tblPr>
        <w:tblW w:type="auto" w:w="0"/>
        <w:jc w:val="center"/>
        <w:tblLayout w:type="autofit"/>
        <w:tblLook w:firstColumn="1" w:firstRow="1" w:lastColumn="0" w:lastRow="0" w:noHBand="0" w:noVBand="1" w:val="04A0"/>
      </w:tblPr>
      <w:tblGrid>
        <w:gridCol w:w="9915"/>
      </w:tblGrid>
      <w:tr>
        <w:trPr>
          <w:cantSplit/>
        </w:trPr>
        <w:tc>
          <w:tcPr>
            <w:tcW w:type="dxa" w:w="9915"/>
            <w:shd w:fill="E8DED0"/>
            <w:tcBorders>
              <w:top w:val="nil"/>
              <w:left w:val="single" w:sz="18" w:color="B47C5A"/>
              <w:bottom w:val="nil"/>
              <w:right w:val="nil"/>
            </w:tcBorders>
            <w:tcMar>
              <w:top w:w="150" w:type="dxa"/>
              <w:start w:w="220" w:type="dxa"/>
              <w:bottom w:w="150" w:type="dxa"/>
              <w:end w:w="220" w:type="dxa"/>
            </w:tcMar>
            <w:vAlign w:val="center"/>
          </w:tcPr>
          <w:p>
            <w:pPr>
              <w:keepLines/>
              <w:spacing w:after="100"/>
            </w:pPr>
            <w:r>
              <w:rPr>
                <w:b/>
                <w:color w:val="2F3437"/>
                <w:sz w:val="23"/>
              </w:rPr>
              <w:t>Contribuir para o feedback de ROP com SuiviPatient</w:t>
            </w:r>
          </w:p>
          <w:p>
            <w:pPr>
              <w:keepLines/>
              <w:spacing w:after="60" w:line="259" w:lineRule="auto"/>
            </w:pPr>
            <w:r>
              <w:t>A cronologia e as reações descritas neste capítulo são baseadas principalmente na experiência clínica dos profissionais. Para documentá-los de forma mais eficaz, o aplicativo SuiviPatient pode coletar, em intervalos regulares, indicadores simples em comparação com a linha de base: sintoma principal, dor ou desconforto, vitalidade, sono, funções viscerais, capacidade funcional e reações incomuns.</w:t>
            </w:r>
          </w:p>
          <w:p>
            <w:pPr>
              <w:keepLines/>
              <w:spacing w:after="60" w:line="259" w:lineRule="auto"/>
            </w:pPr>
            <w:r>
              <w:t>Os profissionais que lerem este livro e desejarem se juntar à comunidade ROP e usar o aplicativo SuiviPatient gratuitamente com seus pacientes são convidados a entrar em contacto conosco. Este processo deve respeitar o consentimento do paciente e a confidencialidade das informações coletadas.</w:t>
            </w:r>
          </w:p>
        </w:tc>
      </w:tr>
    </w:tbl>
    <w:p>
      <w:pPr>
        <w:spacing w:after="0"/>
        <w:widowControl/>
      </w:pPr>
    </w:p>
    <w:p>
      <w:pPr>
        <w:pStyle w:val="Heading1"/>
        <w:keepNext/>
        <w:keepLines/>
        <w:widowControl/>
        <w:spacing w:before="200" w:after="80"/>
      </w:pPr>
      <w:r>
        <w:t>10. Conselhos ao paciente</w:t>
      </w:r>
    </w:p>
    <w:p>
      <w:pPr>
        <w:pStyle w:val="BodyText"/>
        <w:spacing w:after="80"/>
        <w:ind w:left="0" w:firstLine="255"/>
        <w:widowControl/>
      </w:pPr>
      <w:r>
        <w:rPr>
          <w:i w:val="0"/>
        </w:rPr>
        <w:t>Mesmo o melhor tratamento não pode garantir uma melhoria duradoura, a menos que seja acompanhado pela participação ativa do paciente e medidas simples adequadas à situação. O conselho é geralmente baseado no bom senso:</w:t>
      </w:r>
    </w:p>
    <w:p>
      <w:pPr>
        <w:pStyle w:val="ListBullet"/>
        <w:spacing w:after="50"/>
        <w:ind w:left="369" w:hanging="170"/>
        <w:widowControl/>
      </w:pPr>
      <w:r>
        <w:t>Planejar repouso relativo e evitar esforço físico excessivo no dia da sessão;</w:t>
      </w:r>
    </w:p>
    <w:p>
      <w:pPr>
        <w:pStyle w:val="ListBullet"/>
        <w:spacing w:after="50"/>
        <w:ind w:left="369" w:hanging="170"/>
        <w:widowControl/>
      </w:pPr>
      <w:r>
        <w:t>Manter uma hidratação adequada;</w:t>
      </w:r>
    </w:p>
    <w:p>
      <w:pPr>
        <w:pStyle w:val="ListBullet"/>
        <w:spacing w:after="50"/>
        <w:ind w:left="369" w:hanging="170"/>
        <w:widowControl/>
      </w:pPr>
      <w:r>
        <w:t>Adotar uma dieta equilibrada;</w:t>
      </w:r>
    </w:p>
    <w:p>
      <w:pPr>
        <w:pStyle w:val="ListBullet"/>
        <w:spacing w:after="50"/>
        <w:ind w:left="369" w:hanging="170"/>
        <w:widowControl/>
      </w:pPr>
      <w:r>
        <w:t>Manter atividade física regular adequada à capacidade atual;</w:t>
      </w:r>
    </w:p>
    <w:p>
      <w:pPr>
        <w:pStyle w:val="ListBullet"/>
        <w:spacing w:after="50"/>
        <w:ind w:left="369" w:hanging="170"/>
        <w:widowControl/>
      </w:pPr>
      <w:r>
        <w:t>promover o sono, a recuperação e um ambiente social de apoio;</w:t>
      </w:r>
    </w:p>
    <w:p>
      <w:pPr>
        <w:pStyle w:val="ListBullet"/>
        <w:spacing w:after="50"/>
        <w:ind w:left="369" w:hanging="170"/>
        <w:widowControl/>
      </w:pPr>
      <w:r>
        <w:t>permanecer ativamente envolvido na saúde e procurar aconselhamento médico se surgirem sinais novos ou preocupantes;</w:t>
      </w:r>
    </w:p>
    <w:p>
      <w:pPr>
        <w:pStyle w:val="ListBullet"/>
        <w:spacing w:after="50"/>
        <w:ind w:left="369" w:hanging="170"/>
        <w:widowControl/>
      </w:pPr>
      <w:r>
        <w:t>alterações de registro no sintoma principal, dor, sono, função intestinal, vitalidade e capacidade funcional;</w:t>
      </w:r>
    </w:p>
    <w:p>
      <w:pPr>
        <w:pStyle w:val="ListBullet"/>
        <w:spacing w:after="50"/>
        <w:ind w:left="369" w:hanging="170"/>
        <w:widowControl/>
      </w:pPr>
      <w:r>
        <w:t>relatar essas descobertas ao praticante para ajudar a documentar os efeitos da sessão e orientar o tratamento subsequente.</w:t>
      </w:r>
    </w:p>
    <w:tbl>
      <w:tblPr>
        <w:tblW w:type="auto" w:w="0"/>
        <w:jc w:val="center"/>
        <w:tblLayout w:type="autofit"/>
        <w:tblLook w:firstColumn="1" w:firstRow="1" w:lastColumn="0" w:lastRow="0" w:noHBand="0" w:noVBand="1" w:val="04A0"/>
      </w:tblPr>
      <w:tblGrid>
        <w:gridCol w:w="9915"/>
      </w:tblGrid>
      <w:tr>
        <w:trPr>
          <w:cantSplit/>
        </w:trP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Resumo prático</w:t>
            </w:r>
          </w:p>
          <w:p>
            <w:pPr>
              <w:keepLines/>
              <w:spacing w:after="60" w:line="259" w:lineRule="auto"/>
            </w:pPr>
            <w:r>
              <w:rPr>
                <w:b/>
              </w:rPr>
              <w:t>Antes da sessão: definir o sintoma principal e seu nível de base.</w:t>
            </w:r>
          </w:p>
          <w:p>
            <w:pPr>
              <w:keepLines/>
              <w:spacing w:after="60" w:line="259" w:lineRule="auto"/>
            </w:pPr>
            <w:r>
              <w:rPr>
                <w:b/>
              </w:rPr>
              <w:t>Após a sessão: observe as reações e o progresso do documento.</w:t>
            </w:r>
          </w:p>
          <w:p>
            <w:pPr>
              <w:keepLines/>
              <w:spacing w:after="60" w:line="259" w:lineRule="auto"/>
            </w:pPr>
            <w:r>
              <w:rPr>
                <w:b/>
              </w:rPr>
              <w:t>Nos dias 3-4: decida se deve parar, fornecer outra sessão ou reavaliar.</w:t>
            </w:r>
          </w:p>
          <w:p>
            <w:pPr>
              <w:keepLines/>
              <w:spacing w:after="60" w:line="259" w:lineRule="auto"/>
            </w:pPr>
            <w:r>
              <w:rPr>
                <w:b/>
              </w:rPr>
              <w:t>Após três sessões sem melhoria: reconsiderar a indicação e, se necessário, encaminhar o paciente.</w:t>
            </w:r>
          </w:p>
        </w:tc>
      </w:tr>
    </w:tbl>
    <w:p>
      <w:pPr>
        <w:spacing w:after="0"/>
        <w:widowControl/>
      </w:pPr>
    </w:p>
    <w:p>
      <w:pPr>
        <w:spacing w:before="200" w:after="0"/>
        <w:jc w:val="center"/>
        <w:widowControl/>
      </w:pPr>
      <w:r>
        <w:rPr>
          <w:rFonts w:ascii="Aptos Display" w:hAnsi="Aptos Display"/>
          <w:b/>
          <w:color w:val="3E6F70"/>
          <w:sz w:val="23"/>
        </w:rPr>
        <w:t>Princípio orientador: observar, medir, reavaliar.</w:t>
      </w:r>
    </w:p>
    <w:p>
      <w:pPr>
        <w:pStyle w:val="Heading1"/>
      </w:pPr>
      <w:r>
        <w:t>References</w:t>
      </w:r>
    </w:p>
    <w:p>
      <w:pPr>
        <w:pStyle w:val="BodyText"/>
        <w:spacing w:after="80"/>
      </w:pPr>
      <w:r>
        <w:t>1. Vallbo Å, Olausson H, Wessberg J, Norrsell U. A system of unmyelinated afferents for innocuous mechanoreception in the human skin. Brain Res. 1993;628(1–2):301–304. doi:10.1016/0006-8993(93)90968-S.</w:t>
      </w:r>
    </w:p>
    <w:p>
      <w:pPr>
        <w:pStyle w:val="BodyText"/>
        <w:spacing w:after="80"/>
      </w:pPr>
      <w:r>
        <w:t>2. Löken LS, Wessberg J, Morrison I, McGlone F, Olausson H. Coding of pleasant touch by unmyelinated afferents in humans. Nat Neurosci. 2009;12(5):547–548. doi:10.1038/nn.2312.</w:t>
      </w:r>
    </w:p>
    <w:p>
      <w:pPr>
        <w:pStyle w:val="BodyText"/>
        <w:spacing w:after="80"/>
      </w:pPr>
      <w:r>
        <w:t>3. Ackerley R, Backlund Wasling H, Liljencrantz J, Olausson H, Johnson RD, Wessberg J. Human C-tactile afferents are tuned to the temperature of a skin-stroking caress. J Neurosci. 2014;34(8):2879–2883. doi:10.1523/JNEUROSCI.2847-13.2014.</w:t>
      </w:r>
    </w:p>
    <w:sectPr>
      <w:headerReference w:type="default" r:id="rId9"/>
      <w:footerReference w:type="default" r:id="rId10"/>
      <w:pgSz w:w="12240" w:h="15840"/>
      <w:pgMar w:top="1020" w:right="1134" w:bottom="964"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07D"/>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07D"/>
        <w:sz w:val="16"/>
      </w:rPr>
      <w:t>CAPTULO 2  TRATAMENTO ROP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024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2F3437"/>
      <w:sz w:val="33"/>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3E6F7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eastAsia="Aptos Display"/>
      <w:b/>
      <w:bCs/>
      <w:color w:val="3E6F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jc w:val="both"/>
    </w:pPr>
    <w:rPr>
      <w:rFonts w:ascii="Aptos" w:hAnsi="Aptos" w:eastAsia="Aptos"/>
      <w:color w:val="202426"/>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contextualSpacing/>
    </w:pPr>
    <w:rPr>
      <w:rFonts w:ascii="Aptos" w:hAnsi="Aptos" w:eastAsia="Aptos"/>
      <w:color w:val="202426"/>
      <w:sz w:val="20"/>
    </w:rPr>
  </w:style>
  <w:style w:type="paragraph" w:styleId="ListBullet2">
    <w:name w:val="List Bullet 2"/>
    <w:basedOn w:val="Normal"/>
    <w:uiPriority w:val="99"/>
    <w:unhideWhenUsed/>
    <w:rsid w:val="00326F90"/>
    <w:pPr>
      <w:numPr>
        <w:numId w:val="2"/>
      </w:numPr>
      <w:spacing w:line="259" w:lineRule="auto"/>
      <w:contextualSpacing/>
    </w:pPr>
    <w:rPr>
      <w:rFonts w:ascii="Aptos" w:hAnsi="Aptos" w:eastAsia="Aptos"/>
      <w:color w:val="202426"/>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contextualSpacing/>
    </w:pPr>
    <w:rPr>
      <w:rFonts w:ascii="Aptos" w:hAnsi="Aptos" w:eastAsia="Aptos"/>
      <w:color w:val="202426"/>
      <w:sz w:val="20"/>
    </w:rPr>
  </w:style>
  <w:style w:type="paragraph" w:styleId="ListNumber2">
    <w:name w:val="List Number 2"/>
    <w:basedOn w:val="Normal"/>
    <w:uiPriority w:val="99"/>
    <w:unhideWhenUsed/>
    <w:rsid w:val="0029639D"/>
    <w:pPr>
      <w:numPr>
        <w:numId w:val="6"/>
      </w:numPr>
      <w:spacing w:line="259" w:lineRule="auto"/>
      <w:contextualSpacing/>
    </w:pPr>
    <w:rPr>
      <w:rFonts w:ascii="Aptos" w:hAnsi="Aptos" w:eastAsia="Aptos"/>
      <w:color w:val="202426"/>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Aptos" w:hAnsi="Aptos" w:eastAsia="Aptos"/>
      <w:b/>
      <w:bCs/>
      <w:color w:val="7A807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 ROP Treatment (Revised Medical English)</dc:title>
  <dc:subject>Réflexothérapie Occipito-Podale — Chapitre 2</dc:subject>
  <dc:creator/>
  <cp:keywords>ROP, Réflexothérapie Occipito-Podale, traitement, pratique clinique</cp:keywords>
  <dc:description/>
  <cp:lastModifiedBy/>
  <cp:revision>1</cp:revision>
  <dcterms:created xsi:type="dcterms:W3CDTF">2013-12-23T23:15:00Z</dcterms:created>
  <dcterms:modified xsi:type="dcterms:W3CDTF">2013-12-23T23:15:00Z</dcterms:modified>
  <cp:category/>
</cp:coreProperties>
</file>